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4788" w14:textId="64C6D8ED" w:rsidR="001A5D02" w:rsidRPr="00FE37BF" w:rsidRDefault="001A5D02" w:rsidP="0042590E">
      <w:pPr>
        <w:spacing w:line="276" w:lineRule="auto"/>
        <w:jc w:val="both"/>
        <w:rPr>
          <w:rFonts w:ascii="Times" w:hAnsi="Times" w:cs="Times"/>
          <w:bCs/>
        </w:rPr>
      </w:pPr>
      <w:r w:rsidRPr="007A2211">
        <w:rPr>
          <w:rFonts w:ascii="Times" w:hAnsi="Times" w:cs="Times"/>
          <w:b/>
        </w:rPr>
        <w:t>Table S</w:t>
      </w:r>
      <w:r w:rsidR="005404A4">
        <w:rPr>
          <w:rFonts w:ascii="Times" w:hAnsi="Times" w:cs="Times"/>
          <w:b/>
        </w:rPr>
        <w:t>4</w:t>
      </w:r>
      <w:r w:rsidRPr="00C27171">
        <w:rPr>
          <w:rFonts w:ascii="Times" w:hAnsi="Times" w:cs="Times"/>
          <w:b/>
        </w:rPr>
        <w:t xml:space="preserve">. </w:t>
      </w:r>
      <w:r w:rsidR="00C423A4" w:rsidRPr="00C423A4">
        <w:rPr>
          <w:rFonts w:ascii="Times" w:hAnsi="Times" w:cs="Times"/>
          <w:bCs/>
        </w:rPr>
        <w:t>Global s</w:t>
      </w:r>
      <w:r w:rsidR="00FE37BF">
        <w:rPr>
          <w:rFonts w:ascii="Times" w:hAnsi="Times" w:cs="Times"/>
          <w:bCs/>
        </w:rPr>
        <w:t xml:space="preserve">tatus of the species used in “wild </w:t>
      </w:r>
      <w:r w:rsidR="00FE37BF">
        <w:rPr>
          <w:rFonts w:ascii="Times" w:hAnsi="Times" w:cs="Times"/>
          <w:bCs/>
          <w:i/>
          <w:iCs/>
        </w:rPr>
        <w:t>vs.</w:t>
      </w:r>
      <w:r w:rsidR="00FE37BF">
        <w:rPr>
          <w:rFonts w:ascii="Times" w:hAnsi="Times" w:cs="Times"/>
          <w:bCs/>
        </w:rPr>
        <w:t xml:space="preserve"> captive” studies on the IUCN red list, CITES appendices</w:t>
      </w:r>
      <w:r w:rsidR="00B2221D">
        <w:rPr>
          <w:rFonts w:ascii="Times" w:hAnsi="Times" w:cs="Times"/>
          <w:bCs/>
        </w:rPr>
        <w:t>,</w:t>
      </w:r>
      <w:r w:rsidR="00FE37BF">
        <w:rPr>
          <w:rFonts w:ascii="Times" w:hAnsi="Times" w:cs="Times"/>
          <w:bCs/>
        </w:rPr>
        <w:t xml:space="preserve"> and summary of the captive information available in each paper. </w:t>
      </w:r>
      <w:r w:rsidR="00B50377">
        <w:rPr>
          <w:rFonts w:ascii="Times" w:hAnsi="Times" w:cs="Times"/>
          <w:bCs/>
        </w:rPr>
        <w:t>LC = “Least Concern</w:t>
      </w:r>
      <w:proofErr w:type="gramStart"/>
      <w:r w:rsidR="00B50377">
        <w:rPr>
          <w:rFonts w:ascii="Times" w:hAnsi="Times" w:cs="Times"/>
          <w:bCs/>
        </w:rPr>
        <w:t>”;</w:t>
      </w:r>
      <w:proofErr w:type="gramEnd"/>
      <w:r w:rsidR="00B50377">
        <w:rPr>
          <w:rFonts w:ascii="Times" w:hAnsi="Times" w:cs="Times"/>
          <w:bCs/>
        </w:rPr>
        <w:t xml:space="preserve"> NT = “Near Threatened”; VU = “Vulnerable”; EN = “Endangered”; CR = “Critically Endangered”; </w:t>
      </w:r>
      <w:r w:rsidR="002F3AAD">
        <w:rPr>
          <w:rFonts w:ascii="Times" w:hAnsi="Times" w:cs="Times"/>
          <w:bCs/>
        </w:rPr>
        <w:t xml:space="preserve">RE = “Regionally Extinct”, </w:t>
      </w:r>
      <w:r w:rsidR="00B50377">
        <w:rPr>
          <w:rFonts w:ascii="Times" w:hAnsi="Times" w:cs="Times"/>
          <w:bCs/>
        </w:rPr>
        <w:t>NE = “Not Evaluated” and DD = “Data Deficient”</w:t>
      </w:r>
      <w:r w:rsidR="005404A4">
        <w:rPr>
          <w:rFonts w:ascii="Times" w:hAnsi="Times" w:cs="Times"/>
          <w:bCs/>
        </w:rPr>
        <w:t>.</w:t>
      </w:r>
    </w:p>
    <w:tbl>
      <w:tblPr>
        <w:tblW w:w="1403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268"/>
        <w:gridCol w:w="1134"/>
        <w:gridCol w:w="992"/>
        <w:gridCol w:w="7944"/>
      </w:tblGrid>
      <w:tr w:rsidR="007E1F82" w14:paraId="63A950EA" w14:textId="77777777" w:rsidTr="00C6109D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3AB4C" w14:textId="3DA4A3AA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17EFC" w14:textId="461F3867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TAXON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17897" w14:textId="0749D8D3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9" w:right="-1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IUCN STATUS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402DF" w14:textId="652FAA8C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6" w:right="-10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CITES </w:t>
            </w:r>
          </w:p>
        </w:tc>
        <w:tc>
          <w:tcPr>
            <w:tcW w:w="7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C1A30" w14:textId="38BD3B98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CAPTIVE INFORMATION</w:t>
            </w:r>
          </w:p>
        </w:tc>
      </w:tr>
      <w:tr w:rsidR="007E1F82" w14:paraId="0EF194CE" w14:textId="77777777" w:rsidTr="00C6109D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7D5D3F06" w14:textId="702783B3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D7CE6">
              <w:rPr>
                <w:sz w:val="20"/>
              </w:rPr>
              <w:t>(Dempson &amp; Power, 2004)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DA68B14" w14:textId="7952ED0F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Salmo salar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9323064" w14:textId="437C93F5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9876300" w14:textId="7B2C1441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vAlign w:val="center"/>
          </w:tcPr>
          <w:p w14:paraId="25775A06" w14:textId="4F0CAA85" w:rsidR="007E1F82" w:rsidRPr="0012751C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from a strain of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S. salar </w:t>
            </w:r>
            <w:r>
              <w:rPr>
                <w:color w:val="000000"/>
                <w:sz w:val="20"/>
                <w:szCs w:val="20"/>
              </w:rPr>
              <w:t>farmed exclusively in sea-cage culture. The commercial food supplied was also analyzed.</w:t>
            </w:r>
          </w:p>
        </w:tc>
      </w:tr>
      <w:tr w:rsidR="007E1F82" w:rsidRPr="004D7CE6" w14:paraId="184A17FB" w14:textId="77777777" w:rsidTr="00C6109D">
        <w:trPr>
          <w:jc w:val="center"/>
        </w:trPr>
        <w:tc>
          <w:tcPr>
            <w:tcW w:w="1696" w:type="dxa"/>
            <w:shd w:val="clear" w:color="auto" w:fill="E7E6E6"/>
            <w:vAlign w:val="center"/>
          </w:tcPr>
          <w:p w14:paraId="2F4AC1CE" w14:textId="36F46D27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D7CE6">
              <w:rPr>
                <w:sz w:val="20"/>
                <w:lang w:val="pt-BR"/>
              </w:rPr>
              <w:t>(Rojas et al., 2007)</w:t>
            </w:r>
            <w:r w:rsidRPr="004D7CE6">
              <w:rPr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745EC329" w14:textId="223D935B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Sparus aurata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7271FD98" w14:textId="74AD0253" w:rsidR="007E1F82" w:rsidRPr="009C7338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LC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771E8970" w14:textId="7EB16289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7944" w:type="dxa"/>
            <w:shd w:val="clear" w:color="auto" w:fill="E7E6E6"/>
            <w:vAlign w:val="center"/>
          </w:tcPr>
          <w:p w14:paraId="1A1A9A3F" w14:textId="191A7FE6" w:rsidR="007E1F82" w:rsidRPr="005C4381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of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S. aurata </w:t>
            </w:r>
            <w:r>
              <w:rPr>
                <w:color w:val="000000"/>
                <w:sz w:val="20"/>
                <w:szCs w:val="20"/>
              </w:rPr>
              <w:t xml:space="preserve">from local producers in four Mediterranean countries. </w:t>
            </w:r>
            <w:r w:rsidR="00FB6A56">
              <w:rPr>
                <w:color w:val="000000"/>
                <w:sz w:val="20"/>
                <w:szCs w:val="20"/>
              </w:rPr>
              <w:t>Captive conditions are unknown</w:t>
            </w:r>
            <w:r>
              <w:rPr>
                <w:color w:val="000000"/>
                <w:sz w:val="20"/>
                <w:szCs w:val="20"/>
              </w:rPr>
              <w:t xml:space="preserve">. However, </w:t>
            </w:r>
            <w:r w:rsidRPr="005C4381">
              <w:rPr>
                <w:color w:val="000000"/>
                <w:sz w:val="20"/>
                <w:szCs w:val="20"/>
              </w:rPr>
              <w:t xml:space="preserve">interviews with fish </w:t>
            </w:r>
            <w:r>
              <w:rPr>
                <w:color w:val="000000"/>
                <w:sz w:val="20"/>
                <w:szCs w:val="20"/>
              </w:rPr>
              <w:t xml:space="preserve">farmers </w:t>
            </w:r>
            <w:r w:rsidRPr="005C4381">
              <w:rPr>
                <w:color w:val="000000"/>
                <w:sz w:val="20"/>
                <w:szCs w:val="20"/>
              </w:rPr>
              <w:t>indicated that farmers in the same country tend to purchase feeds from a unique national provider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7E1F82" w14:paraId="0F183183" w14:textId="77777777" w:rsidTr="00C6109D">
        <w:trPr>
          <w:jc w:val="center"/>
        </w:trPr>
        <w:tc>
          <w:tcPr>
            <w:tcW w:w="1696" w:type="dxa"/>
            <w:vAlign w:val="center"/>
          </w:tcPr>
          <w:p w14:paraId="160B1E95" w14:textId="5A0C4636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5006E">
              <w:rPr>
                <w:sz w:val="20"/>
              </w:rPr>
              <w:t>(Bell et al., 2007)</w:t>
            </w:r>
          </w:p>
        </w:tc>
        <w:tc>
          <w:tcPr>
            <w:tcW w:w="2268" w:type="dxa"/>
            <w:vAlign w:val="center"/>
          </w:tcPr>
          <w:p w14:paraId="66E0D11C" w14:textId="069ED2D6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Dicentrarchus labrax</w:t>
            </w:r>
          </w:p>
        </w:tc>
        <w:tc>
          <w:tcPr>
            <w:tcW w:w="1134" w:type="dxa"/>
            <w:vAlign w:val="center"/>
          </w:tcPr>
          <w:p w14:paraId="59C3127C" w14:textId="12ED087A" w:rsidR="007E1F82" w:rsidRPr="0042590E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9" w:right="-110"/>
              <w:jc w:val="center"/>
              <w:rPr>
                <w:iCs/>
                <w:color w:val="000000"/>
                <w:sz w:val="20"/>
                <w:szCs w:val="20"/>
                <w:lang w:val="pt-BR"/>
              </w:rPr>
            </w:pPr>
            <w:r w:rsidRPr="0042590E">
              <w:rPr>
                <w:iCs/>
                <w:color w:val="000000"/>
                <w:sz w:val="20"/>
                <w:szCs w:val="20"/>
                <w:lang w:val="pt-BR"/>
              </w:rPr>
              <w:t>LC</w:t>
            </w:r>
          </w:p>
        </w:tc>
        <w:tc>
          <w:tcPr>
            <w:tcW w:w="992" w:type="dxa"/>
            <w:vAlign w:val="center"/>
          </w:tcPr>
          <w:p w14:paraId="17454023" w14:textId="7ABCD9CA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7944" w:type="dxa"/>
            <w:vAlign w:val="center"/>
          </w:tcPr>
          <w:p w14:paraId="2BA90DCB" w14:textId="08E1C17B" w:rsidR="007E1F82" w:rsidRPr="00A53E66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3E66">
              <w:rPr>
                <w:color w:val="000000"/>
                <w:sz w:val="20"/>
                <w:szCs w:val="20"/>
              </w:rPr>
              <w:t xml:space="preserve">Samples of </w:t>
            </w:r>
            <w:r w:rsidRPr="00A53E66">
              <w:rPr>
                <w:i/>
                <w:iCs/>
                <w:color w:val="000000"/>
                <w:sz w:val="20"/>
                <w:szCs w:val="20"/>
              </w:rPr>
              <w:t xml:space="preserve">D. </w:t>
            </w:r>
            <w:r>
              <w:rPr>
                <w:i/>
                <w:iCs/>
                <w:color w:val="000000"/>
                <w:sz w:val="20"/>
                <w:szCs w:val="20"/>
              </w:rPr>
              <w:t>l</w:t>
            </w:r>
            <w:r w:rsidRPr="00A53E66">
              <w:rPr>
                <w:i/>
                <w:iCs/>
                <w:color w:val="000000"/>
                <w:sz w:val="20"/>
                <w:szCs w:val="20"/>
              </w:rPr>
              <w:t xml:space="preserve">abrax </w:t>
            </w:r>
            <w:r w:rsidRPr="00A53E66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 xml:space="preserve">rom a research laboratory in Scotland and a farm company in Greece. No further information about </w:t>
            </w:r>
            <w:r w:rsidR="00B2221D">
              <w:rPr>
                <w:color w:val="000000"/>
                <w:sz w:val="20"/>
                <w:szCs w:val="20"/>
              </w:rPr>
              <w:t xml:space="preserve">the </w:t>
            </w:r>
            <w:r>
              <w:rPr>
                <w:color w:val="000000"/>
                <w:sz w:val="20"/>
                <w:szCs w:val="20"/>
              </w:rPr>
              <w:t xml:space="preserve">captive </w:t>
            </w:r>
            <w:r w:rsidR="00B2221D">
              <w:rPr>
                <w:color w:val="000000"/>
                <w:sz w:val="20"/>
                <w:szCs w:val="20"/>
              </w:rPr>
              <w:t xml:space="preserve">was </w:t>
            </w:r>
            <w:r>
              <w:rPr>
                <w:color w:val="000000"/>
                <w:sz w:val="20"/>
                <w:szCs w:val="20"/>
              </w:rPr>
              <w:t>provided. However, the authors mention that</w:t>
            </w:r>
            <w:r w:rsidRPr="003619D9">
              <w:rPr>
                <w:color w:val="000000"/>
                <w:sz w:val="20"/>
                <w:szCs w:val="20"/>
              </w:rPr>
              <w:t xml:space="preserve"> sea bass </w:t>
            </w:r>
            <w:r>
              <w:rPr>
                <w:color w:val="000000"/>
                <w:sz w:val="20"/>
                <w:szCs w:val="20"/>
              </w:rPr>
              <w:t>used to be</w:t>
            </w:r>
            <w:r w:rsidRPr="003619D9">
              <w:rPr>
                <w:color w:val="000000"/>
                <w:sz w:val="20"/>
                <w:szCs w:val="20"/>
              </w:rPr>
              <w:t xml:space="preserve"> fed a commercial Atlantic cod diet, </w:t>
            </w:r>
            <w:r>
              <w:rPr>
                <w:color w:val="000000"/>
                <w:sz w:val="20"/>
                <w:szCs w:val="20"/>
              </w:rPr>
              <w:t>with</w:t>
            </w:r>
            <w:r w:rsidRPr="003619D9">
              <w:rPr>
                <w:color w:val="000000"/>
                <w:sz w:val="20"/>
                <w:szCs w:val="20"/>
              </w:rPr>
              <w:t xml:space="preserve"> lower lipid content </w:t>
            </w:r>
            <w:r w:rsidR="00080EF1">
              <w:rPr>
                <w:color w:val="000000"/>
                <w:sz w:val="20"/>
                <w:szCs w:val="20"/>
              </w:rPr>
              <w:t>than</w:t>
            </w:r>
            <w:r w:rsidRPr="003619D9">
              <w:rPr>
                <w:color w:val="000000"/>
                <w:sz w:val="20"/>
                <w:szCs w:val="20"/>
              </w:rPr>
              <w:t xml:space="preserve"> bass diets produced in southern Europe.</w:t>
            </w:r>
          </w:p>
        </w:tc>
      </w:tr>
      <w:tr w:rsidR="007E1F82" w14:paraId="6B407F93" w14:textId="77777777" w:rsidTr="00C6109D">
        <w:trPr>
          <w:jc w:val="center"/>
        </w:trPr>
        <w:tc>
          <w:tcPr>
            <w:tcW w:w="1696" w:type="dxa"/>
            <w:shd w:val="clear" w:color="auto" w:fill="E7E6E6"/>
            <w:vAlign w:val="center"/>
          </w:tcPr>
          <w:p w14:paraId="2447BA10" w14:textId="23EE65AD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D5006E">
              <w:rPr>
                <w:sz w:val="20"/>
              </w:rPr>
              <w:t>(Molkentin et al., 2007)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067844C9" w14:textId="378C8143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Salmo salar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4EF37C28" w14:textId="24009FE7" w:rsidR="007E1F82" w:rsidRPr="0082549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LC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6D406A55" w14:textId="02C5FAE8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7944" w:type="dxa"/>
            <w:shd w:val="clear" w:color="auto" w:fill="E7E6E6"/>
            <w:vAlign w:val="center"/>
          </w:tcPr>
          <w:p w14:paraId="6DEED9A7" w14:textId="4154BE5F" w:rsidR="007E1F82" w:rsidRPr="00F967C3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of conventionally and organically reared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S. salar </w:t>
            </w:r>
            <w:r>
              <w:rPr>
                <w:color w:val="000000"/>
                <w:sz w:val="20"/>
                <w:szCs w:val="20"/>
              </w:rPr>
              <w:t>were purchased. The captive conditions are unknown</w:t>
            </w:r>
            <w:r w:rsidR="00B2221D">
              <w:rPr>
                <w:color w:val="000000"/>
                <w:sz w:val="20"/>
                <w:szCs w:val="20"/>
              </w:rPr>
              <w:t>. However</w:t>
            </w:r>
            <w:r>
              <w:rPr>
                <w:color w:val="000000"/>
                <w:sz w:val="20"/>
                <w:szCs w:val="20"/>
              </w:rPr>
              <w:t xml:space="preserve">, there are some </w:t>
            </w:r>
            <w:r w:rsidRPr="00F967C3">
              <w:rPr>
                <w:rFonts w:ascii="Times-Roman" w:eastAsiaTheme="minorHAnsi" w:hAnsi="Times-Roman" w:cs="Times-Roman"/>
                <w:color w:val="141314"/>
                <w:sz w:val="21"/>
                <w:szCs w:val="21"/>
                <w:lang w:eastAsia="en-US"/>
              </w:rPr>
              <w:t>standards for organic aquaculture</w:t>
            </w:r>
            <w:r>
              <w:rPr>
                <w:rFonts w:ascii="Times-Roman" w:eastAsiaTheme="minorHAnsi" w:hAnsi="Times-Roman" w:cs="Times-Roman"/>
                <w:color w:val="141314"/>
                <w:sz w:val="21"/>
                <w:szCs w:val="21"/>
                <w:lang w:eastAsia="en-US"/>
              </w:rPr>
              <w:t xml:space="preserve">, such as </w:t>
            </w:r>
            <w:r w:rsidRPr="00F967C3">
              <w:rPr>
                <w:color w:val="000000"/>
                <w:sz w:val="20"/>
                <w:szCs w:val="20"/>
              </w:rPr>
              <w:t xml:space="preserve">all feeding </w:t>
            </w:r>
            <w:r w:rsidR="00B2221D">
              <w:rPr>
                <w:color w:val="000000"/>
                <w:sz w:val="20"/>
                <w:szCs w:val="20"/>
              </w:rPr>
              <w:t>stuff</w:t>
            </w:r>
            <w:r w:rsidRPr="00F967C3">
              <w:rPr>
                <w:color w:val="000000"/>
                <w:sz w:val="20"/>
                <w:szCs w:val="20"/>
              </w:rPr>
              <w:t xml:space="preserve"> shall be of </w:t>
            </w:r>
            <w:r w:rsidR="00B2221D">
              <w:rPr>
                <w:color w:val="000000"/>
                <w:sz w:val="20"/>
                <w:szCs w:val="20"/>
              </w:rPr>
              <w:t xml:space="preserve">a </w:t>
            </w:r>
            <w:r w:rsidRPr="00F967C3">
              <w:rPr>
                <w:color w:val="000000"/>
                <w:sz w:val="20"/>
                <w:szCs w:val="20"/>
              </w:rPr>
              <w:t>certified organic origin</w:t>
            </w:r>
            <w:r>
              <w:rPr>
                <w:color w:val="000000"/>
                <w:sz w:val="20"/>
                <w:szCs w:val="20"/>
              </w:rPr>
              <w:t>; f</w:t>
            </w:r>
            <w:r w:rsidRPr="00F967C3">
              <w:rPr>
                <w:color w:val="000000"/>
                <w:sz w:val="20"/>
                <w:szCs w:val="20"/>
              </w:rPr>
              <w:t>ish meal or oil shall come from the same geographical region and shall be obtained from by-products of wild-caught fish for human consumption</w:t>
            </w:r>
            <w:r>
              <w:rPr>
                <w:color w:val="000000"/>
                <w:sz w:val="20"/>
                <w:szCs w:val="20"/>
              </w:rPr>
              <w:t>; the use of s</w:t>
            </w:r>
            <w:r w:rsidRPr="00F967C3">
              <w:rPr>
                <w:color w:val="000000"/>
                <w:sz w:val="20"/>
                <w:szCs w:val="20"/>
              </w:rPr>
              <w:t xml:space="preserve">ynthetic feed additives </w:t>
            </w:r>
            <w:r>
              <w:rPr>
                <w:color w:val="000000"/>
                <w:sz w:val="20"/>
                <w:szCs w:val="20"/>
              </w:rPr>
              <w:t>is</w:t>
            </w:r>
            <w:r w:rsidRPr="00F967C3">
              <w:rPr>
                <w:color w:val="000000"/>
                <w:sz w:val="20"/>
                <w:szCs w:val="20"/>
              </w:rPr>
              <w:t xml:space="preserve"> not allowed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7E1F82" w:rsidRPr="00B75156" w14:paraId="343BD154" w14:textId="77777777" w:rsidTr="00C6109D">
        <w:trPr>
          <w:jc w:val="center"/>
        </w:trPr>
        <w:tc>
          <w:tcPr>
            <w:tcW w:w="1696" w:type="dxa"/>
            <w:vAlign w:val="center"/>
          </w:tcPr>
          <w:p w14:paraId="34B85AF1" w14:textId="0BBF7272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D5006E">
              <w:rPr>
                <w:sz w:val="20"/>
              </w:rPr>
              <w:t>(Serrano, Blanes, &amp; Orero, 2007)</w:t>
            </w:r>
          </w:p>
        </w:tc>
        <w:tc>
          <w:tcPr>
            <w:tcW w:w="2268" w:type="dxa"/>
            <w:vAlign w:val="center"/>
          </w:tcPr>
          <w:p w14:paraId="3B549067" w14:textId="42182E63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Sparus aurata</w:t>
            </w:r>
          </w:p>
        </w:tc>
        <w:tc>
          <w:tcPr>
            <w:tcW w:w="1134" w:type="dxa"/>
            <w:vAlign w:val="center"/>
          </w:tcPr>
          <w:p w14:paraId="3634924A" w14:textId="16336C8E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LC</w:t>
            </w:r>
          </w:p>
        </w:tc>
        <w:tc>
          <w:tcPr>
            <w:tcW w:w="992" w:type="dxa"/>
            <w:vAlign w:val="center"/>
          </w:tcPr>
          <w:p w14:paraId="0996F4E5" w14:textId="0037553A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7944" w:type="dxa"/>
            <w:vAlign w:val="center"/>
          </w:tcPr>
          <w:p w14:paraId="19DCF6AE" w14:textId="12497A7A" w:rsidR="007E1F82" w:rsidRPr="00C16FBB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of </w:t>
            </w:r>
            <w:r w:rsidR="00B2221D">
              <w:rPr>
                <w:color w:val="000000"/>
                <w:sz w:val="20"/>
                <w:szCs w:val="20"/>
              </w:rPr>
              <w:t>sea-cage-farmed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S. aurata </w:t>
            </w:r>
            <w:r>
              <w:rPr>
                <w:color w:val="000000"/>
                <w:sz w:val="20"/>
                <w:szCs w:val="20"/>
              </w:rPr>
              <w:t xml:space="preserve">were purchased from local commercial markets. No further information about captive </w:t>
            </w:r>
            <w:r w:rsidR="00B2221D">
              <w:rPr>
                <w:color w:val="000000"/>
                <w:sz w:val="20"/>
                <w:szCs w:val="20"/>
              </w:rPr>
              <w:t xml:space="preserve">was </w:t>
            </w:r>
            <w:r>
              <w:rPr>
                <w:color w:val="000000"/>
                <w:sz w:val="20"/>
                <w:szCs w:val="20"/>
              </w:rPr>
              <w:t>provided, but the authors used morphology and lipid content to confirm the fish origin (wild or captivity)</w:t>
            </w:r>
          </w:p>
        </w:tc>
      </w:tr>
      <w:tr w:rsidR="007E1F82" w14:paraId="18533BF7" w14:textId="77777777" w:rsidTr="00C6109D">
        <w:trPr>
          <w:jc w:val="center"/>
        </w:trPr>
        <w:tc>
          <w:tcPr>
            <w:tcW w:w="1696" w:type="dxa"/>
            <w:shd w:val="clear" w:color="auto" w:fill="E7E6E6"/>
            <w:vAlign w:val="center"/>
          </w:tcPr>
          <w:p w14:paraId="0B7B5160" w14:textId="4A9635A9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D5006E">
              <w:rPr>
                <w:sz w:val="20"/>
              </w:rPr>
              <w:t>(Busetto et al., 2008)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52A15BBC" w14:textId="1FE0BB3A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Psetta maxima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134911D8" w14:textId="67B37F5B" w:rsidR="007E1F82" w:rsidRPr="0082549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LC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55A24BD8" w14:textId="65CD355D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7944" w:type="dxa"/>
            <w:shd w:val="clear" w:color="auto" w:fill="E7E6E6"/>
            <w:vAlign w:val="center"/>
          </w:tcPr>
          <w:p w14:paraId="753E3713" w14:textId="4581BCA5" w:rsidR="007E1F82" w:rsidRPr="00CC5E3C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of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P. maxima </w:t>
            </w:r>
            <w:r w:rsidR="00B2221D" w:rsidRPr="00B2221D">
              <w:rPr>
                <w:color w:val="000000"/>
                <w:sz w:val="20"/>
                <w:szCs w:val="20"/>
              </w:rPr>
              <w:t>were</w:t>
            </w:r>
            <w:r w:rsidR="00B2221D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collected </w:t>
            </w:r>
            <w:r w:rsidRPr="00CC5E3C">
              <w:rPr>
                <w:color w:val="000000"/>
                <w:sz w:val="20"/>
                <w:szCs w:val="20"/>
              </w:rPr>
              <w:t>at the wholesale fish market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C5E3C">
              <w:rPr>
                <w:color w:val="000000"/>
                <w:sz w:val="20"/>
                <w:szCs w:val="20"/>
              </w:rPr>
              <w:t>and by local retailers</w:t>
            </w:r>
            <w:r>
              <w:rPr>
                <w:color w:val="000000"/>
                <w:sz w:val="20"/>
                <w:szCs w:val="20"/>
              </w:rPr>
              <w:t xml:space="preserve">. No further information about </w:t>
            </w:r>
            <w:r w:rsidR="00B2221D">
              <w:rPr>
                <w:color w:val="000000"/>
                <w:sz w:val="20"/>
                <w:szCs w:val="20"/>
              </w:rPr>
              <w:t xml:space="preserve">the </w:t>
            </w:r>
            <w:r>
              <w:rPr>
                <w:color w:val="000000"/>
                <w:sz w:val="20"/>
                <w:szCs w:val="20"/>
              </w:rPr>
              <w:t xml:space="preserve">captive </w:t>
            </w:r>
            <w:r w:rsidR="00B2221D">
              <w:rPr>
                <w:color w:val="000000"/>
                <w:sz w:val="20"/>
                <w:szCs w:val="20"/>
              </w:rPr>
              <w:t xml:space="preserve">was </w:t>
            </w:r>
            <w:r>
              <w:rPr>
                <w:color w:val="000000"/>
                <w:sz w:val="20"/>
                <w:szCs w:val="20"/>
              </w:rPr>
              <w:t>provided.</w:t>
            </w:r>
          </w:p>
        </w:tc>
      </w:tr>
      <w:tr w:rsidR="007E1F82" w14:paraId="3D61E2C2" w14:textId="77777777" w:rsidTr="00C6109D">
        <w:trPr>
          <w:jc w:val="center"/>
        </w:trPr>
        <w:tc>
          <w:tcPr>
            <w:tcW w:w="1696" w:type="dxa"/>
            <w:vAlign w:val="center"/>
          </w:tcPr>
          <w:p w14:paraId="35E8725F" w14:textId="7F9581B6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9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D5006E">
              <w:rPr>
                <w:sz w:val="20"/>
              </w:rPr>
              <w:t>(Anderson, Hobbie, &amp; Smith, 2010)</w:t>
            </w:r>
          </w:p>
        </w:tc>
        <w:tc>
          <w:tcPr>
            <w:tcW w:w="2268" w:type="dxa"/>
            <w:vAlign w:val="center"/>
          </w:tcPr>
          <w:p w14:paraId="0E616E59" w14:textId="759A2774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9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Oncorhynchus tshawytscha </w:t>
            </w:r>
          </w:p>
          <w:p w14:paraId="1EC5D62E" w14:textId="30883F3C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Oncorhynchus kisutch; </w:t>
            </w:r>
          </w:p>
          <w:p w14:paraId="6E11329B" w14:textId="4AD3147D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Salmo salar</w:t>
            </w:r>
          </w:p>
        </w:tc>
        <w:tc>
          <w:tcPr>
            <w:tcW w:w="1134" w:type="dxa"/>
            <w:vAlign w:val="center"/>
          </w:tcPr>
          <w:p w14:paraId="52192C5F" w14:textId="557E968B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NE</w:t>
            </w:r>
          </w:p>
          <w:p w14:paraId="73BB25FD" w14:textId="6C3BF94E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NE</w:t>
            </w:r>
          </w:p>
          <w:p w14:paraId="24CF4CE9" w14:textId="2C14106F" w:rsidR="007E1F82" w:rsidRPr="00096C73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LC</w:t>
            </w:r>
          </w:p>
        </w:tc>
        <w:tc>
          <w:tcPr>
            <w:tcW w:w="992" w:type="dxa"/>
            <w:vAlign w:val="center"/>
          </w:tcPr>
          <w:p w14:paraId="75F41110" w14:textId="5B238F6B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7944" w:type="dxa"/>
            <w:vAlign w:val="center"/>
          </w:tcPr>
          <w:p w14:paraId="3FC65000" w14:textId="57C831D2" w:rsidR="007E1F82" w:rsidRPr="00BB3AE0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9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of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O. </w:t>
            </w:r>
            <w:r>
              <w:rPr>
                <w:i/>
                <w:color w:val="000000"/>
                <w:sz w:val="20"/>
                <w:szCs w:val="20"/>
              </w:rPr>
              <w:t>tshawytscha, O. kisutch</w:t>
            </w:r>
            <w:r w:rsidR="00B2221D">
              <w:rPr>
                <w:i/>
                <w:color w:val="000000"/>
                <w:sz w:val="20"/>
                <w:szCs w:val="20"/>
              </w:rPr>
              <w:t>,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 xml:space="preserve">and </w:t>
            </w:r>
            <w:r>
              <w:rPr>
                <w:i/>
                <w:color w:val="000000"/>
                <w:sz w:val="20"/>
                <w:szCs w:val="20"/>
              </w:rPr>
              <w:t xml:space="preserve">S. salar </w:t>
            </w:r>
            <w:r>
              <w:rPr>
                <w:iCs/>
                <w:color w:val="000000"/>
                <w:sz w:val="20"/>
                <w:szCs w:val="20"/>
              </w:rPr>
              <w:t xml:space="preserve">from five aquaculture facilities. </w:t>
            </w:r>
            <w:r>
              <w:rPr>
                <w:color w:val="000000"/>
                <w:sz w:val="20"/>
                <w:szCs w:val="20"/>
              </w:rPr>
              <w:t xml:space="preserve">No further information about </w:t>
            </w:r>
            <w:r w:rsidR="00B2221D">
              <w:rPr>
                <w:color w:val="000000"/>
                <w:sz w:val="20"/>
                <w:szCs w:val="20"/>
              </w:rPr>
              <w:t xml:space="preserve">the </w:t>
            </w:r>
            <w:r>
              <w:rPr>
                <w:color w:val="000000"/>
                <w:sz w:val="20"/>
                <w:szCs w:val="20"/>
              </w:rPr>
              <w:t xml:space="preserve">captive </w:t>
            </w:r>
            <w:r w:rsidR="00B2221D">
              <w:rPr>
                <w:color w:val="000000"/>
                <w:sz w:val="20"/>
                <w:szCs w:val="20"/>
              </w:rPr>
              <w:t xml:space="preserve">was </w:t>
            </w:r>
            <w:r>
              <w:rPr>
                <w:color w:val="000000"/>
                <w:sz w:val="20"/>
                <w:szCs w:val="20"/>
              </w:rPr>
              <w:t>provided.</w:t>
            </w:r>
          </w:p>
        </w:tc>
      </w:tr>
      <w:tr w:rsidR="007E1F82" w14:paraId="0B32B770" w14:textId="77777777" w:rsidTr="00C6109D">
        <w:trPr>
          <w:jc w:val="center"/>
        </w:trPr>
        <w:tc>
          <w:tcPr>
            <w:tcW w:w="1696" w:type="dxa"/>
            <w:shd w:val="clear" w:color="auto" w:fill="E7E6E6"/>
            <w:vAlign w:val="center"/>
          </w:tcPr>
          <w:p w14:paraId="7C2B8EFA" w14:textId="259E23D9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D5006E">
              <w:rPr>
                <w:sz w:val="20"/>
              </w:rPr>
              <w:t>(Fasolato et al., 2010)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2A08AAC" w14:textId="7CA25F36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0"/>
                <w:szCs w:val="20"/>
              </w:rPr>
              <w:t>Dicentrarchus labrax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23F4BCEE" w14:textId="3A7EA785" w:rsidR="007E1F82" w:rsidRPr="0082549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9" w:right="-110"/>
              <w:jc w:val="center"/>
              <w:rPr>
                <w:iCs/>
                <w:color w:val="000000"/>
                <w:sz w:val="20"/>
                <w:szCs w:val="20"/>
                <w:lang w:val="pt-BR"/>
              </w:rPr>
            </w:pPr>
            <w:r w:rsidRPr="0042590E">
              <w:rPr>
                <w:iCs/>
                <w:color w:val="000000"/>
                <w:sz w:val="20"/>
                <w:szCs w:val="20"/>
                <w:lang w:val="pt-BR"/>
              </w:rPr>
              <w:t>LC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09D77A66" w14:textId="7E41E85D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7944" w:type="dxa"/>
            <w:shd w:val="clear" w:color="auto" w:fill="E7E6E6"/>
            <w:vAlign w:val="center"/>
          </w:tcPr>
          <w:p w14:paraId="7F00C522" w14:textId="369C64CE" w:rsidR="007E1F82" w:rsidRPr="00F330FB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of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D. labrax </w:t>
            </w:r>
            <w:r w:rsidRPr="00CE5F72">
              <w:rPr>
                <w:iCs/>
                <w:color w:val="000000"/>
                <w:sz w:val="20"/>
                <w:szCs w:val="20"/>
              </w:rPr>
              <w:t>from three intensive farms in Italy and Greece.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No further information about </w:t>
            </w:r>
            <w:r w:rsidR="00B2221D">
              <w:rPr>
                <w:color w:val="000000"/>
                <w:sz w:val="20"/>
                <w:szCs w:val="20"/>
              </w:rPr>
              <w:t xml:space="preserve">the </w:t>
            </w:r>
            <w:r>
              <w:rPr>
                <w:color w:val="000000"/>
                <w:sz w:val="20"/>
                <w:szCs w:val="20"/>
              </w:rPr>
              <w:t xml:space="preserve">captive </w:t>
            </w:r>
            <w:r w:rsidR="00B2221D">
              <w:rPr>
                <w:color w:val="000000"/>
                <w:sz w:val="20"/>
                <w:szCs w:val="20"/>
              </w:rPr>
              <w:t xml:space="preserve">was </w:t>
            </w:r>
            <w:r>
              <w:rPr>
                <w:color w:val="000000"/>
                <w:sz w:val="20"/>
                <w:szCs w:val="20"/>
              </w:rPr>
              <w:t xml:space="preserve">provided. However, the authors mention that </w:t>
            </w:r>
            <w:r w:rsidRPr="00F330FB">
              <w:rPr>
                <w:color w:val="000000"/>
                <w:sz w:val="20"/>
                <w:szCs w:val="20"/>
              </w:rPr>
              <w:t>the European sea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30FB">
              <w:rPr>
                <w:color w:val="000000"/>
                <w:sz w:val="20"/>
                <w:szCs w:val="20"/>
              </w:rPr>
              <w:t xml:space="preserve">bass </w:t>
            </w:r>
            <w:r>
              <w:rPr>
                <w:color w:val="000000"/>
                <w:sz w:val="20"/>
                <w:szCs w:val="20"/>
              </w:rPr>
              <w:t>can be</w:t>
            </w:r>
            <w:r w:rsidRPr="00F330F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farmed </w:t>
            </w:r>
            <w:r w:rsidRPr="00F330FB">
              <w:rPr>
                <w:color w:val="000000"/>
                <w:sz w:val="20"/>
                <w:szCs w:val="20"/>
              </w:rPr>
              <w:t>extensively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30FB">
              <w:rPr>
                <w:color w:val="000000"/>
                <w:sz w:val="20"/>
                <w:szCs w:val="20"/>
              </w:rPr>
              <w:t>in brackish lagoons</w:t>
            </w:r>
            <w:r>
              <w:rPr>
                <w:color w:val="000000"/>
                <w:sz w:val="20"/>
                <w:szCs w:val="20"/>
              </w:rPr>
              <w:t xml:space="preserve"> and </w:t>
            </w:r>
            <w:r w:rsidRPr="00F330FB">
              <w:rPr>
                <w:color w:val="000000"/>
                <w:sz w:val="20"/>
                <w:szCs w:val="20"/>
              </w:rPr>
              <w:t>intensively in floating cages or in-shore ponds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080EF1">
              <w:rPr>
                <w:color w:val="000000"/>
                <w:sz w:val="20"/>
                <w:szCs w:val="20"/>
              </w:rPr>
              <w:t>employing</w:t>
            </w:r>
            <w:r>
              <w:rPr>
                <w:color w:val="000000"/>
                <w:sz w:val="20"/>
                <w:szCs w:val="20"/>
              </w:rPr>
              <w:t xml:space="preserve"> high nutritional feed. </w:t>
            </w:r>
          </w:p>
        </w:tc>
      </w:tr>
      <w:tr w:rsidR="007E1F82" w:rsidRPr="00D5006E" w14:paraId="5F8E950B" w14:textId="77777777" w:rsidTr="00C6109D">
        <w:trPr>
          <w:jc w:val="center"/>
        </w:trPr>
        <w:tc>
          <w:tcPr>
            <w:tcW w:w="1696" w:type="dxa"/>
            <w:vAlign w:val="center"/>
          </w:tcPr>
          <w:p w14:paraId="58C5FFEF" w14:textId="3ED1F1B5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1"/>
              <w:jc w:val="center"/>
              <w:rPr>
                <w:i/>
                <w:color w:val="000000"/>
                <w:sz w:val="20"/>
                <w:szCs w:val="20"/>
              </w:rPr>
            </w:pPr>
            <w:r w:rsidRPr="00D5006E">
              <w:rPr>
                <w:sz w:val="20"/>
                <w:lang w:val="pt-BR"/>
              </w:rPr>
              <w:lastRenderedPageBreak/>
              <w:t>(Sant’Ana, Ducatti, &amp; Ramires, 2010)</w:t>
            </w:r>
          </w:p>
        </w:tc>
        <w:tc>
          <w:tcPr>
            <w:tcW w:w="2268" w:type="dxa"/>
            <w:vAlign w:val="center"/>
          </w:tcPr>
          <w:p w14:paraId="190FA417" w14:textId="2C411B6D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Pseudoplatystoma fasciatum</w:t>
            </w:r>
          </w:p>
        </w:tc>
        <w:tc>
          <w:tcPr>
            <w:tcW w:w="1134" w:type="dxa"/>
            <w:vAlign w:val="center"/>
          </w:tcPr>
          <w:p w14:paraId="0816BD22" w14:textId="236047D2" w:rsidR="007E1F82" w:rsidRPr="008823C3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NE</w:t>
            </w:r>
          </w:p>
        </w:tc>
        <w:tc>
          <w:tcPr>
            <w:tcW w:w="992" w:type="dxa"/>
            <w:vAlign w:val="center"/>
          </w:tcPr>
          <w:p w14:paraId="7CDDB908" w14:textId="417C3896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7944" w:type="dxa"/>
            <w:vAlign w:val="center"/>
          </w:tcPr>
          <w:p w14:paraId="6B626C5C" w14:textId="79590030" w:rsidR="007E1F82" w:rsidRPr="00695AB2" w:rsidRDefault="007E1F82" w:rsidP="007E1F8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Samples from </w:t>
            </w:r>
            <w:r>
              <w:rPr>
                <w:i/>
                <w:iCs/>
                <w:sz w:val="20"/>
                <w:szCs w:val="20"/>
              </w:rPr>
              <w:t xml:space="preserve">P. fasciatum </w:t>
            </w:r>
            <w:r w:rsidRPr="00695AB2">
              <w:rPr>
                <w:sz w:val="20"/>
                <w:szCs w:val="20"/>
              </w:rPr>
              <w:t xml:space="preserve">were obtained from two </w:t>
            </w:r>
            <w:r>
              <w:rPr>
                <w:sz w:val="20"/>
                <w:szCs w:val="20"/>
              </w:rPr>
              <w:t xml:space="preserve">local </w:t>
            </w:r>
            <w:r w:rsidRPr="00695AB2">
              <w:rPr>
                <w:sz w:val="20"/>
                <w:szCs w:val="20"/>
              </w:rPr>
              <w:t>fish farms</w:t>
            </w:r>
            <w:r>
              <w:rPr>
                <w:sz w:val="20"/>
                <w:szCs w:val="20"/>
              </w:rPr>
              <w:t xml:space="preserve"> in the dry and rainy seasons, where they </w:t>
            </w:r>
            <w:r w:rsidRPr="00695AB2">
              <w:rPr>
                <w:sz w:val="20"/>
                <w:szCs w:val="20"/>
              </w:rPr>
              <w:t xml:space="preserve">were fed a commercial diet and small </w:t>
            </w:r>
            <w:r w:rsidR="00B2221D">
              <w:rPr>
                <w:sz w:val="20"/>
                <w:szCs w:val="20"/>
              </w:rPr>
              <w:t>fish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7E1F82" w:rsidRPr="00D5006E" w14:paraId="2FB2EF7B" w14:textId="77777777" w:rsidTr="00F5029A">
        <w:trPr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DE8EB84" w14:textId="1732773C" w:rsidR="007E1F82" w:rsidRPr="00FD31DB" w:rsidRDefault="007E1F82" w:rsidP="007E1F8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D31DB">
              <w:rPr>
                <w:sz w:val="20"/>
              </w:rPr>
              <w:t>Schröder and Leaniz, 2011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3D2A306" w14:textId="7918F7D7" w:rsidR="007E1F82" w:rsidRPr="00FD31DB" w:rsidRDefault="007E1F82" w:rsidP="007E1F82">
            <w:pPr>
              <w:jc w:val="center"/>
              <w:rPr>
                <w:i/>
                <w:iCs/>
                <w:color w:val="000000"/>
                <w:sz w:val="20"/>
                <w:szCs w:val="20"/>
                <w:lang w:val="pt-BR"/>
              </w:rPr>
            </w:pPr>
            <w:r w:rsidRPr="00FD31DB">
              <w:rPr>
                <w:i/>
                <w:iCs/>
                <w:color w:val="000000"/>
                <w:sz w:val="20"/>
                <w:szCs w:val="20"/>
              </w:rPr>
              <w:t>Salmo salar</w:t>
            </w:r>
          </w:p>
          <w:p w14:paraId="691F8FB8" w14:textId="215467E9" w:rsidR="007E1F82" w:rsidRPr="00FD31DB" w:rsidRDefault="007E1F82" w:rsidP="007E1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 w:rsidRPr="00FD31DB">
              <w:rPr>
                <w:i/>
                <w:iCs/>
                <w:color w:val="000000"/>
                <w:sz w:val="20"/>
                <w:szCs w:val="20"/>
              </w:rPr>
              <w:t>Oncorhynchus mykiss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BD7EBA8" w14:textId="3E69A495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LC</w:t>
            </w:r>
          </w:p>
          <w:p w14:paraId="7AD97CE7" w14:textId="54CC85FF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NE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4999BD0" w14:textId="5B3D5C27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7944" w:type="dxa"/>
            <w:shd w:val="clear" w:color="auto" w:fill="E7E6E6" w:themeFill="background2"/>
            <w:vAlign w:val="center"/>
          </w:tcPr>
          <w:p w14:paraId="13FB31A3" w14:textId="609C5249" w:rsidR="007E1F82" w:rsidRPr="003D46F1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of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S. salar </w:t>
            </w:r>
            <w:r>
              <w:rPr>
                <w:color w:val="000000"/>
                <w:sz w:val="20"/>
                <w:szCs w:val="20"/>
              </w:rPr>
              <w:t xml:space="preserve">and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O. mykiss </w:t>
            </w:r>
            <w:r>
              <w:rPr>
                <w:color w:val="000000"/>
                <w:sz w:val="20"/>
                <w:szCs w:val="20"/>
              </w:rPr>
              <w:t xml:space="preserve">were collected at two local fish farms. No further information about </w:t>
            </w:r>
            <w:r w:rsidR="00B2221D">
              <w:rPr>
                <w:color w:val="000000"/>
                <w:sz w:val="20"/>
                <w:szCs w:val="20"/>
              </w:rPr>
              <w:t xml:space="preserve">the </w:t>
            </w:r>
            <w:r>
              <w:rPr>
                <w:color w:val="000000"/>
                <w:sz w:val="20"/>
                <w:szCs w:val="20"/>
              </w:rPr>
              <w:t xml:space="preserve">captive </w:t>
            </w:r>
            <w:r w:rsidR="00B2221D">
              <w:rPr>
                <w:color w:val="000000"/>
                <w:sz w:val="20"/>
                <w:szCs w:val="20"/>
              </w:rPr>
              <w:t xml:space="preserve">was </w:t>
            </w:r>
            <w:r>
              <w:rPr>
                <w:color w:val="000000"/>
                <w:sz w:val="20"/>
                <w:szCs w:val="20"/>
              </w:rPr>
              <w:t>provided.</w:t>
            </w:r>
          </w:p>
        </w:tc>
      </w:tr>
      <w:tr w:rsidR="007E1F82" w14:paraId="7C326392" w14:textId="77777777" w:rsidTr="00F5029A">
        <w:trPr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0C24CC3" w14:textId="06150168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55" w:right="-111" w:firstLine="255"/>
              <w:jc w:val="center"/>
              <w:rPr>
                <w:i/>
                <w:color w:val="000000"/>
                <w:sz w:val="20"/>
                <w:szCs w:val="20"/>
              </w:rPr>
            </w:pPr>
            <w:r w:rsidRPr="00D5006E">
              <w:rPr>
                <w:sz w:val="20"/>
              </w:rPr>
              <w:t>(Trembaczowski &amp; Niezgoda, 2011)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637465" w14:textId="2F328919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Salmo trutta</w:t>
            </w:r>
          </w:p>
          <w:p w14:paraId="0F8C1D65" w14:textId="7B75386E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FD31DB">
              <w:rPr>
                <w:i/>
                <w:iCs/>
                <w:color w:val="000000"/>
                <w:sz w:val="20"/>
                <w:szCs w:val="20"/>
              </w:rPr>
              <w:t>Oncorhynchus mykiss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506EC1" w14:textId="201379F4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LC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27E877" w14:textId="5593B59F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7944" w:type="dxa"/>
            <w:shd w:val="clear" w:color="auto" w:fill="FFFFFF" w:themeFill="background1"/>
            <w:vAlign w:val="center"/>
          </w:tcPr>
          <w:p w14:paraId="249029A0" w14:textId="605FE080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of </w:t>
            </w:r>
            <w:r w:rsidRPr="00FD31DB">
              <w:rPr>
                <w:i/>
                <w:iCs/>
                <w:color w:val="000000"/>
                <w:sz w:val="20"/>
                <w:szCs w:val="20"/>
              </w:rPr>
              <w:t>O</w:t>
            </w:r>
            <w:r>
              <w:rPr>
                <w:i/>
                <w:iCs/>
                <w:color w:val="000000"/>
                <w:sz w:val="20"/>
                <w:szCs w:val="20"/>
              </w:rPr>
              <w:t>.</w:t>
            </w:r>
            <w:r w:rsidRPr="00FD31DB">
              <w:rPr>
                <w:i/>
                <w:iCs/>
                <w:color w:val="000000"/>
                <w:sz w:val="20"/>
                <w:szCs w:val="20"/>
              </w:rPr>
              <w:t xml:space="preserve"> mykiss</w:t>
            </w:r>
            <w:r w:rsidRPr="00534267">
              <w:rPr>
                <w:color w:val="000000"/>
                <w:sz w:val="20"/>
                <w:szCs w:val="20"/>
              </w:rPr>
              <w:t xml:space="preserve"> were caught in commercial ‘put&amp;take’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34267">
              <w:rPr>
                <w:color w:val="000000"/>
                <w:sz w:val="20"/>
                <w:szCs w:val="20"/>
              </w:rPr>
              <w:t>fishery</w:t>
            </w:r>
            <w:r>
              <w:rPr>
                <w:color w:val="000000"/>
                <w:sz w:val="20"/>
                <w:szCs w:val="20"/>
              </w:rPr>
              <w:t xml:space="preserve"> supplied directly </w:t>
            </w:r>
            <w:r w:rsidRPr="00534267">
              <w:rPr>
                <w:color w:val="000000"/>
                <w:sz w:val="20"/>
                <w:szCs w:val="20"/>
              </w:rPr>
              <w:t>from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34267">
              <w:rPr>
                <w:color w:val="000000"/>
                <w:sz w:val="20"/>
                <w:szCs w:val="20"/>
              </w:rPr>
              <w:t>commercial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34267">
              <w:rPr>
                <w:color w:val="000000"/>
                <w:sz w:val="20"/>
                <w:szCs w:val="20"/>
              </w:rPr>
              <w:t>pond farms.</w:t>
            </w:r>
            <w:r>
              <w:rPr>
                <w:color w:val="000000"/>
                <w:sz w:val="20"/>
                <w:szCs w:val="20"/>
              </w:rPr>
              <w:t xml:space="preserve"> F</w:t>
            </w:r>
            <w:r w:rsidRPr="00534267">
              <w:rPr>
                <w:color w:val="000000"/>
                <w:sz w:val="20"/>
                <w:szCs w:val="20"/>
              </w:rPr>
              <w:t>ish</w:t>
            </w:r>
            <w:r>
              <w:rPr>
                <w:color w:val="000000"/>
                <w:sz w:val="20"/>
                <w:szCs w:val="20"/>
              </w:rPr>
              <w:t>es</w:t>
            </w:r>
            <w:r w:rsidRPr="00534267">
              <w:rPr>
                <w:color w:val="000000"/>
                <w:sz w:val="20"/>
                <w:szCs w:val="20"/>
              </w:rPr>
              <w:t xml:space="preserve"> </w:t>
            </w:r>
            <w:r w:rsidR="00B2221D">
              <w:rPr>
                <w:color w:val="000000"/>
                <w:sz w:val="20"/>
                <w:szCs w:val="20"/>
              </w:rPr>
              <w:t>used</w:t>
            </w:r>
            <w:r>
              <w:rPr>
                <w:color w:val="000000"/>
                <w:sz w:val="20"/>
                <w:szCs w:val="20"/>
              </w:rPr>
              <w:t xml:space="preserve"> to </w:t>
            </w:r>
            <w:r w:rsidRPr="00534267">
              <w:rPr>
                <w:color w:val="000000"/>
                <w:sz w:val="20"/>
                <w:szCs w:val="20"/>
              </w:rPr>
              <w:t xml:space="preserve">stay </w:t>
            </w:r>
            <w:r>
              <w:rPr>
                <w:color w:val="000000"/>
                <w:sz w:val="20"/>
                <w:szCs w:val="20"/>
              </w:rPr>
              <w:t xml:space="preserve">no </w:t>
            </w:r>
            <w:r w:rsidRPr="00534267">
              <w:rPr>
                <w:color w:val="000000"/>
                <w:sz w:val="20"/>
                <w:szCs w:val="20"/>
              </w:rPr>
              <w:t>longer than a month in such ponds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14:paraId="61B5AB64" w14:textId="7A958ED0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of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S. trutta </w:t>
            </w:r>
            <w:r w:rsidRPr="00534267">
              <w:rPr>
                <w:color w:val="000000"/>
                <w:sz w:val="20"/>
                <w:szCs w:val="20"/>
              </w:rPr>
              <w:t xml:space="preserve">from </w:t>
            </w:r>
            <w:r>
              <w:rPr>
                <w:color w:val="000000"/>
                <w:sz w:val="20"/>
                <w:szCs w:val="20"/>
              </w:rPr>
              <w:t>a</w:t>
            </w:r>
            <w:r w:rsidRPr="00534267">
              <w:rPr>
                <w:color w:val="000000"/>
                <w:sz w:val="20"/>
                <w:szCs w:val="20"/>
              </w:rPr>
              <w:t xml:space="preserve"> hatchery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34267">
              <w:rPr>
                <w:color w:val="000000"/>
                <w:sz w:val="20"/>
                <w:szCs w:val="20"/>
              </w:rPr>
              <w:t xml:space="preserve">from </w:t>
            </w:r>
            <w:r w:rsidR="00080EF1">
              <w:rPr>
                <w:color w:val="000000"/>
                <w:sz w:val="20"/>
                <w:szCs w:val="20"/>
              </w:rPr>
              <w:t>where</w:t>
            </w:r>
            <w:r w:rsidRPr="00534267">
              <w:rPr>
                <w:color w:val="000000"/>
                <w:sz w:val="20"/>
                <w:szCs w:val="20"/>
              </w:rPr>
              <w:t xml:space="preserve"> almost all trouts and graylings </w:t>
            </w:r>
            <w:r w:rsidR="00080EF1">
              <w:rPr>
                <w:color w:val="000000"/>
                <w:sz w:val="20"/>
                <w:szCs w:val="20"/>
              </w:rPr>
              <w:t xml:space="preserve">were </w:t>
            </w:r>
            <w:r w:rsidRPr="00534267">
              <w:rPr>
                <w:color w:val="000000"/>
                <w:sz w:val="20"/>
                <w:szCs w:val="20"/>
              </w:rPr>
              <w:t xml:space="preserve">used to </w:t>
            </w:r>
            <w:r w:rsidR="00B2221D">
              <w:rPr>
                <w:color w:val="000000"/>
                <w:sz w:val="20"/>
                <w:szCs w:val="20"/>
              </w:rPr>
              <w:t>stock</w:t>
            </w:r>
            <w:r w:rsidRPr="00534267">
              <w:rPr>
                <w:color w:val="000000"/>
                <w:sz w:val="20"/>
                <w:szCs w:val="20"/>
              </w:rPr>
              <w:t xml:space="preserve"> rivers</w:t>
            </w:r>
            <w:r>
              <w:rPr>
                <w:color w:val="000000"/>
                <w:sz w:val="20"/>
                <w:szCs w:val="20"/>
              </w:rPr>
              <w:t xml:space="preserve"> in the study region. </w:t>
            </w:r>
          </w:p>
        </w:tc>
      </w:tr>
      <w:tr w:rsidR="007E1F82" w14:paraId="673826E0" w14:textId="77777777" w:rsidTr="00F5029A">
        <w:trPr>
          <w:trHeight w:val="784"/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14:paraId="186C48DF" w14:textId="6EE3A6A1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5006E">
              <w:rPr>
                <w:sz w:val="20"/>
              </w:rPr>
              <w:t>(Molkentin et al., 2015)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1416926" w14:textId="7999B2C6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Salmo salar; </w:t>
            </w:r>
          </w:p>
          <w:p w14:paraId="34509C6B" w14:textId="5AB0C284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Salmo trutta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1937C15" w14:textId="56E2E62F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LC</w:t>
            </w:r>
          </w:p>
          <w:p w14:paraId="138D778F" w14:textId="40F09101" w:rsidR="007E1F82" w:rsidRPr="00A44B5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LC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C8F9E4E" w14:textId="1EAB7A84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7944" w:type="dxa"/>
            <w:shd w:val="clear" w:color="auto" w:fill="E7E6E6" w:themeFill="background2"/>
            <w:vAlign w:val="center"/>
          </w:tcPr>
          <w:p w14:paraId="353075C0" w14:textId="7D0D5F1C" w:rsidR="007E1F82" w:rsidRPr="009958D8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2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Samples of organically and conventionally farmed salmons were purchased from retail stores and wholesale (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S. </w:t>
            </w:r>
            <w:r w:rsidRPr="00C2393C">
              <w:rPr>
                <w:i/>
                <w:iCs/>
                <w:color w:val="000000"/>
                <w:sz w:val="20"/>
                <w:szCs w:val="20"/>
              </w:rPr>
              <w:t>salar</w:t>
            </w:r>
            <w:r w:rsidRPr="00C2393C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or directly from fish farms (</w:t>
            </w:r>
            <w:r>
              <w:rPr>
                <w:i/>
                <w:iCs/>
                <w:color w:val="000000"/>
                <w:sz w:val="20"/>
                <w:szCs w:val="20"/>
              </w:rPr>
              <w:t>S. trutta</w:t>
            </w:r>
            <w:r>
              <w:rPr>
                <w:color w:val="000000"/>
                <w:sz w:val="20"/>
                <w:szCs w:val="20"/>
              </w:rPr>
              <w:t xml:space="preserve">). The commercial food supplied was also analyzed. No further information about </w:t>
            </w:r>
            <w:r w:rsidR="00B2221D">
              <w:rPr>
                <w:color w:val="000000"/>
                <w:sz w:val="20"/>
                <w:szCs w:val="20"/>
              </w:rPr>
              <w:t xml:space="preserve">the </w:t>
            </w:r>
            <w:r>
              <w:rPr>
                <w:color w:val="000000"/>
                <w:sz w:val="20"/>
                <w:szCs w:val="20"/>
              </w:rPr>
              <w:t xml:space="preserve">captive </w:t>
            </w:r>
            <w:r w:rsidR="00B2221D">
              <w:rPr>
                <w:color w:val="000000"/>
                <w:sz w:val="20"/>
                <w:szCs w:val="20"/>
              </w:rPr>
              <w:t xml:space="preserve">was </w:t>
            </w:r>
            <w:r>
              <w:rPr>
                <w:color w:val="000000"/>
                <w:sz w:val="20"/>
                <w:szCs w:val="20"/>
              </w:rPr>
              <w:t xml:space="preserve">provided. However, </w:t>
            </w:r>
            <w:r w:rsidRPr="00901AB7">
              <w:rPr>
                <w:color w:val="000000"/>
                <w:sz w:val="20"/>
                <w:szCs w:val="20"/>
              </w:rPr>
              <w:t>g</w:t>
            </w:r>
            <w:r w:rsidRPr="00901AB7">
              <w:rPr>
                <w:sz w:val="20"/>
                <w:szCs w:val="20"/>
              </w:rPr>
              <w:t>uidelines for organic farming require a</w:t>
            </w:r>
            <w:r>
              <w:rPr>
                <w:sz w:val="20"/>
                <w:szCs w:val="20"/>
              </w:rPr>
              <w:t xml:space="preserve">t least </w:t>
            </w:r>
            <w:r w:rsidRPr="00901AB7">
              <w:rPr>
                <w:sz w:val="20"/>
                <w:szCs w:val="20"/>
              </w:rPr>
              <w:t xml:space="preserve">40% </w:t>
            </w:r>
            <w:r>
              <w:rPr>
                <w:sz w:val="20"/>
                <w:szCs w:val="20"/>
              </w:rPr>
              <w:t xml:space="preserve">of </w:t>
            </w:r>
            <w:r w:rsidRPr="00901AB7">
              <w:rPr>
                <w:sz w:val="20"/>
                <w:szCs w:val="20"/>
              </w:rPr>
              <w:t>animal content for carnivorous species</w:t>
            </w:r>
            <w:r>
              <w:rPr>
                <w:sz w:val="20"/>
                <w:szCs w:val="20"/>
              </w:rPr>
              <w:t>.</w:t>
            </w:r>
            <w:r w:rsidRPr="00901A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conventional farms, </w:t>
            </w:r>
            <w:r w:rsidRPr="00901AB7">
              <w:rPr>
                <w:sz w:val="20"/>
                <w:szCs w:val="20"/>
              </w:rPr>
              <w:t xml:space="preserve">more than 60% </w:t>
            </w:r>
            <w:r w:rsidR="00B2221D">
              <w:rPr>
                <w:sz w:val="20"/>
                <w:szCs w:val="20"/>
              </w:rPr>
              <w:t xml:space="preserve">of </w:t>
            </w:r>
            <w:r w:rsidRPr="00901AB7">
              <w:rPr>
                <w:sz w:val="20"/>
                <w:szCs w:val="20"/>
              </w:rPr>
              <w:t xml:space="preserve">vegetable ingredients are </w:t>
            </w:r>
            <w:r>
              <w:rPr>
                <w:sz w:val="20"/>
                <w:szCs w:val="20"/>
              </w:rPr>
              <w:t>allowed</w:t>
            </w:r>
            <w:r w:rsidRPr="00901AB7">
              <w:rPr>
                <w:sz w:val="20"/>
                <w:szCs w:val="20"/>
              </w:rPr>
              <w:t>.</w:t>
            </w:r>
          </w:p>
        </w:tc>
      </w:tr>
      <w:tr w:rsidR="007E1F82" w14:paraId="2256EA97" w14:textId="77777777" w:rsidTr="00F5029A">
        <w:trPr>
          <w:trHeight w:val="784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E12068D" w14:textId="2E7C6301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D5006E">
              <w:rPr>
                <w:sz w:val="20"/>
              </w:rPr>
              <w:t>(Chaguri et al., 2017)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3EF361" w14:textId="1E64DA29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Argyrosomus regius</w:t>
            </w:r>
          </w:p>
          <w:p w14:paraId="560BAC79" w14:textId="77777777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E48ECD" w14:textId="2B388EE1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LC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E3ACAA" w14:textId="3387E70E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7944" w:type="dxa"/>
            <w:shd w:val="clear" w:color="auto" w:fill="FFFFFF" w:themeFill="background1"/>
            <w:vAlign w:val="center"/>
          </w:tcPr>
          <w:p w14:paraId="13471715" w14:textId="260C2CC4" w:rsidR="007E1F82" w:rsidRPr="00D75491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75491">
              <w:rPr>
                <w:iCs/>
                <w:color w:val="000000"/>
                <w:sz w:val="20"/>
                <w:szCs w:val="20"/>
              </w:rPr>
              <w:t xml:space="preserve">Samples </w:t>
            </w:r>
            <w:r>
              <w:rPr>
                <w:iCs/>
                <w:color w:val="000000"/>
                <w:sz w:val="20"/>
                <w:szCs w:val="20"/>
              </w:rPr>
              <w:t>from</w:t>
            </w:r>
            <w:r w:rsidRPr="00D75491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D75491">
              <w:rPr>
                <w:i/>
                <w:color w:val="000000"/>
                <w:sz w:val="20"/>
                <w:szCs w:val="20"/>
              </w:rPr>
              <w:t>A. regius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 xml:space="preserve">cultivated </w:t>
            </w:r>
            <w:r w:rsidRPr="00D75491">
              <w:rPr>
                <w:iCs/>
                <w:color w:val="000000"/>
                <w:sz w:val="20"/>
                <w:szCs w:val="20"/>
              </w:rPr>
              <w:t xml:space="preserve">in earth ponds from </w:t>
            </w:r>
            <w:r>
              <w:rPr>
                <w:iCs/>
                <w:color w:val="000000"/>
                <w:sz w:val="20"/>
                <w:szCs w:val="20"/>
              </w:rPr>
              <w:t>a local</w:t>
            </w:r>
            <w:r w:rsidRPr="00D75491">
              <w:rPr>
                <w:iCs/>
                <w:color w:val="000000"/>
                <w:sz w:val="20"/>
                <w:szCs w:val="20"/>
              </w:rPr>
              <w:t xml:space="preserve"> aquaculture</w:t>
            </w:r>
            <w:r>
              <w:rPr>
                <w:iCs/>
                <w:color w:val="000000"/>
                <w:sz w:val="20"/>
                <w:szCs w:val="20"/>
              </w:rPr>
              <w:t xml:space="preserve"> facility. </w:t>
            </w:r>
            <w:r>
              <w:rPr>
                <w:color w:val="000000"/>
                <w:sz w:val="20"/>
                <w:szCs w:val="20"/>
              </w:rPr>
              <w:t xml:space="preserve">No further information about </w:t>
            </w:r>
            <w:r w:rsidR="00B2221D">
              <w:rPr>
                <w:color w:val="000000"/>
                <w:sz w:val="20"/>
                <w:szCs w:val="20"/>
              </w:rPr>
              <w:t xml:space="preserve">the </w:t>
            </w:r>
            <w:r>
              <w:rPr>
                <w:color w:val="000000"/>
                <w:sz w:val="20"/>
                <w:szCs w:val="20"/>
              </w:rPr>
              <w:t xml:space="preserve">captive </w:t>
            </w:r>
            <w:r w:rsidR="00B2221D">
              <w:rPr>
                <w:color w:val="000000"/>
                <w:sz w:val="20"/>
                <w:szCs w:val="20"/>
              </w:rPr>
              <w:t xml:space="preserve">was </w:t>
            </w:r>
            <w:r>
              <w:rPr>
                <w:color w:val="000000"/>
                <w:sz w:val="20"/>
                <w:szCs w:val="20"/>
              </w:rPr>
              <w:t>provided.</w:t>
            </w:r>
            <w:r w:rsidRPr="00D75491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E1F82" w14:paraId="186AA469" w14:textId="77777777" w:rsidTr="00F5029A">
        <w:trPr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0901771" w14:textId="74EEE238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D5006E">
              <w:rPr>
                <w:sz w:val="20"/>
              </w:rPr>
              <w:t>(Farabegoli et al., 2018)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C21CFA7" w14:textId="5CBAAD1D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Dicentrarchus labrax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8282962" w14:textId="467DAEF7" w:rsidR="007E1F82" w:rsidRPr="0082549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9" w:right="-110"/>
              <w:jc w:val="center"/>
              <w:rPr>
                <w:iCs/>
                <w:color w:val="000000"/>
                <w:sz w:val="20"/>
                <w:szCs w:val="20"/>
                <w:lang w:val="pt-BR"/>
              </w:rPr>
            </w:pPr>
            <w:r w:rsidRPr="0042590E">
              <w:rPr>
                <w:iCs/>
                <w:color w:val="000000"/>
                <w:sz w:val="20"/>
                <w:szCs w:val="20"/>
                <w:lang w:val="pt-BR"/>
              </w:rPr>
              <w:t>LC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35FEB77" w14:textId="7FB7DA66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7944" w:type="dxa"/>
            <w:shd w:val="clear" w:color="auto" w:fill="E7E6E6" w:themeFill="background2"/>
            <w:vAlign w:val="center"/>
          </w:tcPr>
          <w:p w14:paraId="67C88E35" w14:textId="44239055" w:rsidR="007E1F82" w:rsidRPr="00D758FA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 xml:space="preserve">Samples of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D. labrax </w:t>
            </w:r>
            <w:r>
              <w:rPr>
                <w:color w:val="000000"/>
                <w:sz w:val="20"/>
                <w:szCs w:val="20"/>
              </w:rPr>
              <w:t>from intensive (</w:t>
            </w:r>
            <w:r w:rsidRPr="00DC6D12">
              <w:rPr>
                <w:iCs/>
                <w:sz w:val="20"/>
                <w:szCs w:val="20"/>
              </w:rPr>
              <w:t>up to 30 kg</w:t>
            </w:r>
            <w:r w:rsidR="00B2221D">
              <w:rPr>
                <w:iCs/>
                <w:sz w:val="20"/>
                <w:szCs w:val="20"/>
              </w:rPr>
              <w:t xml:space="preserve"> </w:t>
            </w:r>
            <w:r w:rsidRPr="00DC6D12">
              <w:rPr>
                <w:iCs/>
                <w:sz w:val="20"/>
                <w:szCs w:val="20"/>
              </w:rPr>
              <w:t>m</w:t>
            </w:r>
            <w:r w:rsidRPr="00DC6D12">
              <w:rPr>
                <w:iCs/>
                <w:sz w:val="20"/>
                <w:szCs w:val="20"/>
                <w:vertAlign w:val="superscript"/>
              </w:rPr>
              <w:t>-3</w:t>
            </w:r>
            <w:r>
              <w:rPr>
                <w:color w:val="000000"/>
                <w:sz w:val="20"/>
                <w:szCs w:val="20"/>
              </w:rPr>
              <w:t>), semi-intensiv</w:t>
            </w:r>
            <w:r w:rsidRPr="00DC6D12">
              <w:rPr>
                <w:color w:val="000000"/>
                <w:sz w:val="20"/>
                <w:szCs w:val="20"/>
              </w:rPr>
              <w:t>e (</w:t>
            </w:r>
            <w:r w:rsidRPr="00DC6D12">
              <w:rPr>
                <w:iCs/>
                <w:sz w:val="20"/>
                <w:szCs w:val="20"/>
              </w:rPr>
              <w:t>up to 1 kg m</w:t>
            </w:r>
            <w:r w:rsidRPr="00DC6D12">
              <w:rPr>
                <w:iCs/>
                <w:sz w:val="20"/>
                <w:szCs w:val="20"/>
                <w:vertAlign w:val="superscript"/>
              </w:rPr>
              <w:t>-3</w:t>
            </w:r>
            <w:r w:rsidRPr="00DC6D12">
              <w:rPr>
                <w:color w:val="000000"/>
                <w:sz w:val="20"/>
                <w:szCs w:val="20"/>
              </w:rPr>
              <w:t>)</w:t>
            </w:r>
            <w:r w:rsidR="00B2221D">
              <w:rPr>
                <w:color w:val="000000"/>
                <w:sz w:val="20"/>
                <w:szCs w:val="20"/>
              </w:rPr>
              <w:t>,</w:t>
            </w:r>
            <w:r w:rsidRPr="00DC6D12">
              <w:rPr>
                <w:color w:val="000000"/>
                <w:sz w:val="20"/>
                <w:szCs w:val="20"/>
              </w:rPr>
              <w:t xml:space="preserve"> and extensive (</w:t>
            </w:r>
            <w:r w:rsidRPr="00DC6D12">
              <w:rPr>
                <w:iCs/>
                <w:sz w:val="20"/>
                <w:szCs w:val="20"/>
              </w:rPr>
              <w:t>up to 0.0025 kg m-3</w:t>
            </w:r>
            <w:r w:rsidRPr="00DC6D12">
              <w:rPr>
                <w:color w:val="000000"/>
                <w:sz w:val="20"/>
                <w:szCs w:val="20"/>
              </w:rPr>
              <w:t>) rearing farms</w:t>
            </w:r>
            <w:r w:rsidRPr="00D758FA">
              <w:rPr>
                <w:color w:val="000000"/>
                <w:sz w:val="20"/>
                <w:szCs w:val="20"/>
              </w:rPr>
              <w:t>. The i</w:t>
            </w:r>
            <w:r w:rsidRPr="00D758FA">
              <w:rPr>
                <w:iCs/>
                <w:sz w:val="20"/>
                <w:szCs w:val="20"/>
              </w:rPr>
              <w:t>ntensive farms were equipped with either floating or submersible cages</w:t>
            </w:r>
            <w:r w:rsidR="00B2221D">
              <w:rPr>
                <w:iCs/>
                <w:sz w:val="20"/>
                <w:szCs w:val="20"/>
              </w:rPr>
              <w:t>,</w:t>
            </w:r>
            <w:r w:rsidRPr="00D758FA">
              <w:rPr>
                <w:iCs/>
                <w:sz w:val="20"/>
                <w:szCs w:val="20"/>
              </w:rPr>
              <w:t xml:space="preserve"> the semi-intensive with earthen tanks</w:t>
            </w:r>
            <w:r>
              <w:rPr>
                <w:iCs/>
                <w:sz w:val="20"/>
                <w:szCs w:val="20"/>
              </w:rPr>
              <w:t>,</w:t>
            </w:r>
            <w:r w:rsidRPr="00D758FA">
              <w:rPr>
                <w:iCs/>
                <w:sz w:val="20"/>
                <w:szCs w:val="20"/>
              </w:rPr>
              <w:t xml:space="preserve"> and </w:t>
            </w:r>
            <w:r>
              <w:rPr>
                <w:iCs/>
                <w:sz w:val="20"/>
                <w:szCs w:val="20"/>
              </w:rPr>
              <w:t xml:space="preserve">the </w:t>
            </w:r>
            <w:r w:rsidRPr="00D758FA">
              <w:rPr>
                <w:iCs/>
                <w:sz w:val="20"/>
                <w:szCs w:val="20"/>
              </w:rPr>
              <w:t>extensive</w:t>
            </w:r>
            <w:r>
              <w:rPr>
                <w:iCs/>
                <w:sz w:val="20"/>
                <w:szCs w:val="20"/>
              </w:rPr>
              <w:t xml:space="preserve"> farm was based in</w:t>
            </w:r>
            <w:r w:rsidRPr="00D758FA">
              <w:rPr>
                <w:iCs/>
                <w:sz w:val="20"/>
                <w:szCs w:val="20"/>
              </w:rPr>
              <w:t xml:space="preserve"> </w:t>
            </w:r>
            <w:r w:rsidRPr="00D758FA">
              <w:rPr>
                <w:sz w:val="20"/>
                <w:szCs w:val="20"/>
              </w:rPr>
              <w:t>valliculture</w:t>
            </w:r>
            <w:r>
              <w:rPr>
                <w:sz w:val="19"/>
                <w:szCs w:val="19"/>
              </w:rPr>
              <w:t xml:space="preserve">. </w:t>
            </w:r>
          </w:p>
        </w:tc>
      </w:tr>
      <w:tr w:rsidR="007E1F82" w14:paraId="4D38D043" w14:textId="77777777" w:rsidTr="00F5029A">
        <w:trPr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361E6AB" w14:textId="0B697BC7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D5006E">
              <w:rPr>
                <w:sz w:val="20"/>
              </w:rPr>
              <w:t>(Wang et al., 2018)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6D2BC5" w14:textId="54FEF09F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bookmarkStart w:id="0" w:name="_Hlk119321313"/>
            <w:r>
              <w:rPr>
                <w:i/>
                <w:color w:val="000000"/>
                <w:sz w:val="20"/>
                <w:szCs w:val="20"/>
              </w:rPr>
              <w:t>Salmo salar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35036C" w14:textId="52168F42" w:rsidR="007E1F82" w:rsidRPr="00A44B5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LC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B4C194" w14:textId="4B4284D9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7944" w:type="dxa"/>
            <w:shd w:val="clear" w:color="auto" w:fill="FFFFFF" w:themeFill="background1"/>
            <w:vAlign w:val="center"/>
          </w:tcPr>
          <w:p w14:paraId="75D144C9" w14:textId="6FD19F93" w:rsidR="007E1F82" w:rsidRPr="00DF1C25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of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S. salar </w:t>
            </w:r>
            <w:r>
              <w:rPr>
                <w:color w:val="000000"/>
                <w:sz w:val="20"/>
                <w:szCs w:val="20"/>
              </w:rPr>
              <w:t xml:space="preserve">came from </w:t>
            </w:r>
            <w:r w:rsidR="00B2221D">
              <w:rPr>
                <w:color w:val="000000"/>
                <w:sz w:val="20"/>
                <w:szCs w:val="20"/>
              </w:rPr>
              <w:t xml:space="preserve">a </w:t>
            </w:r>
            <w:r>
              <w:rPr>
                <w:color w:val="000000"/>
                <w:sz w:val="20"/>
                <w:szCs w:val="20"/>
              </w:rPr>
              <w:t xml:space="preserve">known organic producer or were purchased at the supermarket labeled as organically or conventionally reared. The authors </w:t>
            </w:r>
            <w:r w:rsidRPr="009450D9">
              <w:rPr>
                <w:color w:val="000000"/>
                <w:sz w:val="20"/>
                <w:szCs w:val="20"/>
              </w:rPr>
              <w:t>assume that farmed salmon obtained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50D9">
              <w:rPr>
                <w:color w:val="000000"/>
                <w:sz w:val="20"/>
                <w:szCs w:val="20"/>
              </w:rPr>
              <w:t>from supermarkets were raised according to the EU regulation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9450D9">
              <w:rPr>
                <w:color w:val="000000"/>
                <w:sz w:val="20"/>
                <w:szCs w:val="20"/>
              </w:rPr>
              <w:t>organic salmon are fed at least 40% marine originated diet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450D9">
              <w:rPr>
                <w:color w:val="000000"/>
                <w:sz w:val="20"/>
                <w:szCs w:val="20"/>
              </w:rPr>
              <w:t xml:space="preserve"> and conventional are fed less than 22%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50D9">
              <w:rPr>
                <w:color w:val="000000"/>
                <w:sz w:val="20"/>
                <w:szCs w:val="20"/>
              </w:rPr>
              <w:t>of marine origin since 2015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7E1F82" w14:paraId="4A56F243" w14:textId="77777777" w:rsidTr="00F5029A">
        <w:trPr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14:paraId="25AEBAD1" w14:textId="68BE3777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D5006E">
              <w:rPr>
                <w:sz w:val="20"/>
              </w:rPr>
              <w:t>(Gopi et al., 2019)</w:t>
            </w:r>
          </w:p>
        </w:tc>
        <w:bookmarkEnd w:id="0"/>
        <w:tc>
          <w:tcPr>
            <w:tcW w:w="2268" w:type="dxa"/>
            <w:shd w:val="clear" w:color="auto" w:fill="E7E6E6" w:themeFill="background2"/>
            <w:vAlign w:val="center"/>
          </w:tcPr>
          <w:p w14:paraId="1D95814C" w14:textId="5936C84B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Lates calcarifer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B8DF9C8" w14:textId="1A31E8F7" w:rsidR="007E1F82" w:rsidRPr="0042590E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LC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2E7F243" w14:textId="51EF542B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7944" w:type="dxa"/>
            <w:shd w:val="clear" w:color="auto" w:fill="E7E6E6" w:themeFill="background2"/>
            <w:vAlign w:val="center"/>
          </w:tcPr>
          <w:p w14:paraId="71D92824" w14:textId="1436BE18" w:rsidR="007E1F82" w:rsidRPr="009432B5" w:rsidRDefault="007E1F82" w:rsidP="007E1F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Samples of </w:t>
            </w:r>
            <w:r>
              <w:rPr>
                <w:i/>
                <w:iCs/>
                <w:color w:val="000000"/>
                <w:sz w:val="20"/>
                <w:szCs w:val="20"/>
              </w:rPr>
              <w:t>L. ca</w:t>
            </w:r>
            <w:r w:rsidRPr="009432B5">
              <w:rPr>
                <w:i/>
                <w:iCs/>
                <w:color w:val="000000"/>
                <w:sz w:val="20"/>
                <w:szCs w:val="20"/>
              </w:rPr>
              <w:t xml:space="preserve">lcarifer </w:t>
            </w:r>
            <w:r w:rsidRPr="009432B5">
              <w:rPr>
                <w:color w:val="000000"/>
                <w:sz w:val="20"/>
                <w:szCs w:val="20"/>
              </w:rPr>
              <w:t xml:space="preserve">came from </w:t>
            </w:r>
            <w:r w:rsidR="00B2221D">
              <w:rPr>
                <w:color w:val="000000"/>
                <w:sz w:val="20"/>
                <w:szCs w:val="20"/>
              </w:rPr>
              <w:t xml:space="preserve">the </w:t>
            </w:r>
            <w:r w:rsidRPr="009432B5">
              <w:rPr>
                <w:rFonts w:eastAsiaTheme="minorHAnsi"/>
                <w:sz w:val="20"/>
                <w:szCs w:val="20"/>
                <w:lang w:eastAsia="en-US"/>
              </w:rPr>
              <w:t>wholesale market through collaboration with industry and research partners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9432B5">
              <w:rPr>
                <w:rFonts w:eastAsiaTheme="minorHAnsi"/>
                <w:sz w:val="20"/>
                <w:szCs w:val="20"/>
                <w:lang w:eastAsia="en-US"/>
              </w:rPr>
              <w:t>The samples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432B5">
              <w:rPr>
                <w:rFonts w:eastAsiaTheme="minorHAnsi"/>
                <w:sz w:val="20"/>
                <w:szCs w:val="20"/>
                <w:lang w:eastAsia="en-US"/>
              </w:rPr>
              <w:t>were randomly collected from different ponds at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432B5">
              <w:rPr>
                <w:rFonts w:eastAsiaTheme="minorHAnsi"/>
                <w:sz w:val="20"/>
                <w:szCs w:val="20"/>
                <w:lang w:eastAsia="en-US"/>
              </w:rPr>
              <w:t>each farm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No further information about </w:t>
            </w:r>
            <w:r w:rsidR="00B2221D">
              <w:rPr>
                <w:color w:val="000000"/>
                <w:sz w:val="20"/>
                <w:szCs w:val="20"/>
              </w:rPr>
              <w:t xml:space="preserve">the </w:t>
            </w:r>
            <w:r>
              <w:rPr>
                <w:color w:val="000000"/>
                <w:sz w:val="20"/>
                <w:szCs w:val="20"/>
              </w:rPr>
              <w:t xml:space="preserve">captive </w:t>
            </w:r>
            <w:r w:rsidR="00B2221D">
              <w:rPr>
                <w:color w:val="000000"/>
                <w:sz w:val="20"/>
                <w:szCs w:val="20"/>
              </w:rPr>
              <w:t xml:space="preserve">was </w:t>
            </w:r>
            <w:r>
              <w:rPr>
                <w:color w:val="000000"/>
                <w:sz w:val="20"/>
                <w:szCs w:val="20"/>
              </w:rPr>
              <w:t xml:space="preserve">provided. However, the study </w:t>
            </w:r>
            <w:r w:rsidR="00B2221D">
              <w:rPr>
                <w:color w:val="000000"/>
                <w:sz w:val="20"/>
                <w:szCs w:val="20"/>
              </w:rPr>
              <w:t>mentions</w:t>
            </w:r>
            <w:r>
              <w:rPr>
                <w:color w:val="000000"/>
                <w:sz w:val="20"/>
                <w:szCs w:val="20"/>
              </w:rPr>
              <w:t xml:space="preserve"> that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L. calcarifer </w:t>
            </w:r>
            <w:r w:rsidRPr="009432B5">
              <w:rPr>
                <w:rFonts w:eastAsiaTheme="minorHAnsi"/>
                <w:sz w:val="20"/>
                <w:szCs w:val="20"/>
                <w:lang w:eastAsia="en-US"/>
              </w:rPr>
              <w:t xml:space="preserve">has been farmed in brackish water, </w:t>
            </w:r>
            <w:r w:rsidR="00B2221D">
              <w:rPr>
                <w:rFonts w:eastAsiaTheme="minorHAnsi"/>
                <w:sz w:val="20"/>
                <w:szCs w:val="20"/>
                <w:lang w:eastAsia="en-US"/>
              </w:rPr>
              <w:t>freshwater</w:t>
            </w:r>
            <w:r w:rsidRPr="009432B5">
              <w:rPr>
                <w:rFonts w:eastAsiaTheme="minorHAnsi"/>
                <w:sz w:val="20"/>
                <w:szCs w:val="20"/>
                <w:lang w:eastAsia="en-US"/>
              </w:rPr>
              <w:t xml:space="preserve">, and </w:t>
            </w:r>
          </w:p>
          <w:p w14:paraId="60B437D5" w14:textId="7EDF9E4F" w:rsidR="007E1F82" w:rsidRPr="009432B5" w:rsidRDefault="007E1F82" w:rsidP="007E1F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32B5">
              <w:rPr>
                <w:rFonts w:eastAsiaTheme="minorHAnsi"/>
                <w:sz w:val="20"/>
                <w:szCs w:val="20"/>
                <w:lang w:eastAsia="en-US"/>
              </w:rPr>
              <w:t>marine conditions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9432B5">
              <w:rPr>
                <w:rFonts w:eastAsiaTheme="minorHAnsi"/>
                <w:sz w:val="20"/>
                <w:szCs w:val="20"/>
                <w:lang w:eastAsia="en-US"/>
              </w:rPr>
              <w:t>Pond or net-cage culture is the preferred method of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432B5">
              <w:rPr>
                <w:rFonts w:eastAsiaTheme="minorHAnsi"/>
                <w:sz w:val="20"/>
                <w:szCs w:val="20"/>
                <w:lang w:eastAsia="en-US"/>
              </w:rPr>
              <w:t>cultivati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on.</w:t>
            </w:r>
          </w:p>
        </w:tc>
      </w:tr>
      <w:tr w:rsidR="007E1F82" w14:paraId="086BA6B4" w14:textId="77777777" w:rsidTr="00F5029A">
        <w:trPr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6D035A0" w14:textId="6462B695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360899">
              <w:rPr>
                <w:sz w:val="20"/>
              </w:rPr>
              <w:lastRenderedPageBreak/>
              <w:t>(Pereira et al., 2019)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8F535D" w14:textId="63044B78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Arapaima spp.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7E0EE5" w14:textId="0E7EE55A" w:rsidR="007E1F82" w:rsidRPr="0042590E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DD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9AB2CB" w14:textId="7D871F5E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7944" w:type="dxa"/>
            <w:shd w:val="clear" w:color="auto" w:fill="FFFFFF" w:themeFill="background1"/>
            <w:vAlign w:val="center"/>
          </w:tcPr>
          <w:p w14:paraId="340E47A0" w14:textId="744C8045" w:rsidR="007E1F82" w:rsidRPr="00B149DE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from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Arapaima spp. </w:t>
            </w:r>
            <w:r>
              <w:rPr>
                <w:color w:val="000000"/>
                <w:sz w:val="20"/>
                <w:szCs w:val="20"/>
              </w:rPr>
              <w:t xml:space="preserve">farms or markets. No further information about </w:t>
            </w:r>
            <w:r w:rsidR="00B2221D">
              <w:rPr>
                <w:color w:val="000000"/>
                <w:sz w:val="20"/>
                <w:szCs w:val="20"/>
              </w:rPr>
              <w:t xml:space="preserve">the </w:t>
            </w:r>
            <w:r>
              <w:rPr>
                <w:color w:val="000000"/>
                <w:sz w:val="20"/>
                <w:szCs w:val="20"/>
              </w:rPr>
              <w:t xml:space="preserve">captive </w:t>
            </w:r>
            <w:r w:rsidR="00B2221D">
              <w:rPr>
                <w:color w:val="000000"/>
                <w:sz w:val="20"/>
                <w:szCs w:val="20"/>
              </w:rPr>
              <w:t xml:space="preserve">was </w:t>
            </w:r>
            <w:r>
              <w:rPr>
                <w:color w:val="000000"/>
                <w:sz w:val="20"/>
                <w:szCs w:val="20"/>
              </w:rPr>
              <w:t>provided.</w:t>
            </w:r>
          </w:p>
        </w:tc>
      </w:tr>
      <w:tr w:rsidR="007E1F82" w:rsidRPr="00360899" w14:paraId="4D774D6D" w14:textId="77777777" w:rsidTr="00F5029A">
        <w:trPr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E2256C9" w14:textId="3A03509D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360899">
              <w:rPr>
                <w:sz w:val="20"/>
                <w:lang w:val="pt-BR"/>
              </w:rPr>
              <w:t>(Vasconi et al., 2019)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E57EF9E" w14:textId="38C02398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Anguilla anguilla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E906C4C" w14:textId="4D4BD6AD" w:rsidR="007E1F82" w:rsidRPr="0042590E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9" w:right="-11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CR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7A5AD08" w14:textId="6ABF8869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7944" w:type="dxa"/>
            <w:shd w:val="clear" w:color="auto" w:fill="E7E6E6" w:themeFill="background2"/>
            <w:vAlign w:val="center"/>
          </w:tcPr>
          <w:p w14:paraId="259768AB" w14:textId="406F7CBB" w:rsidR="007E1F82" w:rsidRPr="0061034F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from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A. anguilla </w:t>
            </w:r>
            <w:r>
              <w:rPr>
                <w:color w:val="000000"/>
                <w:sz w:val="20"/>
                <w:szCs w:val="20"/>
              </w:rPr>
              <w:t>farm or purchased on a retail market labeled as from Netherlands, Denmark</w:t>
            </w:r>
            <w:r w:rsidR="00B2221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or Italy.</w:t>
            </w:r>
            <w:r w:rsidR="00B2221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The authors point out two main rearing </w:t>
            </w:r>
            <w:r w:rsidR="00B2221D">
              <w:rPr>
                <w:color w:val="000000"/>
                <w:sz w:val="20"/>
                <w:szCs w:val="20"/>
              </w:rPr>
              <w:t>systems</w:t>
            </w:r>
            <w:r>
              <w:rPr>
                <w:color w:val="000000"/>
                <w:sz w:val="20"/>
                <w:szCs w:val="20"/>
              </w:rPr>
              <w:t xml:space="preserve"> of eels in Europe: extensive rearing in ponds or vallicoltura (practiced by Italian farmers) or intensive rearing </w:t>
            </w:r>
            <w:r w:rsidRPr="00932EE2">
              <w:rPr>
                <w:color w:val="000000"/>
                <w:sz w:val="20"/>
                <w:szCs w:val="20"/>
              </w:rPr>
              <w:t>in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32EE2">
              <w:rPr>
                <w:color w:val="000000"/>
                <w:sz w:val="20"/>
                <w:szCs w:val="20"/>
              </w:rPr>
              <w:t>which eels are kept at their optimum temperature and fed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32EE2">
              <w:rPr>
                <w:color w:val="000000"/>
                <w:sz w:val="20"/>
                <w:szCs w:val="20"/>
              </w:rPr>
              <w:t>with extruded dry feed several times a day</w:t>
            </w:r>
            <w:r>
              <w:rPr>
                <w:color w:val="000000"/>
                <w:sz w:val="20"/>
                <w:szCs w:val="20"/>
              </w:rPr>
              <w:t xml:space="preserve"> (practiced by Dutch and Danish farmers).</w:t>
            </w:r>
          </w:p>
        </w:tc>
      </w:tr>
      <w:tr w:rsidR="007E1F82" w14:paraId="1D7EC9D3" w14:textId="77777777" w:rsidTr="00F5029A">
        <w:trPr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C7DEEAC" w14:textId="2C3872C0" w:rsidR="007E1F82" w:rsidRDefault="007E1F82" w:rsidP="00FE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0" w:right="-111"/>
              <w:jc w:val="center"/>
              <w:rPr>
                <w:i/>
                <w:color w:val="000000"/>
                <w:sz w:val="20"/>
                <w:szCs w:val="20"/>
              </w:rPr>
            </w:pPr>
            <w:r w:rsidRPr="00360899">
              <w:rPr>
                <w:sz w:val="20"/>
              </w:rPr>
              <w:t>(Nabaes Jodar, Cussac, &amp; Becker, 2020)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A05211" w14:textId="71F05871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0"/>
                <w:szCs w:val="20"/>
              </w:rPr>
              <w:t>Oncorhynchus mykiss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791B09" w14:textId="079C43DF" w:rsidR="007E1F82" w:rsidRPr="00096C73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FDB12E" w14:textId="63821273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7944" w:type="dxa"/>
            <w:shd w:val="clear" w:color="auto" w:fill="FFFFFF" w:themeFill="background1"/>
            <w:vAlign w:val="center"/>
          </w:tcPr>
          <w:p w14:paraId="020EFF57" w14:textId="03E823BB" w:rsidR="007E1F82" w:rsidRPr="00F54827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from three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O. mykiss </w:t>
            </w:r>
            <w:r w:rsidR="00B2221D">
              <w:rPr>
                <w:color w:val="000000"/>
                <w:sz w:val="20"/>
                <w:szCs w:val="20"/>
              </w:rPr>
              <w:t>farms</w:t>
            </w:r>
            <w:r>
              <w:rPr>
                <w:color w:val="000000"/>
                <w:sz w:val="20"/>
                <w:szCs w:val="20"/>
              </w:rPr>
              <w:t xml:space="preserve"> in the same region of wild </w:t>
            </w:r>
            <w:r w:rsidR="00080EF1">
              <w:rPr>
                <w:color w:val="000000"/>
                <w:sz w:val="20"/>
                <w:szCs w:val="20"/>
              </w:rPr>
              <w:t>ones</w:t>
            </w:r>
            <w:r>
              <w:rPr>
                <w:color w:val="000000"/>
                <w:sz w:val="20"/>
                <w:szCs w:val="20"/>
              </w:rPr>
              <w:t xml:space="preserve"> (Alicurá reservoir). No further information about </w:t>
            </w:r>
            <w:r w:rsidR="00B2221D">
              <w:rPr>
                <w:color w:val="000000"/>
                <w:sz w:val="20"/>
                <w:szCs w:val="20"/>
              </w:rPr>
              <w:t xml:space="preserve">the </w:t>
            </w:r>
            <w:r>
              <w:rPr>
                <w:color w:val="000000"/>
                <w:sz w:val="20"/>
                <w:szCs w:val="20"/>
              </w:rPr>
              <w:t xml:space="preserve">captive </w:t>
            </w:r>
            <w:r w:rsidR="00B2221D">
              <w:rPr>
                <w:color w:val="000000"/>
                <w:sz w:val="20"/>
                <w:szCs w:val="20"/>
              </w:rPr>
              <w:t xml:space="preserve">was </w:t>
            </w:r>
            <w:r>
              <w:rPr>
                <w:color w:val="000000"/>
                <w:sz w:val="20"/>
                <w:szCs w:val="20"/>
              </w:rPr>
              <w:t>provided.</w:t>
            </w:r>
          </w:p>
        </w:tc>
      </w:tr>
      <w:tr w:rsidR="007E1F82" w14:paraId="71F6AA6F" w14:textId="77777777" w:rsidTr="00F5029A">
        <w:trPr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14:paraId="529AEB71" w14:textId="0C96EFD1" w:rsidR="007E1F82" w:rsidRPr="0082549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0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360899">
              <w:rPr>
                <w:sz w:val="20"/>
              </w:rPr>
              <w:t>(Liu et al., 2020)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92E627E" w14:textId="5AF05FE0" w:rsidR="007E1F82" w:rsidRPr="0082549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0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825492">
              <w:rPr>
                <w:i/>
                <w:color w:val="000000"/>
                <w:sz w:val="20"/>
                <w:szCs w:val="20"/>
              </w:rPr>
              <w:t>Cyprinus carpio</w:t>
            </w:r>
          </w:p>
          <w:p w14:paraId="6B917507" w14:textId="5C6D0860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0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341BC">
              <w:rPr>
                <w:i/>
                <w:color w:val="000000"/>
                <w:sz w:val="20"/>
                <w:szCs w:val="20"/>
              </w:rPr>
              <w:t xml:space="preserve">Ctenopharyngodon idella; </w:t>
            </w:r>
          </w:p>
          <w:p w14:paraId="288D8AF7" w14:textId="590CD6A4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0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341BC">
              <w:rPr>
                <w:i/>
                <w:color w:val="000000"/>
                <w:sz w:val="20"/>
                <w:szCs w:val="20"/>
              </w:rPr>
              <w:t>Hypophthalmichthys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341BC">
              <w:rPr>
                <w:i/>
                <w:color w:val="000000"/>
                <w:sz w:val="20"/>
                <w:szCs w:val="20"/>
              </w:rPr>
              <w:t xml:space="preserve">molitrix; </w:t>
            </w:r>
          </w:p>
          <w:p w14:paraId="4A7045D4" w14:textId="58A39B7A" w:rsidR="007E1F82" w:rsidRPr="00E341BC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0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341BC">
              <w:rPr>
                <w:i/>
                <w:color w:val="000000"/>
                <w:sz w:val="20"/>
                <w:szCs w:val="20"/>
              </w:rPr>
              <w:t>Mylopharyngodon piceus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61A67F1" w14:textId="559CDE15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pt-BR"/>
              </w:rPr>
            </w:pPr>
            <w:r>
              <w:rPr>
                <w:iCs/>
                <w:color w:val="000000"/>
                <w:sz w:val="20"/>
                <w:szCs w:val="20"/>
                <w:lang w:val="pt-BR"/>
              </w:rPr>
              <w:t>VU</w:t>
            </w:r>
          </w:p>
          <w:p w14:paraId="03E00935" w14:textId="642E2796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LC</w:t>
            </w:r>
          </w:p>
          <w:p w14:paraId="59B19CED" w14:textId="47EDE05A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NT</w:t>
            </w:r>
          </w:p>
          <w:p w14:paraId="5033BDCA" w14:textId="16F258D7" w:rsidR="007E1F82" w:rsidRPr="00E341BC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LC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C9B649D" w14:textId="51CDEFC9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7944" w:type="dxa"/>
            <w:shd w:val="clear" w:color="auto" w:fill="E7E6E6" w:themeFill="background2"/>
            <w:vAlign w:val="center"/>
          </w:tcPr>
          <w:p w14:paraId="6C04DE2C" w14:textId="28238204" w:rsidR="007E1F82" w:rsidRPr="00DE1220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1220">
              <w:rPr>
                <w:color w:val="000000"/>
                <w:sz w:val="20"/>
                <w:szCs w:val="20"/>
              </w:rPr>
              <w:t xml:space="preserve">Samples of lake-farmed and pond-farmed </w:t>
            </w:r>
            <w:r w:rsidR="00B2221D">
              <w:rPr>
                <w:color w:val="000000"/>
                <w:sz w:val="20"/>
                <w:szCs w:val="20"/>
              </w:rPr>
              <w:t>carp</w:t>
            </w:r>
            <w:r w:rsidRPr="00DE1220">
              <w:rPr>
                <w:color w:val="000000"/>
                <w:sz w:val="20"/>
                <w:szCs w:val="20"/>
              </w:rPr>
              <w:t>. Lake-farmed carp were collected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1220">
              <w:rPr>
                <w:rFonts w:eastAsia="CharisSIL"/>
                <w:sz w:val="20"/>
                <w:szCs w:val="20"/>
                <w:lang w:eastAsia="en-US"/>
              </w:rPr>
              <w:t xml:space="preserve">from 4 large fish enclosures (each&gt;10 km2) and fed under protocols </w:t>
            </w:r>
            <w:r w:rsidR="00B2221D">
              <w:rPr>
                <w:rFonts w:eastAsia="CharisSIL"/>
                <w:sz w:val="20"/>
                <w:szCs w:val="20"/>
                <w:lang w:eastAsia="en-US"/>
              </w:rPr>
              <w:t xml:space="preserve">that </w:t>
            </w:r>
            <w:r w:rsidRPr="00DE1220">
              <w:rPr>
                <w:rFonts w:eastAsia="CharisSIL"/>
                <w:sz w:val="20"/>
                <w:szCs w:val="20"/>
                <w:lang w:eastAsia="en-US"/>
              </w:rPr>
              <w:t>comply with Organic Aquaculture Certification Standards. Pond-farmed carp were collected from 20 ponds.</w:t>
            </w:r>
            <w:r>
              <w:rPr>
                <w:rFonts w:eastAsia="CharisSIL"/>
                <w:sz w:val="20"/>
                <w:szCs w:val="20"/>
                <w:lang w:eastAsia="en-US"/>
              </w:rPr>
              <w:t xml:space="preserve"> </w:t>
            </w:r>
            <w:r w:rsidRPr="00DE1220">
              <w:rPr>
                <w:rFonts w:eastAsia="CharisSIL"/>
                <w:sz w:val="20"/>
                <w:szCs w:val="20"/>
                <w:lang w:eastAsia="en-US"/>
              </w:rPr>
              <w:t>Water was piped directly from a regional lake into these large artificial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1220">
              <w:rPr>
                <w:rFonts w:eastAsia="CharisSIL"/>
                <w:sz w:val="20"/>
                <w:szCs w:val="20"/>
                <w:lang w:eastAsia="en-US"/>
              </w:rPr>
              <w:t>ponds (depth&gt;3 m) and exchanged every 15 days. The density of carp in pond-farmed systems was higher than lake-farmed carp by at least 20 fish per m</w:t>
            </w:r>
            <w:r w:rsidRPr="00DE1220">
              <w:rPr>
                <w:rFonts w:eastAsia="CharisSIL"/>
                <w:sz w:val="20"/>
                <w:szCs w:val="20"/>
                <w:vertAlign w:val="superscript"/>
                <w:lang w:eastAsia="en-US"/>
              </w:rPr>
              <w:t>2</w:t>
            </w:r>
            <w:r w:rsidR="00B2221D" w:rsidRPr="00B2221D">
              <w:rPr>
                <w:rFonts w:eastAsia="CharisSIL"/>
                <w:sz w:val="20"/>
                <w:szCs w:val="20"/>
                <w:lang w:eastAsia="en-US"/>
              </w:rPr>
              <w:t>,</w:t>
            </w:r>
            <w:r>
              <w:rPr>
                <w:rFonts w:eastAsia="CharisSIL"/>
                <w:sz w:val="20"/>
                <w:szCs w:val="20"/>
                <w:lang w:eastAsia="en-US"/>
              </w:rPr>
              <w:t xml:space="preserve"> and the fishes </w:t>
            </w:r>
            <w:r w:rsidRPr="00DE1220">
              <w:rPr>
                <w:rFonts w:eastAsia="CharisSIL"/>
                <w:sz w:val="20"/>
                <w:szCs w:val="20"/>
                <w:lang w:eastAsia="en-US"/>
              </w:rPr>
              <w:t>were intensively fed (&gt; 5 kg per m</w:t>
            </w:r>
            <w:r w:rsidRPr="00DE1220">
              <w:rPr>
                <w:rFonts w:eastAsia="CharisSIL"/>
                <w:sz w:val="20"/>
                <w:szCs w:val="20"/>
                <w:vertAlign w:val="superscript"/>
                <w:lang w:eastAsia="en-US"/>
              </w:rPr>
              <w:t>2</w:t>
            </w:r>
            <w:r w:rsidRPr="00DE1220">
              <w:rPr>
                <w:rFonts w:eastAsia="CharisSIL"/>
                <w:sz w:val="20"/>
                <w:szCs w:val="20"/>
                <w:lang w:eastAsia="en-US"/>
              </w:rPr>
              <w:t xml:space="preserve"> per day) using plant and animal-based proteins.</w:t>
            </w:r>
          </w:p>
        </w:tc>
      </w:tr>
      <w:tr w:rsidR="007E1F82" w14:paraId="7A688AEC" w14:textId="77777777" w:rsidTr="00F5029A">
        <w:trPr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BC9CA05" w14:textId="157AE405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0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360899">
              <w:rPr>
                <w:sz w:val="20"/>
              </w:rPr>
              <w:t>(Dittrich, Struck, &amp; Rödel, 2017)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358B57" w14:textId="6E9C432B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0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Hoplobatrachus rugulosus;</w:t>
            </w:r>
          </w:p>
          <w:p w14:paraId="0F2F6479" w14:textId="77777777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Fejervarya cancrivora; Limnonectes macrodon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C408B2" w14:textId="06A9D9A4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LC</w:t>
            </w:r>
          </w:p>
          <w:p w14:paraId="45A7A7FF" w14:textId="1F721A95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LC</w:t>
            </w:r>
          </w:p>
          <w:p w14:paraId="282E1D99" w14:textId="485C05DD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LC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8EA43F" w14:textId="27C9C8D0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7944" w:type="dxa"/>
            <w:shd w:val="clear" w:color="auto" w:fill="FFFFFF" w:themeFill="background1"/>
            <w:vAlign w:val="center"/>
          </w:tcPr>
          <w:p w14:paraId="0C322D6F" w14:textId="562F379D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from three species of deep-frozen frog legs from Vietnam and Indonesia </w:t>
            </w:r>
            <w:r w:rsidR="00B2221D">
              <w:rPr>
                <w:color w:val="000000"/>
                <w:sz w:val="20"/>
                <w:szCs w:val="20"/>
              </w:rPr>
              <w:t xml:space="preserve">were </w:t>
            </w:r>
            <w:r>
              <w:rPr>
                <w:color w:val="000000"/>
                <w:sz w:val="20"/>
                <w:szCs w:val="20"/>
              </w:rPr>
              <w:t>bought in supermarkets in Germany. Captive conditions are unknown. However, according to the package labels and the authors’ conclusions, Vietnamese samples are from frog farms</w:t>
            </w:r>
            <w:r w:rsidR="00B2221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and Indonesian samples are from wild or free-ranging farming.</w:t>
            </w:r>
          </w:p>
        </w:tc>
      </w:tr>
      <w:tr w:rsidR="007E1F82" w14:paraId="6109C95C" w14:textId="77777777" w:rsidTr="00F5029A">
        <w:trPr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75E57F6" w14:textId="268A450C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360899">
              <w:rPr>
                <w:sz w:val="20"/>
              </w:rPr>
              <w:t>(</w:t>
            </w:r>
            <w:proofErr w:type="gramStart"/>
            <w:r w:rsidRPr="00360899">
              <w:rPr>
                <w:sz w:val="20"/>
              </w:rPr>
              <w:t>van</w:t>
            </w:r>
            <w:proofErr w:type="gramEnd"/>
            <w:r w:rsidRPr="00360899">
              <w:rPr>
                <w:sz w:val="20"/>
              </w:rPr>
              <w:t xml:space="preserve"> Schingen et al., 2016)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AA09F42" w14:textId="72FA4CB9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Shinisaurus crocodilurus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F0A9978" w14:textId="5D035434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F15A52E" w14:textId="03299B3C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7944" w:type="dxa"/>
            <w:shd w:val="clear" w:color="auto" w:fill="E7E6E6" w:themeFill="background2"/>
            <w:vAlign w:val="center"/>
          </w:tcPr>
          <w:p w14:paraId="44AE590D" w14:textId="34A1E422" w:rsidR="007E1F82" w:rsidRPr="00B42EF6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42EF6">
              <w:rPr>
                <w:color w:val="000000"/>
                <w:sz w:val="20"/>
                <w:szCs w:val="20"/>
              </w:rPr>
              <w:t xml:space="preserve">Samples from </w:t>
            </w:r>
            <w:r w:rsidRPr="00B42EF6">
              <w:rPr>
                <w:i/>
                <w:iCs/>
                <w:color w:val="000000"/>
                <w:sz w:val="20"/>
                <w:szCs w:val="20"/>
              </w:rPr>
              <w:t xml:space="preserve">S. crocodilrus </w:t>
            </w:r>
            <w:r w:rsidRPr="00B42EF6">
              <w:rPr>
                <w:color w:val="000000"/>
                <w:sz w:val="20"/>
                <w:szCs w:val="20"/>
              </w:rPr>
              <w:t xml:space="preserve">born in captivity. </w:t>
            </w:r>
            <w:r w:rsidRPr="00B42EF6">
              <w:rPr>
                <w:sz w:val="20"/>
                <w:szCs w:val="20"/>
              </w:rPr>
              <w:t>Adult</w:t>
            </w:r>
            <w:r>
              <w:rPr>
                <w:sz w:val="20"/>
                <w:szCs w:val="20"/>
              </w:rPr>
              <w:t>s</w:t>
            </w:r>
            <w:r w:rsidRPr="00B42EF6">
              <w:rPr>
                <w:sz w:val="20"/>
                <w:szCs w:val="20"/>
              </w:rPr>
              <w:t xml:space="preserve"> are kept i</w:t>
            </w:r>
            <w:r>
              <w:rPr>
                <w:sz w:val="20"/>
                <w:szCs w:val="20"/>
              </w:rPr>
              <w:t xml:space="preserve">n </w:t>
            </w:r>
            <w:r w:rsidRPr="00B42EF6">
              <w:rPr>
                <w:sz w:val="20"/>
                <w:szCs w:val="20"/>
              </w:rPr>
              <w:t>groups of three to four individuals in outdoor enclosures of about 2–7 m</w:t>
            </w:r>
            <w:r w:rsidRPr="00B42EF6">
              <w:rPr>
                <w:sz w:val="20"/>
                <w:szCs w:val="20"/>
                <w:vertAlign w:val="superscript"/>
              </w:rPr>
              <w:t>2</w:t>
            </w:r>
            <w:r w:rsidRPr="00B42EF6">
              <w:rPr>
                <w:sz w:val="20"/>
                <w:szCs w:val="20"/>
              </w:rPr>
              <w:t>, while juveniles are kept in small groups or pairs within plastic boxes inside the station during the first months. Animals are fed once or twice a week</w:t>
            </w:r>
            <w:r w:rsidR="00080EF1">
              <w:rPr>
                <w:sz w:val="20"/>
                <w:szCs w:val="20"/>
              </w:rPr>
              <w:t>,</w:t>
            </w:r>
            <w:r w:rsidRPr="00B42EF6">
              <w:rPr>
                <w:sz w:val="20"/>
                <w:szCs w:val="20"/>
              </w:rPr>
              <w:t xml:space="preserve"> mainly</w:t>
            </w:r>
            <w:r w:rsidR="00080EF1">
              <w:rPr>
                <w:sz w:val="20"/>
                <w:szCs w:val="20"/>
              </w:rPr>
              <w:t xml:space="preserve"> </w:t>
            </w:r>
            <w:r w:rsidR="00080EF1" w:rsidRPr="00B42EF6">
              <w:rPr>
                <w:sz w:val="20"/>
                <w:szCs w:val="20"/>
              </w:rPr>
              <w:t>with</w:t>
            </w:r>
            <w:r w:rsidRPr="00B42EF6">
              <w:rPr>
                <w:sz w:val="20"/>
                <w:szCs w:val="20"/>
              </w:rPr>
              <w:t xml:space="preserve"> beetle larvae and sometimes earthworms and crickets, while juveniles are fed more frequently</w:t>
            </w:r>
            <w:r>
              <w:rPr>
                <w:sz w:val="20"/>
                <w:szCs w:val="20"/>
              </w:rPr>
              <w:t>.</w:t>
            </w:r>
          </w:p>
        </w:tc>
      </w:tr>
      <w:tr w:rsidR="007E1F82" w14:paraId="411CD9AC" w14:textId="77777777" w:rsidTr="00F5029A">
        <w:trPr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6FE332C" w14:textId="21879DCD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360899">
              <w:rPr>
                <w:sz w:val="20"/>
              </w:rPr>
              <w:t>(Natusch et al., 2017)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35F7A5" w14:textId="5DB2FF6F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Python reticulatus;</w:t>
            </w:r>
          </w:p>
          <w:p w14:paraId="6F565E0A" w14:textId="7FD74482" w:rsidR="007E1F82" w:rsidRPr="006C0884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Python bivittatus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D6B17C" w14:textId="59E54703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LC</w:t>
            </w:r>
          </w:p>
          <w:p w14:paraId="5F62A6BC" w14:textId="3BED1BD7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VU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68A1C3" w14:textId="03B86F44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7944" w:type="dxa"/>
            <w:shd w:val="clear" w:color="auto" w:fill="FFFFFF" w:themeFill="background1"/>
            <w:vAlign w:val="center"/>
          </w:tcPr>
          <w:p w14:paraId="267E42AE" w14:textId="6B2BC730" w:rsidR="007E1F82" w:rsidRDefault="007E1F82" w:rsidP="007E1F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from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P. reticulatus </w:t>
            </w:r>
            <w:r w:rsidRPr="006C0884">
              <w:rPr>
                <w:color w:val="000000"/>
                <w:sz w:val="20"/>
                <w:szCs w:val="20"/>
              </w:rPr>
              <w:t>reared on a diet of wild-caught rats (</w:t>
            </w:r>
            <w:r w:rsidRPr="006C0884">
              <w:rPr>
                <w:i/>
                <w:iCs/>
                <w:color w:val="000000"/>
                <w:sz w:val="20"/>
                <w:szCs w:val="20"/>
              </w:rPr>
              <w:t>Rattus argentiventer</w:t>
            </w:r>
            <w:r w:rsidRPr="006C0884">
              <w:rPr>
                <w:color w:val="000000"/>
                <w:sz w:val="20"/>
                <w:szCs w:val="20"/>
              </w:rPr>
              <w:t>) at a commercial breeding facility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66A352EF" w14:textId="271EB527" w:rsidR="007E1F82" w:rsidRPr="006C0884" w:rsidRDefault="007E1F82" w:rsidP="007E1F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from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P. bivittatus </w:t>
            </w:r>
            <w:r>
              <w:rPr>
                <w:color w:val="000000"/>
                <w:sz w:val="20"/>
                <w:szCs w:val="20"/>
              </w:rPr>
              <w:t xml:space="preserve">born </w:t>
            </w:r>
            <w:r w:rsidR="00B2221D">
              <w:rPr>
                <w:color w:val="000000"/>
                <w:sz w:val="20"/>
                <w:szCs w:val="20"/>
              </w:rPr>
              <w:t>on</w:t>
            </w:r>
            <w:r>
              <w:rPr>
                <w:color w:val="000000"/>
                <w:sz w:val="20"/>
                <w:szCs w:val="20"/>
              </w:rPr>
              <w:t xml:space="preserve"> a python farm and raised in a dietary experiment for 13 months. The experiment included </w:t>
            </w:r>
            <w:r w:rsidR="00B2221D">
              <w:rPr>
                <w:color w:val="000000"/>
                <w:sz w:val="20"/>
                <w:szCs w:val="20"/>
              </w:rPr>
              <w:t>wild rats</w:t>
            </w:r>
            <w:r>
              <w:rPr>
                <w:color w:val="000000"/>
                <w:sz w:val="20"/>
                <w:szCs w:val="20"/>
              </w:rPr>
              <w:t xml:space="preserve"> or sausages </w:t>
            </w:r>
            <w:r w:rsidRPr="004F684A">
              <w:rPr>
                <w:color w:val="000000"/>
                <w:sz w:val="20"/>
                <w:szCs w:val="20"/>
              </w:rPr>
              <w:t>made from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F684A">
              <w:rPr>
                <w:color w:val="000000"/>
                <w:sz w:val="20"/>
                <w:szCs w:val="20"/>
              </w:rPr>
              <w:t>reconstituted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F684A">
              <w:rPr>
                <w:color w:val="000000"/>
                <w:sz w:val="20"/>
                <w:szCs w:val="20"/>
              </w:rPr>
              <w:t>waste protein</w:t>
            </w:r>
            <w:r>
              <w:rPr>
                <w:color w:val="000000"/>
                <w:sz w:val="20"/>
                <w:szCs w:val="20"/>
              </w:rPr>
              <w:t xml:space="preserve">, the predominant items on captive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P. bivittatus </w:t>
            </w:r>
            <w:r>
              <w:rPr>
                <w:color w:val="000000"/>
                <w:sz w:val="20"/>
                <w:szCs w:val="20"/>
              </w:rPr>
              <w:t>diet in Viet Nam.</w:t>
            </w:r>
          </w:p>
        </w:tc>
      </w:tr>
      <w:tr w:rsidR="007E1F82" w14:paraId="3352D5C0" w14:textId="77777777" w:rsidTr="00F5029A">
        <w:trPr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14:paraId="18564583" w14:textId="6ABD7D0A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360899">
              <w:rPr>
                <w:sz w:val="20"/>
              </w:rPr>
              <w:lastRenderedPageBreak/>
              <w:t>(Hill et al., 2020)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5107619" w14:textId="09B24D90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Trachemys scripta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38F5055" w14:textId="4DDB44DF" w:rsidR="007E1F82" w:rsidRPr="0063060A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LC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4F2ACB0" w14:textId="3E97360A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7944" w:type="dxa"/>
            <w:shd w:val="clear" w:color="auto" w:fill="E7E6E6" w:themeFill="background2"/>
            <w:vAlign w:val="center"/>
          </w:tcPr>
          <w:p w14:paraId="0C09B003" w14:textId="6B9096C5" w:rsidR="007E1F82" w:rsidRPr="00221327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from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T. scripta </w:t>
            </w:r>
            <w:r w:rsidRPr="004B1E0C">
              <w:rPr>
                <w:rFonts w:cs="Adobe Garamond Pro"/>
                <w:color w:val="000000"/>
                <w:sz w:val="20"/>
                <w:szCs w:val="20"/>
              </w:rPr>
              <w:t>seize</w:t>
            </w:r>
            <w:r>
              <w:rPr>
                <w:rFonts w:cs="Adobe Garamond Pro"/>
                <w:color w:val="000000"/>
                <w:sz w:val="20"/>
                <w:szCs w:val="20"/>
              </w:rPr>
              <w:t>d by</w:t>
            </w:r>
            <w:r w:rsidRPr="004B1E0C">
              <w:rPr>
                <w:rFonts w:cs="Adobe Garamond Pro"/>
                <w:color w:val="000000"/>
                <w:sz w:val="20"/>
                <w:szCs w:val="20"/>
              </w:rPr>
              <w:t xml:space="preserve"> state wildlife compliance agencies.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2221D">
              <w:rPr>
                <w:color w:val="000000"/>
                <w:sz w:val="20"/>
                <w:szCs w:val="20"/>
              </w:rPr>
              <w:t>Specimens</w:t>
            </w:r>
            <w:r>
              <w:rPr>
                <w:color w:val="000000"/>
                <w:sz w:val="20"/>
                <w:szCs w:val="20"/>
              </w:rPr>
              <w:t xml:space="preserve"> were classified as “wild” or “captive” based </w:t>
            </w:r>
            <w:r w:rsidRPr="004B1E0C">
              <w:rPr>
                <w:rFonts w:cs="Adobe Garamond Pro"/>
                <w:color w:val="000000"/>
                <w:sz w:val="20"/>
                <w:szCs w:val="20"/>
              </w:rPr>
              <w:t>on the assumed environmental history</w:t>
            </w:r>
            <w:r>
              <w:rPr>
                <w:rFonts w:cs="Adobe Garamond Pro"/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Captive conditions are unknown.</w:t>
            </w:r>
          </w:p>
        </w:tc>
      </w:tr>
      <w:tr w:rsidR="007E1F82" w14:paraId="4C8D08B3" w14:textId="77777777" w:rsidTr="00F5029A">
        <w:trPr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2A579DC" w14:textId="0272D1FC" w:rsidR="007E1F82" w:rsidRDefault="007E1F82" w:rsidP="0098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0" w:right="-111"/>
              <w:jc w:val="center"/>
              <w:rPr>
                <w:i/>
                <w:color w:val="000000"/>
                <w:sz w:val="20"/>
                <w:szCs w:val="20"/>
              </w:rPr>
            </w:pPr>
            <w:r w:rsidRPr="00360899">
              <w:rPr>
                <w:sz w:val="20"/>
              </w:rPr>
              <w:t>(A. Kelly, Thompson, &amp; Newton, 2008)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0CB24B6" w14:textId="60C00C51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Carduelis carduelis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C00DC" w14:textId="567A9900" w:rsidR="007E1F82" w:rsidRPr="0063060A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LC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547FC9" w14:textId="473793F8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7944" w:type="dxa"/>
            <w:shd w:val="clear" w:color="auto" w:fill="FFFFFF" w:themeFill="background1"/>
            <w:vAlign w:val="center"/>
          </w:tcPr>
          <w:p w14:paraId="5AC9A7E0" w14:textId="71ABEF08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from </w:t>
            </w:r>
            <w:r w:rsidR="00B2221D">
              <w:rPr>
                <w:color w:val="000000"/>
                <w:sz w:val="20"/>
                <w:szCs w:val="20"/>
              </w:rPr>
              <w:t>captive-bred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1259D">
              <w:rPr>
                <w:i/>
                <w:iCs/>
                <w:color w:val="000000"/>
                <w:sz w:val="20"/>
                <w:szCs w:val="20"/>
              </w:rPr>
              <w:t>S</w:t>
            </w:r>
            <w:r>
              <w:rPr>
                <w:i/>
                <w:iCs/>
                <w:color w:val="000000"/>
                <w:sz w:val="20"/>
                <w:szCs w:val="20"/>
              </w:rPr>
              <w:t>. canaria</w:t>
            </w:r>
            <w:r>
              <w:rPr>
                <w:color w:val="000000"/>
                <w:sz w:val="20"/>
                <w:szCs w:val="20"/>
              </w:rPr>
              <w:t xml:space="preserve">. No further information about </w:t>
            </w:r>
            <w:r w:rsidR="00B2221D">
              <w:rPr>
                <w:color w:val="000000"/>
                <w:sz w:val="20"/>
                <w:szCs w:val="20"/>
              </w:rPr>
              <w:t xml:space="preserve">the </w:t>
            </w:r>
            <w:r>
              <w:rPr>
                <w:color w:val="000000"/>
                <w:sz w:val="20"/>
                <w:szCs w:val="20"/>
              </w:rPr>
              <w:t xml:space="preserve">captive </w:t>
            </w:r>
            <w:r w:rsidR="00B2221D">
              <w:rPr>
                <w:color w:val="000000"/>
                <w:sz w:val="20"/>
                <w:szCs w:val="20"/>
              </w:rPr>
              <w:t xml:space="preserve">was </w:t>
            </w:r>
            <w:r>
              <w:rPr>
                <w:color w:val="000000"/>
                <w:sz w:val="20"/>
                <w:szCs w:val="20"/>
              </w:rPr>
              <w:t xml:space="preserve">provided. </w:t>
            </w:r>
          </w:p>
        </w:tc>
      </w:tr>
      <w:tr w:rsidR="007E1F82" w14:paraId="3C9DA59D" w14:textId="77777777" w:rsidTr="00F5029A">
        <w:trPr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14:paraId="7E0A80B9" w14:textId="09EE72DD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360899">
              <w:rPr>
                <w:sz w:val="20"/>
              </w:rPr>
              <w:t>(Castelli &amp; Reed, 2017)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C97E7C6" w14:textId="2EDD6222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Colinus virginianus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AA3508D" w14:textId="43A4C0A3" w:rsidR="007E1F82" w:rsidRPr="0063060A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NT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9495D43" w14:textId="3A3469F6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7944" w:type="dxa"/>
            <w:shd w:val="clear" w:color="auto" w:fill="E7E6E6" w:themeFill="background2"/>
            <w:vAlign w:val="center"/>
          </w:tcPr>
          <w:p w14:paraId="2655FEDA" w14:textId="187CBCB4" w:rsidR="007E1F82" w:rsidRPr="007C643B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from hunting farms of </w:t>
            </w:r>
            <w:r>
              <w:rPr>
                <w:i/>
                <w:iCs/>
                <w:color w:val="000000"/>
                <w:sz w:val="20"/>
                <w:szCs w:val="20"/>
              </w:rPr>
              <w:t>C. virginianus</w:t>
            </w:r>
            <w:r>
              <w:rPr>
                <w:color w:val="000000"/>
                <w:sz w:val="20"/>
                <w:szCs w:val="20"/>
              </w:rPr>
              <w:t>. The commercial food supplied was also analyzed. No further information about captive</w:t>
            </w:r>
            <w:r w:rsidR="00B2221D">
              <w:rPr>
                <w:color w:val="000000"/>
                <w:sz w:val="20"/>
                <w:szCs w:val="20"/>
              </w:rPr>
              <w:t xml:space="preserve"> was</w:t>
            </w:r>
            <w:r>
              <w:rPr>
                <w:color w:val="000000"/>
                <w:sz w:val="20"/>
                <w:szCs w:val="20"/>
              </w:rPr>
              <w:t xml:space="preserve"> provided</w:t>
            </w:r>
            <w:r w:rsidR="00B2221D">
              <w:rPr>
                <w:color w:val="000000"/>
                <w:sz w:val="20"/>
                <w:szCs w:val="20"/>
              </w:rPr>
              <w:t>; however</w:t>
            </w:r>
            <w:r>
              <w:rPr>
                <w:color w:val="000000"/>
                <w:sz w:val="20"/>
                <w:szCs w:val="20"/>
              </w:rPr>
              <w:t xml:space="preserve">, the </w:t>
            </w:r>
            <w:r w:rsidR="00080EF1">
              <w:rPr>
                <w:color w:val="000000"/>
                <w:sz w:val="20"/>
                <w:szCs w:val="20"/>
              </w:rPr>
              <w:t>standard</w:t>
            </w:r>
            <w:r>
              <w:rPr>
                <w:color w:val="000000"/>
                <w:sz w:val="20"/>
                <w:szCs w:val="20"/>
              </w:rPr>
              <w:t xml:space="preserve"> management of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C. virginianus </w:t>
            </w:r>
            <w:r>
              <w:rPr>
                <w:color w:val="000000"/>
                <w:sz w:val="20"/>
                <w:szCs w:val="20"/>
              </w:rPr>
              <w:t xml:space="preserve">includes getting the eggs from dealers, </w:t>
            </w:r>
            <w:r w:rsidRPr="003B14CC">
              <w:rPr>
                <w:color w:val="000000"/>
                <w:sz w:val="20"/>
                <w:szCs w:val="20"/>
              </w:rPr>
              <w:t>mov</w:t>
            </w:r>
            <w:r>
              <w:rPr>
                <w:color w:val="000000"/>
                <w:sz w:val="20"/>
                <w:szCs w:val="20"/>
              </w:rPr>
              <w:t>ing</w:t>
            </w:r>
            <w:r w:rsidRPr="003B14CC">
              <w:rPr>
                <w:color w:val="000000"/>
                <w:sz w:val="20"/>
                <w:szCs w:val="20"/>
              </w:rPr>
              <w:t xml:space="preserve"> young chicks into flight pens </w:t>
            </w:r>
            <w:r>
              <w:rPr>
                <w:color w:val="000000"/>
                <w:sz w:val="20"/>
                <w:szCs w:val="20"/>
              </w:rPr>
              <w:t xml:space="preserve">with </w:t>
            </w:r>
            <w:r w:rsidRPr="003B14CC">
              <w:rPr>
                <w:color w:val="000000"/>
                <w:sz w:val="20"/>
                <w:szCs w:val="20"/>
              </w:rPr>
              <w:t xml:space="preserve">a density of </w:t>
            </w:r>
            <w:r>
              <w:rPr>
                <w:color w:val="000000"/>
                <w:sz w:val="20"/>
                <w:szCs w:val="20"/>
              </w:rPr>
              <w:t>2ft</w:t>
            </w:r>
            <w:r w:rsidRPr="00780E8F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="00B2221D" w:rsidRPr="00B2221D">
              <w:rPr>
                <w:color w:val="000000"/>
                <w:sz w:val="20"/>
                <w:szCs w:val="20"/>
              </w:rPr>
              <w:t>,</w:t>
            </w:r>
            <w:r w:rsidRPr="003B14C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and high-protein food.</w:t>
            </w:r>
            <w:r w:rsidRPr="00780E8F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7E1F82" w14:paraId="62FD1BD6" w14:textId="77777777" w:rsidTr="00F5029A">
        <w:trPr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4210C01" w14:textId="1BB93240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360899">
              <w:rPr>
                <w:sz w:val="20"/>
              </w:rPr>
              <w:t>(Alexander et al., 2019)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50C3A1" w14:textId="69B2317A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Psittacus erithacus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6DEB40" w14:textId="03C512F9" w:rsidR="007E1F82" w:rsidRPr="0063060A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EN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CDBEC6" w14:textId="07D1C62E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7944" w:type="dxa"/>
            <w:shd w:val="clear" w:color="auto" w:fill="FFFFFF" w:themeFill="background1"/>
            <w:vAlign w:val="center"/>
          </w:tcPr>
          <w:p w14:paraId="68E6E883" w14:textId="379BE877" w:rsidR="007E1F82" w:rsidRPr="00A70BDB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from </w:t>
            </w:r>
            <w:r>
              <w:rPr>
                <w:i/>
                <w:sz w:val="20"/>
                <w:szCs w:val="20"/>
              </w:rPr>
              <w:t xml:space="preserve">P. erithacus </w:t>
            </w:r>
            <w:r>
              <w:rPr>
                <w:iCs/>
                <w:sz w:val="20"/>
                <w:szCs w:val="20"/>
              </w:rPr>
              <w:t>kept in captivity for at least one year</w:t>
            </w:r>
            <w:r>
              <w:rPr>
                <w:color w:val="000000"/>
                <w:sz w:val="20"/>
                <w:szCs w:val="20"/>
              </w:rPr>
              <w:t xml:space="preserve">. No further information about </w:t>
            </w:r>
            <w:r w:rsidR="00B2221D">
              <w:rPr>
                <w:color w:val="000000"/>
                <w:sz w:val="20"/>
                <w:szCs w:val="20"/>
              </w:rPr>
              <w:t xml:space="preserve">the </w:t>
            </w:r>
            <w:r>
              <w:rPr>
                <w:color w:val="000000"/>
                <w:sz w:val="20"/>
                <w:szCs w:val="20"/>
              </w:rPr>
              <w:t xml:space="preserve">captive </w:t>
            </w:r>
            <w:r w:rsidR="00B2221D">
              <w:rPr>
                <w:color w:val="000000"/>
                <w:sz w:val="20"/>
                <w:szCs w:val="20"/>
              </w:rPr>
              <w:t xml:space="preserve">was </w:t>
            </w:r>
            <w:r>
              <w:rPr>
                <w:color w:val="000000"/>
                <w:sz w:val="20"/>
                <w:szCs w:val="20"/>
              </w:rPr>
              <w:t>provided.</w:t>
            </w:r>
          </w:p>
        </w:tc>
      </w:tr>
      <w:tr w:rsidR="007E1F82" w14:paraId="0BA99AF2" w14:textId="77777777" w:rsidTr="00F5029A">
        <w:trPr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14:paraId="673B5D1F" w14:textId="2AC980EE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360899">
              <w:rPr>
                <w:sz w:val="20"/>
              </w:rPr>
              <w:t>(Jiguet, Kardynal, &amp; Hobson, 2019)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2BA385F" w14:textId="563C6D56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Emberiza hortulana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D11904C" w14:textId="50AB76CC" w:rsidR="007E1F82" w:rsidRPr="0063060A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LC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991673D" w14:textId="235AD506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7944" w:type="dxa"/>
            <w:shd w:val="clear" w:color="auto" w:fill="E7E6E6" w:themeFill="background2"/>
            <w:vAlign w:val="center"/>
          </w:tcPr>
          <w:p w14:paraId="45D969C8" w14:textId="4157E194" w:rsidR="007E1F82" w:rsidRPr="004557F7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557F7">
              <w:rPr>
                <w:color w:val="000000"/>
                <w:sz w:val="20"/>
                <w:szCs w:val="20"/>
              </w:rPr>
              <w:t xml:space="preserve">Samples from </w:t>
            </w:r>
            <w:r w:rsidRPr="004557F7">
              <w:rPr>
                <w:i/>
                <w:iCs/>
                <w:color w:val="000000"/>
                <w:sz w:val="20"/>
                <w:szCs w:val="20"/>
              </w:rPr>
              <w:t xml:space="preserve">E. hortulana </w:t>
            </w:r>
            <w:r w:rsidRPr="004557F7">
              <w:rPr>
                <w:color w:val="000000"/>
                <w:sz w:val="20"/>
                <w:szCs w:val="20"/>
              </w:rPr>
              <w:t>seized</w:t>
            </w:r>
            <w:r>
              <w:rPr>
                <w:color w:val="000000"/>
                <w:sz w:val="20"/>
                <w:szCs w:val="20"/>
              </w:rPr>
              <w:t xml:space="preserve"> by the police. Captive conditions are unknown</w:t>
            </w:r>
            <w:r w:rsidR="00080EF1">
              <w:rPr>
                <w:color w:val="000000"/>
                <w:sz w:val="20"/>
                <w:szCs w:val="20"/>
              </w:rPr>
              <w:t>; however</w:t>
            </w:r>
            <w:r>
              <w:rPr>
                <w:color w:val="000000"/>
                <w:sz w:val="20"/>
                <w:szCs w:val="20"/>
              </w:rPr>
              <w:t xml:space="preserve">, the authors selected individuals with plumage dysfunctions characteristics of long-term captivity since there is no captive breeding of the species. </w:t>
            </w:r>
          </w:p>
        </w:tc>
      </w:tr>
      <w:tr w:rsidR="007E1F82" w14:paraId="21C427FF" w14:textId="77777777" w:rsidTr="00F5029A">
        <w:trPr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B99FD65" w14:textId="0F640431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360899">
              <w:rPr>
                <w:sz w:val="20"/>
              </w:rPr>
              <w:t>(Andersson et al., 2021)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72915F4" w14:textId="5AEAC525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Cacatua sulphurea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3BD9C1" w14:textId="466E209A" w:rsidR="007E1F82" w:rsidRPr="0063060A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CR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BE9DB5" w14:textId="6EAB127B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7944" w:type="dxa"/>
            <w:shd w:val="clear" w:color="auto" w:fill="FFFFFF" w:themeFill="background1"/>
            <w:vAlign w:val="center"/>
          </w:tcPr>
          <w:p w14:paraId="691DA92D" w14:textId="57B3E351" w:rsidR="007E1F82" w:rsidRPr="009E4183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from five species of the genus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Cacatua </w:t>
            </w:r>
            <w:r>
              <w:rPr>
                <w:color w:val="000000"/>
                <w:sz w:val="20"/>
                <w:szCs w:val="20"/>
              </w:rPr>
              <w:t xml:space="preserve">kept in captivity for at least one year and completed at least one </w:t>
            </w:r>
            <w:r w:rsidR="00080EF1">
              <w:rPr>
                <w:color w:val="000000"/>
                <w:sz w:val="20"/>
                <w:szCs w:val="20"/>
              </w:rPr>
              <w:t>molt</w:t>
            </w:r>
            <w:r>
              <w:rPr>
                <w:color w:val="000000"/>
                <w:sz w:val="20"/>
                <w:szCs w:val="20"/>
              </w:rPr>
              <w:t xml:space="preserve"> during that time. Birds were held by research centers, private owners, pet shops</w:t>
            </w:r>
            <w:r w:rsidR="00080EF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and zoos. The commercial food supplied was also analyzed.</w:t>
            </w:r>
          </w:p>
        </w:tc>
      </w:tr>
      <w:tr w:rsidR="007E1F82" w14:paraId="6E284EF1" w14:textId="77777777" w:rsidTr="00F5029A">
        <w:trPr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C13AD6E" w14:textId="0B017FD8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360899">
              <w:rPr>
                <w:sz w:val="20"/>
              </w:rPr>
              <w:t>(Mette Hammershøj et al., 2005)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847C922" w14:textId="1F43EE24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Mustela vison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4FC280A" w14:textId="6FD325A6" w:rsidR="007E1F82" w:rsidRPr="0063060A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LC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6AE6755" w14:textId="3BF0EC03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7944" w:type="dxa"/>
            <w:shd w:val="clear" w:color="auto" w:fill="E7E6E6" w:themeFill="background2"/>
            <w:vAlign w:val="center"/>
          </w:tcPr>
          <w:p w14:paraId="0899103B" w14:textId="0FFD4DAF" w:rsidR="007E1F82" w:rsidRPr="00984215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84215">
              <w:rPr>
                <w:color w:val="000000"/>
                <w:sz w:val="20"/>
                <w:szCs w:val="20"/>
              </w:rPr>
              <w:t xml:space="preserve">Samples from free-ranging </w:t>
            </w:r>
            <w:r w:rsidRPr="00984215">
              <w:rPr>
                <w:i/>
                <w:iCs/>
                <w:color w:val="000000"/>
                <w:sz w:val="20"/>
                <w:szCs w:val="20"/>
              </w:rPr>
              <w:t xml:space="preserve">M. vison </w:t>
            </w:r>
            <w:r w:rsidRPr="00984215">
              <w:rPr>
                <w:color w:val="000000"/>
                <w:sz w:val="20"/>
                <w:szCs w:val="20"/>
              </w:rPr>
              <w:t xml:space="preserve">to identify individuals’ origin. Captive conditions are unknown. However, the authors assume that the food used in most farm mink in Denmark has a high marine fish content and </w:t>
            </w:r>
            <w:r w:rsidR="00080EF1">
              <w:rPr>
                <w:color w:val="000000"/>
                <w:sz w:val="20"/>
                <w:szCs w:val="20"/>
              </w:rPr>
              <w:t>is</w:t>
            </w:r>
            <w:r w:rsidRPr="00984215">
              <w:rPr>
                <w:color w:val="000000"/>
                <w:sz w:val="20"/>
                <w:szCs w:val="20"/>
              </w:rPr>
              <w:t xml:space="preserve"> acquired </w:t>
            </w:r>
            <w:r w:rsidRPr="00984215">
              <w:rPr>
                <w:sz w:val="20"/>
                <w:szCs w:val="20"/>
              </w:rPr>
              <w:t>from a few feed mills</w:t>
            </w:r>
            <w:r w:rsidRPr="00984215">
              <w:rPr>
                <w:color w:val="000000"/>
                <w:sz w:val="20"/>
                <w:szCs w:val="20"/>
              </w:rPr>
              <w:t>.</w:t>
            </w:r>
          </w:p>
        </w:tc>
      </w:tr>
      <w:tr w:rsidR="007E1F82" w14:paraId="093C2250" w14:textId="77777777" w:rsidTr="00F5029A">
        <w:trPr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E416EA7" w14:textId="5392277E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360899">
              <w:rPr>
                <w:sz w:val="20"/>
              </w:rPr>
              <w:t>(Kays &amp; Feranec, 2011)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A7C62C" w14:textId="4FC907EA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Canis lupus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6A5E41" w14:textId="15C41104" w:rsidR="007E1F82" w:rsidRPr="0063060A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LC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61E168" w14:textId="2AC962BC" w:rsidR="007E1F82" w:rsidRPr="0063060A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I; II</w:t>
            </w:r>
          </w:p>
        </w:tc>
        <w:tc>
          <w:tcPr>
            <w:tcW w:w="7944" w:type="dxa"/>
            <w:shd w:val="clear" w:color="auto" w:fill="FFFFFF" w:themeFill="background1"/>
            <w:vAlign w:val="center"/>
          </w:tcPr>
          <w:p w14:paraId="42AE960A" w14:textId="324F95CD" w:rsidR="007E1F82" w:rsidRPr="00984215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84215">
              <w:rPr>
                <w:color w:val="000000"/>
                <w:sz w:val="20"/>
                <w:szCs w:val="20"/>
              </w:rPr>
              <w:t xml:space="preserve">Samples from captive </w:t>
            </w:r>
            <w:r w:rsidRPr="00984215">
              <w:rPr>
                <w:i/>
                <w:iCs/>
                <w:color w:val="000000"/>
                <w:sz w:val="20"/>
                <w:szCs w:val="20"/>
              </w:rPr>
              <w:t xml:space="preserve">C. latrans </w:t>
            </w:r>
            <w:r w:rsidRPr="00984215">
              <w:rPr>
                <w:rFonts w:eastAsiaTheme="minorHAnsi"/>
                <w:sz w:val="20"/>
                <w:szCs w:val="20"/>
                <w:lang w:eastAsia="en-US"/>
              </w:rPr>
              <w:t>fed scrap beef and kibbled dog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215">
              <w:rPr>
                <w:rFonts w:eastAsiaTheme="minorHAnsi"/>
                <w:sz w:val="20"/>
                <w:szCs w:val="20"/>
                <w:lang w:eastAsia="en-US"/>
              </w:rPr>
              <w:t>food.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No further information about </w:t>
            </w:r>
            <w:r w:rsidR="00080EF1">
              <w:rPr>
                <w:color w:val="000000"/>
                <w:sz w:val="20"/>
                <w:szCs w:val="20"/>
              </w:rPr>
              <w:t xml:space="preserve">the </w:t>
            </w:r>
            <w:r>
              <w:rPr>
                <w:color w:val="000000"/>
                <w:sz w:val="20"/>
                <w:szCs w:val="20"/>
              </w:rPr>
              <w:t xml:space="preserve">captive </w:t>
            </w:r>
            <w:r w:rsidR="00080EF1">
              <w:rPr>
                <w:color w:val="000000"/>
                <w:sz w:val="20"/>
                <w:szCs w:val="20"/>
              </w:rPr>
              <w:t xml:space="preserve">was </w:t>
            </w:r>
            <w:r>
              <w:rPr>
                <w:color w:val="000000"/>
                <w:sz w:val="20"/>
                <w:szCs w:val="20"/>
              </w:rPr>
              <w:t>provided.</w:t>
            </w:r>
          </w:p>
        </w:tc>
      </w:tr>
      <w:tr w:rsidR="007E1F82" w14:paraId="5DCE70A2" w14:textId="77777777" w:rsidTr="00F5029A">
        <w:trPr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14:paraId="5A0BE437" w14:textId="290200CD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360899">
              <w:rPr>
                <w:sz w:val="20"/>
              </w:rPr>
              <w:t>(Brandis et al., 2018)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175D734" w14:textId="32C8BD1E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Tachyglossus aculeatus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0CDA043" w14:textId="604ACA22" w:rsidR="007E1F82" w:rsidRPr="0063060A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LC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5578F23" w14:textId="72AE77E3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7944" w:type="dxa"/>
            <w:shd w:val="clear" w:color="auto" w:fill="E7E6E6" w:themeFill="background2"/>
            <w:vAlign w:val="center"/>
          </w:tcPr>
          <w:p w14:paraId="2B89F0ED" w14:textId="634717F4" w:rsidR="007E1F82" w:rsidRPr="002B4B95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from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T. aculeatus </w:t>
            </w:r>
            <w:r>
              <w:rPr>
                <w:color w:val="000000"/>
                <w:sz w:val="20"/>
                <w:szCs w:val="20"/>
              </w:rPr>
              <w:t xml:space="preserve">kept at the Zoo for between 22 months and 20 years since they are </w:t>
            </w:r>
            <w:r w:rsidR="00080EF1">
              <w:rPr>
                <w:color w:val="000000"/>
                <w:sz w:val="20"/>
                <w:szCs w:val="20"/>
              </w:rPr>
              <w:t>challenging</w:t>
            </w:r>
            <w:r>
              <w:rPr>
                <w:color w:val="000000"/>
                <w:sz w:val="20"/>
                <w:szCs w:val="20"/>
              </w:rPr>
              <w:t xml:space="preserve"> to breed in captivity. </w:t>
            </w:r>
            <w:r w:rsidRPr="002B4B95">
              <w:rPr>
                <w:rFonts w:ascii="TimesNewRomanPSMT" w:hAnsi="TimesNewRomanPSMT" w:cs="TimesNewRomanPSMT"/>
                <w:sz w:val="20"/>
                <w:szCs w:val="20"/>
              </w:rPr>
              <w:t>All captive echidnas were fed the same diet</w:t>
            </w:r>
            <w:r w:rsidR="00080EF1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</w:tr>
      <w:tr w:rsidR="007E1F82" w14:paraId="5A684E09" w14:textId="77777777" w:rsidTr="00F5029A">
        <w:trPr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3694D9E" w14:textId="4CE5898B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360899">
              <w:rPr>
                <w:sz w:val="20"/>
              </w:rPr>
              <w:t>(Hutchinson &amp; Roberts, 2020)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DD2FDD1" w14:textId="31187C67" w:rsidR="007E1F82" w:rsidRDefault="007E1F82" w:rsidP="007E1F8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Panthera leo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5FED34" w14:textId="69ED9CAE" w:rsidR="007E1F82" w:rsidRPr="0063060A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6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VU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82A136" w14:textId="045BE2E9" w:rsidR="007E1F82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I; II</w:t>
            </w:r>
          </w:p>
        </w:tc>
        <w:tc>
          <w:tcPr>
            <w:tcW w:w="7944" w:type="dxa"/>
            <w:shd w:val="clear" w:color="auto" w:fill="FFFFFF" w:themeFill="background1"/>
            <w:vAlign w:val="center"/>
          </w:tcPr>
          <w:p w14:paraId="751BB928" w14:textId="51128FA2" w:rsidR="007E1F82" w:rsidRPr="00AB3103" w:rsidRDefault="007E1F82" w:rsidP="007E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Samples from South African </w:t>
            </w:r>
            <w:r>
              <w:rPr>
                <w:i/>
                <w:iCs/>
                <w:color w:val="000000"/>
                <w:sz w:val="20"/>
                <w:szCs w:val="20"/>
              </w:rPr>
              <w:t>P. leo</w:t>
            </w:r>
            <w:r>
              <w:rPr>
                <w:color w:val="000000"/>
                <w:sz w:val="20"/>
                <w:szCs w:val="20"/>
              </w:rPr>
              <w:t xml:space="preserve"> provided by taxidermists. Captive conditions are unknown. </w:t>
            </w:r>
          </w:p>
        </w:tc>
      </w:tr>
    </w:tbl>
    <w:p w14:paraId="1A0FCC55" w14:textId="0EA29BBC" w:rsidR="00065B13" w:rsidRPr="001C2443" w:rsidRDefault="00780E8F" w:rsidP="00780E8F">
      <w:pPr>
        <w:pStyle w:val="PargrafodaLista"/>
        <w:numPr>
          <w:ilvl w:val="0"/>
          <w:numId w:val="1"/>
        </w:numPr>
        <w:spacing w:line="276" w:lineRule="auto"/>
        <w:jc w:val="both"/>
        <w:rPr>
          <w:vertAlign w:val="superscript"/>
        </w:rPr>
      </w:pPr>
      <w:r w:rsidRPr="001C2443">
        <w:rPr>
          <w:vertAlign w:val="superscript"/>
        </w:rPr>
        <w:t>https://extension.psu.edu/bobwhite-quail-production</w:t>
      </w:r>
    </w:p>
    <w:sectPr w:rsidR="00065B13" w:rsidRPr="001C2443" w:rsidSect="001A5D0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risSIL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8F9"/>
    <w:multiLevelType w:val="hybridMultilevel"/>
    <w:tmpl w:val="21F4E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221E9"/>
    <w:multiLevelType w:val="hybridMultilevel"/>
    <w:tmpl w:val="238E7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6714A"/>
    <w:multiLevelType w:val="hybridMultilevel"/>
    <w:tmpl w:val="EDF8E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A08AA"/>
    <w:multiLevelType w:val="hybridMultilevel"/>
    <w:tmpl w:val="33EC2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05BB4"/>
    <w:multiLevelType w:val="hybridMultilevel"/>
    <w:tmpl w:val="9A7C1D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163053">
    <w:abstractNumId w:val="4"/>
  </w:num>
  <w:num w:numId="2" w16cid:durableId="1831142467">
    <w:abstractNumId w:val="3"/>
  </w:num>
  <w:num w:numId="3" w16cid:durableId="535823307">
    <w:abstractNumId w:val="1"/>
  </w:num>
  <w:num w:numId="4" w16cid:durableId="81418604">
    <w:abstractNumId w:val="2"/>
  </w:num>
  <w:num w:numId="5" w16cid:durableId="195679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02"/>
    <w:rsid w:val="0000270B"/>
    <w:rsid w:val="00011232"/>
    <w:rsid w:val="000256BD"/>
    <w:rsid w:val="00031C46"/>
    <w:rsid w:val="000522BE"/>
    <w:rsid w:val="0006353A"/>
    <w:rsid w:val="00065B13"/>
    <w:rsid w:val="00080EF1"/>
    <w:rsid w:val="00096C73"/>
    <w:rsid w:val="000A3D97"/>
    <w:rsid w:val="000B1562"/>
    <w:rsid w:val="000E6318"/>
    <w:rsid w:val="001271AF"/>
    <w:rsid w:val="0012751C"/>
    <w:rsid w:val="001623CA"/>
    <w:rsid w:val="00182922"/>
    <w:rsid w:val="001A5D02"/>
    <w:rsid w:val="001C2443"/>
    <w:rsid w:val="001F483E"/>
    <w:rsid w:val="00201F3F"/>
    <w:rsid w:val="00214543"/>
    <w:rsid w:val="00221327"/>
    <w:rsid w:val="00221895"/>
    <w:rsid w:val="0027092D"/>
    <w:rsid w:val="00272491"/>
    <w:rsid w:val="0028148C"/>
    <w:rsid w:val="002B4B95"/>
    <w:rsid w:val="002B5EB4"/>
    <w:rsid w:val="002C61CB"/>
    <w:rsid w:val="002F3AAD"/>
    <w:rsid w:val="003010DE"/>
    <w:rsid w:val="00302024"/>
    <w:rsid w:val="00306FF4"/>
    <w:rsid w:val="003619D9"/>
    <w:rsid w:val="003A0889"/>
    <w:rsid w:val="003B14CC"/>
    <w:rsid w:val="003B6AE5"/>
    <w:rsid w:val="003C5644"/>
    <w:rsid w:val="003D46F1"/>
    <w:rsid w:val="00411D1C"/>
    <w:rsid w:val="0041580E"/>
    <w:rsid w:val="0042590E"/>
    <w:rsid w:val="0044725D"/>
    <w:rsid w:val="004557F7"/>
    <w:rsid w:val="00472044"/>
    <w:rsid w:val="004B1E0C"/>
    <w:rsid w:val="004B5F89"/>
    <w:rsid w:val="004E0651"/>
    <w:rsid w:val="004F684A"/>
    <w:rsid w:val="00520EA9"/>
    <w:rsid w:val="00534267"/>
    <w:rsid w:val="005404A4"/>
    <w:rsid w:val="0054195C"/>
    <w:rsid w:val="00544CC2"/>
    <w:rsid w:val="00550638"/>
    <w:rsid w:val="00551F61"/>
    <w:rsid w:val="005836FB"/>
    <w:rsid w:val="00583A53"/>
    <w:rsid w:val="005923AE"/>
    <w:rsid w:val="005C0EB7"/>
    <w:rsid w:val="005C4381"/>
    <w:rsid w:val="005C69BD"/>
    <w:rsid w:val="005D2439"/>
    <w:rsid w:val="005F1F5A"/>
    <w:rsid w:val="00601789"/>
    <w:rsid w:val="0061034F"/>
    <w:rsid w:val="0063060A"/>
    <w:rsid w:val="00632B0C"/>
    <w:rsid w:val="006352A2"/>
    <w:rsid w:val="00644704"/>
    <w:rsid w:val="006709AB"/>
    <w:rsid w:val="00695AB2"/>
    <w:rsid w:val="006A3DB3"/>
    <w:rsid w:val="006C0884"/>
    <w:rsid w:val="006D06B3"/>
    <w:rsid w:val="006F32A5"/>
    <w:rsid w:val="006F57BA"/>
    <w:rsid w:val="00707303"/>
    <w:rsid w:val="00730253"/>
    <w:rsid w:val="00777BBC"/>
    <w:rsid w:val="00780E8F"/>
    <w:rsid w:val="007A2211"/>
    <w:rsid w:val="007C643B"/>
    <w:rsid w:val="007E1F82"/>
    <w:rsid w:val="00825492"/>
    <w:rsid w:val="0083195B"/>
    <w:rsid w:val="008418E0"/>
    <w:rsid w:val="00864341"/>
    <w:rsid w:val="00867972"/>
    <w:rsid w:val="008823C3"/>
    <w:rsid w:val="00887DF0"/>
    <w:rsid w:val="008A42E5"/>
    <w:rsid w:val="008B4191"/>
    <w:rsid w:val="008E2CDC"/>
    <w:rsid w:val="00901AB7"/>
    <w:rsid w:val="0091044A"/>
    <w:rsid w:val="00932EE2"/>
    <w:rsid w:val="009432B5"/>
    <w:rsid w:val="009450D9"/>
    <w:rsid w:val="00961C31"/>
    <w:rsid w:val="009752DE"/>
    <w:rsid w:val="0098169C"/>
    <w:rsid w:val="00983645"/>
    <w:rsid w:val="00984215"/>
    <w:rsid w:val="009958D8"/>
    <w:rsid w:val="009C3A2D"/>
    <w:rsid w:val="009C7338"/>
    <w:rsid w:val="009E4183"/>
    <w:rsid w:val="00A05454"/>
    <w:rsid w:val="00A1259D"/>
    <w:rsid w:val="00A14DB5"/>
    <w:rsid w:val="00A17FBD"/>
    <w:rsid w:val="00A219D2"/>
    <w:rsid w:val="00A44B52"/>
    <w:rsid w:val="00A53E66"/>
    <w:rsid w:val="00A61A94"/>
    <w:rsid w:val="00A70BDB"/>
    <w:rsid w:val="00AA00D8"/>
    <w:rsid w:val="00AB3103"/>
    <w:rsid w:val="00AF289D"/>
    <w:rsid w:val="00B149DE"/>
    <w:rsid w:val="00B2221D"/>
    <w:rsid w:val="00B41591"/>
    <w:rsid w:val="00B42EF6"/>
    <w:rsid w:val="00B50349"/>
    <w:rsid w:val="00B50377"/>
    <w:rsid w:val="00B917A8"/>
    <w:rsid w:val="00B92195"/>
    <w:rsid w:val="00BB3AE0"/>
    <w:rsid w:val="00BC48D9"/>
    <w:rsid w:val="00BC57B2"/>
    <w:rsid w:val="00BF0A89"/>
    <w:rsid w:val="00C16FBB"/>
    <w:rsid w:val="00C2393C"/>
    <w:rsid w:val="00C23E65"/>
    <w:rsid w:val="00C27171"/>
    <w:rsid w:val="00C423A4"/>
    <w:rsid w:val="00C6109D"/>
    <w:rsid w:val="00C64DD6"/>
    <w:rsid w:val="00C67E32"/>
    <w:rsid w:val="00C754DC"/>
    <w:rsid w:val="00CA2512"/>
    <w:rsid w:val="00CC0B9D"/>
    <w:rsid w:val="00CC5E3C"/>
    <w:rsid w:val="00CE2F82"/>
    <w:rsid w:val="00CE5F72"/>
    <w:rsid w:val="00D161C6"/>
    <w:rsid w:val="00D75491"/>
    <w:rsid w:val="00D758FA"/>
    <w:rsid w:val="00D93D03"/>
    <w:rsid w:val="00DA68AC"/>
    <w:rsid w:val="00DB61E2"/>
    <w:rsid w:val="00DC6D12"/>
    <w:rsid w:val="00DD306F"/>
    <w:rsid w:val="00DE1220"/>
    <w:rsid w:val="00DE5B8E"/>
    <w:rsid w:val="00DF1C25"/>
    <w:rsid w:val="00E139C2"/>
    <w:rsid w:val="00E15E4B"/>
    <w:rsid w:val="00E341BC"/>
    <w:rsid w:val="00E47B42"/>
    <w:rsid w:val="00E7259E"/>
    <w:rsid w:val="00E76DF7"/>
    <w:rsid w:val="00E83796"/>
    <w:rsid w:val="00E9786F"/>
    <w:rsid w:val="00EA4EC3"/>
    <w:rsid w:val="00EC5319"/>
    <w:rsid w:val="00F2307D"/>
    <w:rsid w:val="00F330FB"/>
    <w:rsid w:val="00F5029A"/>
    <w:rsid w:val="00F54827"/>
    <w:rsid w:val="00F57180"/>
    <w:rsid w:val="00F6556E"/>
    <w:rsid w:val="00F67AFF"/>
    <w:rsid w:val="00F72F3A"/>
    <w:rsid w:val="00F967C3"/>
    <w:rsid w:val="00FB0BBD"/>
    <w:rsid w:val="00FB2E7D"/>
    <w:rsid w:val="00FB6A56"/>
    <w:rsid w:val="00FD31DB"/>
    <w:rsid w:val="00FE1B49"/>
    <w:rsid w:val="00FE37BF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6896"/>
  <w15:chartTrackingRefBased/>
  <w15:docId w15:val="{28CE6202-7EE3-4CC2-9409-695E7750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61C6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1C6"/>
    <w:rPr>
      <w:rFonts w:ascii="Times New Roman" w:eastAsia="Times New Roman" w:hAnsi="Times New Roman" w:cs="Times New Roman"/>
      <w:sz w:val="18"/>
      <w:szCs w:val="18"/>
      <w:lang w:val="en-US" w:eastAsia="pt-BR"/>
    </w:rPr>
  </w:style>
  <w:style w:type="paragraph" w:styleId="Reviso">
    <w:name w:val="Revision"/>
    <w:hidden/>
    <w:uiPriority w:val="99"/>
    <w:semiHidden/>
    <w:rsid w:val="00C27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271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71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71AF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71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71AF"/>
    <w:rPr>
      <w:rFonts w:ascii="Times New Roman" w:eastAsia="Times New Roman" w:hAnsi="Times New Roman" w:cs="Times New Roman"/>
      <w:b/>
      <w:bCs/>
      <w:sz w:val="20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780E8F"/>
    <w:pPr>
      <w:ind w:left="720"/>
      <w:contextualSpacing/>
    </w:pPr>
  </w:style>
  <w:style w:type="paragraph" w:customStyle="1" w:styleId="Default">
    <w:name w:val="Default"/>
    <w:rsid w:val="00D758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4402</TotalTime>
  <Pages>4</Pages>
  <Words>1691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Brasileiro Reis Pereira</dc:creator>
  <cp:keywords/>
  <dc:description/>
  <cp:lastModifiedBy>Luiza Brasileiro Reis Pereira</cp:lastModifiedBy>
  <cp:revision>54</cp:revision>
  <dcterms:created xsi:type="dcterms:W3CDTF">2022-11-23T21:11:00Z</dcterms:created>
  <dcterms:modified xsi:type="dcterms:W3CDTF">2023-04-25T14:17:00Z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10c69e9e4a9ff6a67593f02ba9dc6570e25313ef8f45eb1c2ecfa4b722595a36</vt:lpwstr>
  </property>
</Properties>
</file>