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VGGish-based detection of biological sound components and their spatio-temporal variations in a subtropical forest in eastern China：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Information Appendix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S1. The 95 acoustic clusters grouped into classes according to their dominant acoustic sources</w:t>
      </w:r>
    </w:p>
    <w:tbl>
      <w:tblPr>
        <w:tblStyle w:val="8"/>
        <w:tblW w:w="8868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Class Label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Clusters assigned to class label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mainly bird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0, 2, 12, 13, 20, 26, 43, 44, 47, 48, 54, 60, 64, 81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mainly insect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9, 11, 15, 19, 21, 28, 29, 30, 32, 36, 37, 39, 41, 42, 50, 53, 55, 57, 63, 65, 72, 73, 83, 84, 85, 86, 87, 91, 92, 94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mainly rain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4, 14, 23, 35, 45, 49, 62, 67, 69, 71, 74, 82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no obvious biophony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5, 6, 8, 10, 16, 17, 18, 22, 24, 27, 33, 40, 56, 59, 61, 70, 75, 76, 77, 88, 89, 90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bird and insect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3, 34, 38, 46, 51, 52, 58, 68, 78, 79, 80, 93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bird and rain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25, 66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biophony and anthropophon</w:t>
            </w:r>
            <w:r>
              <w:t>y</w:t>
            </w:r>
          </w:p>
        </w:tc>
        <w:tc>
          <w:tcPr>
            <w:tcW w:w="53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1, 7, 31</w:t>
            </w:r>
          </w:p>
        </w:tc>
      </w:tr>
    </w:tbl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S2. Percentage of different acoustic sources in each site</w:t>
      </w:r>
    </w:p>
    <w:tbl>
      <w:tblPr>
        <w:tblStyle w:val="7"/>
        <w:tblW w:w="8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850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Class Label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site1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site2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site3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site4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site5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site6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mainly bird</w:t>
            </w:r>
          </w:p>
        </w:tc>
        <w:tc>
          <w:tcPr>
            <w:tcW w:w="85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25.10%</w:t>
            </w:r>
          </w:p>
        </w:tc>
        <w:tc>
          <w:tcPr>
            <w:tcW w:w="85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9.38%</w:t>
            </w:r>
          </w:p>
        </w:tc>
        <w:tc>
          <w:tcPr>
            <w:tcW w:w="85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25.62%</w:t>
            </w:r>
          </w:p>
        </w:tc>
        <w:tc>
          <w:tcPr>
            <w:tcW w:w="85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22.02%</w:t>
            </w:r>
          </w:p>
        </w:tc>
        <w:tc>
          <w:tcPr>
            <w:tcW w:w="85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13.53%</w:t>
            </w:r>
          </w:p>
        </w:tc>
        <w:tc>
          <w:tcPr>
            <w:tcW w:w="85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shd w:val="clear" w:color="auto" w:fill="auto"/>
            <w:vAlign w:val="center"/>
          </w:tcPr>
          <w:p>
            <w:pPr>
              <w:jc w:val="center"/>
            </w:pPr>
            <w:r>
              <w:t>mainly insect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17.80%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24.82%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24.59%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15.96%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45.13%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45.20%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shd w:val="clear" w:color="auto" w:fill="auto"/>
            <w:vAlign w:val="center"/>
          </w:tcPr>
          <w:p>
            <w:pPr>
              <w:jc w:val="center"/>
            </w:pPr>
            <w:r>
              <w:t>mainly rain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10.25%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8.14%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12.38%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11.11%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9.96%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8.62%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shd w:val="clear" w:color="auto" w:fill="auto"/>
            <w:vAlign w:val="center"/>
          </w:tcPr>
          <w:p>
            <w:pPr>
              <w:jc w:val="center"/>
            </w:pPr>
            <w:r>
              <w:t>no obvious biophony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28.03%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37.66%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26.90%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27.36%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15.82%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17.87%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shd w:val="clear" w:color="auto" w:fill="auto"/>
            <w:vAlign w:val="center"/>
          </w:tcPr>
          <w:p>
            <w:pPr>
              <w:jc w:val="center"/>
            </w:pPr>
            <w:r>
              <w:t>bird and insect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12.18%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19.82%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9.73%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20.88%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8.53%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shd w:val="clear" w:color="auto" w:fill="auto"/>
            <w:vAlign w:val="center"/>
          </w:tcPr>
          <w:p>
            <w:pPr>
              <w:jc w:val="center"/>
            </w:pPr>
            <w:r>
              <w:t>bird and rain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5.16%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0.03%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0.11%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1.74%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0.02%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0.01%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biophony and anthropophony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1.49%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0.16%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0.67%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0.93%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7.02%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1.99%</w:t>
            </w:r>
          </w:p>
        </w:tc>
      </w:tr>
    </w:tbl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</w:pPr>
    </w:p>
    <w:p>
      <w:pPr>
        <w:spacing w:after="24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79820" cy="5478145"/>
            <wp:effectExtent l="0" t="0" r="7620" b="8255"/>
            <wp:docPr id="7" name="图片 7" descr="mapyn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apynn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54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 S1. The map of the Yaoluoping National Nature Reserve (116°02′ E -116°11′ E, 30°57′ N -31°06′ N) and the distribution of the soundscape sample sites</w:t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6183630" cy="4638040"/>
            <wp:effectExtent l="0" t="0" r="3810" b="10160"/>
            <wp:docPr id="8" name="图片 8" descr="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i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 S2. Bayesian information criterion for different clusters. There is a minimum value at 95.</w:t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6183630" cy="4638040"/>
            <wp:effectExtent l="0" t="0" r="3810" b="10160"/>
            <wp:docPr id="9" name="图片 9" descr="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Figure S3. Network map of different clusters at six sites in April</w:t>
      </w:r>
      <w:r>
        <w:rPr>
          <w:rFonts w:hint="eastAsia"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The 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lang w:val="en-US" w:eastAsia="zh-CN"/>
        </w:rPr>
        <w:t>nodes represent each cluster, the edges represent cluster association, and a large dot size represents a large degree. The different clusters belong to seven soundscape components displayed in different colors.</w:t>
      </w: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6183630" cy="4638040"/>
            <wp:effectExtent l="0" t="0" r="3810" b="10160"/>
            <wp:docPr id="10" name="图片 10" descr="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m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Figure S4.  Network map of different clusters at six sites in June</w:t>
      </w:r>
      <w:r>
        <w:rPr>
          <w:rFonts w:hint="eastAsia"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  <w:lang w:val="en-US" w:eastAsia="zh-CN"/>
        </w:rPr>
        <w:t>The nodes represent each cluster, the edges represent cluster association, and a large dot size represents a large degree. The different clusters belong to seven soundscape components displayed in different colors.</w:t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6183630" cy="4638040"/>
            <wp:effectExtent l="0" t="0" r="3810" b="10160"/>
            <wp:docPr id="11" name="图片 11" descr="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m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 S5. Network map of different clusters at six sites in July</w:t>
      </w:r>
      <w:r>
        <w:rPr>
          <w:rFonts w:hint="eastAsia" w:ascii="Times New Roman" w:hAnsi="Times New Roman" w:cs="Times New Roman"/>
          <w:sz w:val="24"/>
        </w:rPr>
        <w:t>. The nodes represent each cluster, the edges represent cluster association, and a large dot size represents a large degree. The different clusters belong to seven soundscape components displayed in different colors.</w:t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6183630" cy="4638040"/>
            <wp:effectExtent l="0" t="0" r="3810" b="10160"/>
            <wp:docPr id="12" name="图片 12" descr="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m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Figure S6. Network map of different clusters at six sites in September</w:t>
      </w:r>
      <w:r>
        <w:rPr>
          <w:rFonts w:hint="eastAsia"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  <w:lang w:val="en-US" w:eastAsia="zh-CN"/>
        </w:rPr>
        <w:t>The nodes represent each cluster, the edges represent cluster association, and a large dot size represents a large degree. The different clusters belong to seven soundscape components displayed in different colors.</w:t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spacing w:after="240"/>
        <w:jc w:val="center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6183630" cy="4638040"/>
            <wp:effectExtent l="0" t="0" r="3810" b="10160"/>
            <wp:docPr id="13" name="图片 13" descr="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m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>Figure S7. Network map of different clusters at six sites in October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The nodes represent each cluster, the edges represent cluster association, and a large dot size represents a large degree. The different clusters belong to seven soundscape components displayed in different colors.</w:t>
      </w:r>
    </w:p>
    <w:p>
      <w:pPr>
        <w:spacing w:after="240"/>
        <w:jc w:val="center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080" w:bottom="1440" w:left="1080" w:header="0" w:footer="0" w:gutter="0"/>
      <w:lnNumType w:countBy="1" w:distance="283" w:restart="continuous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ESRI AMFM Electr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ZjAzY2M3NjhiZTRmM2EyYTRmODUwYWY0ZjhkNzAifQ=="/>
  </w:docVars>
  <w:rsids>
    <w:rsidRoot w:val="00C73847"/>
    <w:rsid w:val="00C724D0"/>
    <w:rsid w:val="00C73847"/>
    <w:rsid w:val="11DB796B"/>
    <w:rsid w:val="1B8B4636"/>
    <w:rsid w:val="265226AB"/>
    <w:rsid w:val="73C618B6"/>
    <w:rsid w:val="75A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List"/>
    <w:basedOn w:val="4"/>
    <w:qFormat/>
    <w:uiPriority w:val="0"/>
    <w:rPr>
      <w:rFonts w:cs="Lohit Devanagari"/>
    </w:rPr>
  </w:style>
  <w:style w:type="table" w:styleId="8">
    <w:name w:val="Table Grid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lin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Line Numbering"/>
    <w:qFormat/>
    <w:uiPriority w:val="0"/>
  </w:style>
  <w:style w:type="paragraph" w:customStyle="1" w:styleId="14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5">
    <w:name w:val="Index"/>
    <w:basedOn w:val="1"/>
    <w:qFormat/>
    <w:uiPriority w:val="0"/>
    <w:pPr>
      <w:suppressLineNumbers/>
    </w:pPr>
    <w:rPr>
      <w:rFonts w:cs="Lohit Devanagari"/>
    </w:rPr>
  </w:style>
  <w:style w:type="character" w:customStyle="1" w:styleId="16">
    <w:name w:val="批注文字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490</Words>
  <Characters>2479</Characters>
  <Lines>21</Lines>
  <Paragraphs>6</Paragraphs>
  <TotalTime>24</TotalTime>
  <ScaleCrop>false</ScaleCrop>
  <LinksUpToDate>false</LinksUpToDate>
  <CharactersWithSpaces>2886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2021-11-18T07:50:00Z</dcterms:created>
  <dc:creator>Dellwangmei</dc:creator>
  <cp:lastModifiedBy>Dellwangmei</cp:lastModifiedBy>
  <dcterms:modified xsi:type="dcterms:W3CDTF">2023-09-22T11:46:12Z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A04191CE222747C1AD262A099A027ABC</vt:lpwstr>
  </property>
  <property fmtid="{D5CDD505-2E9C-101B-9397-08002B2CF9AE}" pid="3" name="KSOProductBuildVer">
    <vt:lpwstr>2052-11.1.0.12763</vt:lpwstr>
  </property>
</Properties>
</file>