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E41C5" w14:textId="77777777" w:rsidR="006D291A" w:rsidRDefault="00BD6F83">
      <w:pPr>
        <w:jc w:val="center"/>
        <w:rPr>
          <w:sz w:val="36"/>
          <w:szCs w:val="36"/>
        </w:rPr>
      </w:pPr>
      <w:r>
        <w:rPr>
          <w:sz w:val="36"/>
          <w:szCs w:val="36"/>
        </w:rPr>
        <w:t>Jensen et al. Supplement S3</w:t>
      </w:r>
    </w:p>
    <w:p w14:paraId="2B3E41C6" w14:textId="77777777" w:rsidR="006D291A" w:rsidRDefault="006D291A"/>
    <w:p w14:paraId="2B3E41C7" w14:textId="77777777" w:rsidR="006D291A" w:rsidRDefault="00BD6F83">
      <w:pPr>
        <w:spacing w:line="360" w:lineRule="auto"/>
      </w:pPr>
      <w:r>
        <w:t>The supplement provides a discussion of MCMC and model fit diagnostics, as well as supplementary results figures for aspects of the study not addressed in the main text.</w:t>
      </w:r>
    </w:p>
    <w:p w14:paraId="2B3E41C8" w14:textId="77777777" w:rsidR="006D291A" w:rsidRDefault="006D291A">
      <w:pPr>
        <w:spacing w:line="360" w:lineRule="auto"/>
      </w:pPr>
    </w:p>
    <w:p w14:paraId="2B3E41C9" w14:textId="18831464" w:rsidR="006D291A" w:rsidRDefault="00BD6F83">
      <w:pPr>
        <w:spacing w:line="360" w:lineRule="auto"/>
        <w:rPr>
          <w:sz w:val="32"/>
          <w:szCs w:val="32"/>
        </w:rPr>
      </w:pPr>
      <w:r>
        <w:rPr>
          <w:sz w:val="32"/>
          <w:szCs w:val="32"/>
        </w:rPr>
        <w:t xml:space="preserve">Diagnostics – </w:t>
      </w:r>
      <w:r>
        <w:rPr>
          <w:i/>
          <w:sz w:val="32"/>
          <w:szCs w:val="32"/>
        </w:rPr>
        <w:t>CWT</w:t>
      </w:r>
      <w:r w:rsidR="00325A45">
        <w:rPr>
          <w:i/>
          <w:sz w:val="32"/>
          <w:szCs w:val="32"/>
        </w:rPr>
        <w:t>-only</w:t>
      </w:r>
      <w:r>
        <w:rPr>
          <w:sz w:val="32"/>
          <w:szCs w:val="32"/>
        </w:rPr>
        <w:t xml:space="preserve"> model</w:t>
      </w:r>
    </w:p>
    <w:p w14:paraId="2B3E41CA" w14:textId="77777777" w:rsidR="006D291A" w:rsidRDefault="00BD6F83">
      <w:pPr>
        <w:spacing w:line="360" w:lineRule="auto"/>
      </w:pPr>
      <w:r>
        <w:t>We implemented our statistical model in stan (</w:t>
      </w:r>
      <w:proofErr w:type="spellStart"/>
      <w:r>
        <w:t>rstan</w:t>
      </w:r>
      <w:proofErr w:type="spellEnd"/>
      <w:r>
        <w:t xml:space="preserve"> v2.21.2; Stan Development Team, 2022). We ran 6 chains with a warm up of 400 iterations and 1400 sampling iterations. There were 10 divergent transitions during the sampling phase of the MCMC. Visually, chains appeared to mix well and converge for all parameters. This observed convergence was supported by R-hat values less than 1.01 for all monitored parameters. Estimated effective sample sizes were generally greater than 7,000 but had a minimum of roughly 1,500.</w:t>
      </w:r>
    </w:p>
    <w:p w14:paraId="2B3E41CB" w14:textId="77777777" w:rsidR="006D291A" w:rsidRDefault="006D291A">
      <w:pPr>
        <w:spacing w:line="360" w:lineRule="auto"/>
      </w:pPr>
    </w:p>
    <w:p w14:paraId="2B3E41CC" w14:textId="1BF79489" w:rsidR="006D291A" w:rsidRDefault="00BD6F83">
      <w:pPr>
        <w:spacing w:line="360" w:lineRule="auto"/>
      </w:pPr>
      <w:r>
        <w:t>All of the parameters were substantially different from their prior distributions and none of the estimated parameters were estimated to run up against hard boundaries (e.g.</w:t>
      </w:r>
      <w:r w:rsidR="00D463B2">
        <w:t>,</w:t>
      </w:r>
      <w:r>
        <w:t xml:space="preserve"> no variance parameters were estimated to be very close to 0).</w:t>
      </w:r>
    </w:p>
    <w:p w14:paraId="2B3E41CD" w14:textId="77777777" w:rsidR="006D291A" w:rsidRDefault="006D291A">
      <w:pPr>
        <w:spacing w:line="360" w:lineRule="auto"/>
      </w:pPr>
    </w:p>
    <w:p w14:paraId="2B3E41CE" w14:textId="77777777" w:rsidR="006D291A" w:rsidRDefault="00BD6F83">
      <w:pPr>
        <w:spacing w:line="360" w:lineRule="auto"/>
        <w:rPr>
          <w:sz w:val="28"/>
          <w:szCs w:val="28"/>
        </w:rPr>
      </w:pPr>
      <w:r>
        <w:rPr>
          <w:sz w:val="28"/>
          <w:szCs w:val="28"/>
        </w:rPr>
        <w:t>Visual Diagnostics</w:t>
      </w:r>
    </w:p>
    <w:p w14:paraId="2B3E41CF" w14:textId="77777777" w:rsidR="006D291A" w:rsidRDefault="00BD6F83">
      <w:pPr>
        <w:spacing w:line="360" w:lineRule="auto"/>
      </w:pPr>
      <w:r>
        <w:t>In total, our fitted model includes 82,542 observations of CWT ocean catch; one for each release group-model age-region-gear combination included. Regions and seasons where there was no fishing effort or no CWT sampling are not included in the model. Out of the 82,542 observations, 11,998 had non-zero observed CWT recoveries. We present predictions and observations for the occurrence (Fig. S3.1) and positive model components (Fig. S3.2). Across all observations of occurrence the model over-predicts the occurrence of CWT (Fig. S3.1) somewhat and this pattern is shared across all stock origins (Fig. S3.3). This pattern is also apparent for the positive component of the model (Figs. S3.2, S3.4), but the magnitude of over-prediction is relatively small.</w:t>
      </w:r>
    </w:p>
    <w:p w14:paraId="2B3E41D0" w14:textId="77777777" w:rsidR="006D291A" w:rsidRDefault="006D291A">
      <w:pPr>
        <w:spacing w:line="360" w:lineRule="auto"/>
      </w:pPr>
    </w:p>
    <w:p w14:paraId="2B3E41D1" w14:textId="77777777" w:rsidR="006D291A" w:rsidRDefault="00BD6F83">
      <w:pPr>
        <w:spacing w:line="360" w:lineRule="auto"/>
      </w:pPr>
      <w:r>
        <w:t xml:space="preserve">Additional exploration revealed that this over-prediction is driven primarily by very young fish and very old fish, which are relatively infrequently observed, similar to observed trends in Shelton et al. (2021). For example, we show plots of predicted and observed catch for one stock </w:t>
      </w:r>
      <w:r>
        <w:lastRenderedPageBreak/>
        <w:t xml:space="preserve">(SFB) subset by model ages (Figs. S3.5, S3.6; see Table S1.1 for age schedule). For the stocks in our analysis the majority of fish captured are from BY+3, BY+4, and BY+5 (the middle three rows), though the relative amount varies strongly with the stock-specific maturation schedule. In general, the plots of predicted and observed are reasonably good for BY+3 to BY+4 and better during the summer (model ages 6, 10, and 14) and fall (model ages 7, 11, 15) than the spring and winter seasons. Over-prediction occurs most strongly in BY+1 and BY+6 (the first and last rows), suggesting that the model still has difficulty matching the recaptures of the youngest and oldest fish. </w:t>
      </w:r>
    </w:p>
    <w:p w14:paraId="2B3E41D2" w14:textId="77777777" w:rsidR="006D291A" w:rsidRDefault="006D291A">
      <w:pPr>
        <w:spacing w:line="360" w:lineRule="auto"/>
      </w:pPr>
    </w:p>
    <w:p w14:paraId="2B3E41D3" w14:textId="77777777" w:rsidR="006D291A" w:rsidRDefault="006D291A">
      <w:pPr>
        <w:spacing w:line="360" w:lineRule="auto"/>
      </w:pPr>
    </w:p>
    <w:p w14:paraId="2B3E41D4" w14:textId="77777777" w:rsidR="006D291A" w:rsidRDefault="006D291A">
      <w:pPr>
        <w:spacing w:line="360" w:lineRule="auto"/>
      </w:pPr>
    </w:p>
    <w:p w14:paraId="2B3E41D5" w14:textId="77777777" w:rsidR="006D291A" w:rsidRDefault="00BD6F83">
      <w:pPr>
        <w:spacing w:line="360" w:lineRule="auto"/>
      </w:pPr>
      <w:r>
        <w:rPr>
          <w:noProof/>
        </w:rPr>
        <w:lastRenderedPageBreak/>
        <w:drawing>
          <wp:inline distT="114300" distB="114300" distL="114300" distR="114300" wp14:anchorId="2B3E4319" wp14:editId="2B3E431A">
            <wp:extent cx="5943600" cy="5943600"/>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
                    <a:srcRect/>
                    <a:stretch>
                      <a:fillRect/>
                    </a:stretch>
                  </pic:blipFill>
                  <pic:spPr>
                    <a:xfrm>
                      <a:off x="0" y="0"/>
                      <a:ext cx="5943600" cy="5943600"/>
                    </a:xfrm>
                    <a:prstGeom prst="rect">
                      <a:avLst/>
                    </a:prstGeom>
                    <a:ln/>
                  </pic:spPr>
                </pic:pic>
              </a:graphicData>
            </a:graphic>
          </wp:inline>
        </w:drawing>
      </w:r>
    </w:p>
    <w:p w14:paraId="2B3E41D6" w14:textId="7F28F76B" w:rsidR="006D291A" w:rsidRDefault="00BD6F83">
      <w:r>
        <w:t>Figure S3.1.</w:t>
      </w:r>
      <w:r w:rsidR="00E556ED">
        <w:t xml:space="preserve"> </w:t>
      </w:r>
      <w:r>
        <w:t>Model predictions for the probability of occurrence of CWT against the observed presence (1; observed catch &gt; 0) or absence (0). Each point represents a release group-model age-region-gear combination. Red dashed line shows the 1:1 line, solid line shows a GAM smooth.</w:t>
      </w:r>
    </w:p>
    <w:p w14:paraId="2B3E41D7" w14:textId="77777777" w:rsidR="006D291A" w:rsidRDefault="006D291A"/>
    <w:p w14:paraId="2B3E41D8" w14:textId="77777777" w:rsidR="006D291A" w:rsidRDefault="00BD6F83">
      <w:r>
        <w:rPr>
          <w:noProof/>
        </w:rPr>
        <w:lastRenderedPageBreak/>
        <w:drawing>
          <wp:inline distT="114300" distB="114300" distL="114300" distR="114300" wp14:anchorId="2B3E431B" wp14:editId="2B3E431C">
            <wp:extent cx="5943600" cy="5943600"/>
            <wp:effectExtent l="0" t="0" r="0" b="0"/>
            <wp:docPr id="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
                    <a:srcRect/>
                    <a:stretch>
                      <a:fillRect/>
                    </a:stretch>
                  </pic:blipFill>
                  <pic:spPr>
                    <a:xfrm>
                      <a:off x="0" y="0"/>
                      <a:ext cx="5943600" cy="5943600"/>
                    </a:xfrm>
                    <a:prstGeom prst="rect">
                      <a:avLst/>
                    </a:prstGeom>
                    <a:ln/>
                  </pic:spPr>
                </pic:pic>
              </a:graphicData>
            </a:graphic>
          </wp:inline>
        </w:drawing>
      </w:r>
    </w:p>
    <w:p w14:paraId="2B3E41D9" w14:textId="77777777" w:rsidR="006D291A" w:rsidRDefault="00BD6F83">
      <w:r>
        <w:t>Figure S3.2: Model predictions for positive catch against observed catch of CWT. Each point represents a release group-model age-region combination. Red dashed line shows the 1:1 line, solid line shows a GAM smooth.</w:t>
      </w:r>
    </w:p>
    <w:p w14:paraId="2B3E41DA" w14:textId="77777777" w:rsidR="006D291A" w:rsidRDefault="00BD6F83">
      <w:r>
        <w:br w:type="page"/>
      </w:r>
    </w:p>
    <w:p w14:paraId="2B3E41DB" w14:textId="77777777" w:rsidR="006D291A" w:rsidRDefault="00BD6F83">
      <w:r>
        <w:rPr>
          <w:noProof/>
        </w:rPr>
        <w:lastRenderedPageBreak/>
        <w:drawing>
          <wp:inline distT="114300" distB="114300" distL="114300" distR="114300" wp14:anchorId="2B3E431D" wp14:editId="2B3E431E">
            <wp:extent cx="5943600" cy="5943600"/>
            <wp:effectExtent l="0" t="0" r="0" b="0"/>
            <wp:docPr id="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
                    <a:srcRect/>
                    <a:stretch>
                      <a:fillRect/>
                    </a:stretch>
                  </pic:blipFill>
                  <pic:spPr>
                    <a:xfrm>
                      <a:off x="0" y="0"/>
                      <a:ext cx="5943600" cy="5943600"/>
                    </a:xfrm>
                    <a:prstGeom prst="rect">
                      <a:avLst/>
                    </a:prstGeom>
                    <a:ln/>
                  </pic:spPr>
                </pic:pic>
              </a:graphicData>
            </a:graphic>
          </wp:inline>
        </w:drawing>
      </w:r>
    </w:p>
    <w:p w14:paraId="2B3E41DC" w14:textId="61A8ADF8" w:rsidR="006D291A" w:rsidRDefault="00BD6F83">
      <w:r>
        <w:t>Figure S3.3: Model predictions by origin stock for the probability of occurrence of CWT against the observed presence (1; observed catch &gt; 0) or absence (0).</w:t>
      </w:r>
      <w:r w:rsidR="00E556ED">
        <w:t xml:space="preserve"> </w:t>
      </w:r>
      <w:r>
        <w:t>Each point represents a release group-model age-region combination. Red dashed line shows the 1:1 line, solid line shows a GAM smooth.</w:t>
      </w:r>
    </w:p>
    <w:p w14:paraId="2B3E41DD" w14:textId="77777777" w:rsidR="006D291A" w:rsidRDefault="006D291A"/>
    <w:p w14:paraId="2B3E41DE" w14:textId="77777777" w:rsidR="006D291A" w:rsidRDefault="006D291A"/>
    <w:p w14:paraId="2B3E41DF" w14:textId="77777777" w:rsidR="006D291A" w:rsidRDefault="00BD6F83">
      <w:r>
        <w:rPr>
          <w:noProof/>
        </w:rPr>
        <w:lastRenderedPageBreak/>
        <w:drawing>
          <wp:inline distT="114300" distB="114300" distL="114300" distR="114300" wp14:anchorId="2B3E431F" wp14:editId="2B3E4320">
            <wp:extent cx="5943600" cy="5943600"/>
            <wp:effectExtent l="0" t="0" r="0" b="0"/>
            <wp:docPr id="2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5943600" cy="5943600"/>
                    </a:xfrm>
                    <a:prstGeom prst="rect">
                      <a:avLst/>
                    </a:prstGeom>
                    <a:ln/>
                  </pic:spPr>
                </pic:pic>
              </a:graphicData>
            </a:graphic>
          </wp:inline>
        </w:drawing>
      </w:r>
    </w:p>
    <w:p w14:paraId="2B3E41E0" w14:textId="77777777" w:rsidR="006D291A" w:rsidRDefault="00BD6F83">
      <w:r>
        <w:t>Figure S3.4: Model predictions by origin stocks for positive catch against observed expanded catch of CWT. Each point represents a release group-model age-region combination. Red dashed line shows the 1:1 line, solid line shows a GAM smooth.</w:t>
      </w:r>
    </w:p>
    <w:p w14:paraId="2B3E41E1" w14:textId="77777777" w:rsidR="006D291A" w:rsidRDefault="006D291A"/>
    <w:p w14:paraId="2B3E41E2" w14:textId="77777777" w:rsidR="006D291A" w:rsidRDefault="00BD6F83">
      <w:r>
        <w:rPr>
          <w:noProof/>
        </w:rPr>
        <w:lastRenderedPageBreak/>
        <w:drawing>
          <wp:inline distT="114300" distB="114300" distL="114300" distR="114300" wp14:anchorId="2B3E4321" wp14:editId="2B3E4322">
            <wp:extent cx="5943600" cy="679450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943600" cy="6794500"/>
                    </a:xfrm>
                    <a:prstGeom prst="rect">
                      <a:avLst/>
                    </a:prstGeom>
                    <a:ln/>
                  </pic:spPr>
                </pic:pic>
              </a:graphicData>
            </a:graphic>
          </wp:inline>
        </w:drawing>
      </w:r>
    </w:p>
    <w:p w14:paraId="2B3E41E3" w14:textId="6BF21175" w:rsidR="006D291A" w:rsidRDefault="00BD6F83">
      <w:r>
        <w:t>Figure S3.5: Model predictions for the SFB stock for the probability of occurrence of CWT against the observed presence (1; observed catch &gt; 0) or absence (0). Each panel represents a model age</w:t>
      </w:r>
      <w:r w:rsidR="00F637B9">
        <w:t>,</w:t>
      </w:r>
      <w:r>
        <w:t xml:space="preserve"> beginning with spring of brood year + 2 (model age = 1; upper left panel)</w:t>
      </w:r>
      <w:r w:rsidR="003F554E">
        <w:t xml:space="preserve"> and advancing one season at a time</w:t>
      </w:r>
      <w:r w:rsidR="00C65F3F">
        <w:t xml:space="preserve"> (see Table S1.1)</w:t>
      </w:r>
      <w:r>
        <w:t>. The columns from left to right show spring, summer, fall, and winter seasons. Rows show year brood year + 2 to brood year + 6. Individual points show a release group-model age-region combination. Red dashed line shows the 1:1 line, solid line shows a GAM smooth.</w:t>
      </w:r>
    </w:p>
    <w:p w14:paraId="2B3E41E4" w14:textId="77777777" w:rsidR="006D291A" w:rsidRDefault="006D291A"/>
    <w:p w14:paraId="2B3E41E5" w14:textId="77777777" w:rsidR="006D291A" w:rsidRDefault="00BD6F83">
      <w:r>
        <w:rPr>
          <w:noProof/>
        </w:rPr>
        <w:lastRenderedPageBreak/>
        <w:drawing>
          <wp:inline distT="114300" distB="114300" distL="114300" distR="114300" wp14:anchorId="2B3E4323" wp14:editId="2B3E4324">
            <wp:extent cx="5943600" cy="6794500"/>
            <wp:effectExtent l="0" t="0" r="0" b="0"/>
            <wp:docPr id="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943600" cy="6794500"/>
                    </a:xfrm>
                    <a:prstGeom prst="rect">
                      <a:avLst/>
                    </a:prstGeom>
                    <a:ln/>
                  </pic:spPr>
                </pic:pic>
              </a:graphicData>
            </a:graphic>
          </wp:inline>
        </w:drawing>
      </w:r>
    </w:p>
    <w:p w14:paraId="2B3E41E6" w14:textId="41EA88ED" w:rsidR="006D291A" w:rsidRDefault="00BD6F83">
      <w:r>
        <w:t>Figure S3.6: Model predictions for the SFB stock for the predicted positive catch of CWT against the observed CWT. Each panel represents a model age beginning with spring of brood year + 2 (model age = 1, upper left panel)</w:t>
      </w:r>
      <w:r w:rsidR="00593048" w:rsidRPr="00593048">
        <w:t xml:space="preserve"> </w:t>
      </w:r>
      <w:r w:rsidR="00593048">
        <w:t>and advancing one season at a time (see Table S1.1)</w:t>
      </w:r>
      <w:r>
        <w:t>. The columns from left to right are spring, summer, fall, and winter seasons. Rows show year brood year + 2 to brood year + 6. Individual points show a release group-model age-region combination. Red dashed line shows the 1:1 line, solid line shows a GAM smooth.</w:t>
      </w:r>
    </w:p>
    <w:p w14:paraId="2B3E41E7" w14:textId="77777777" w:rsidR="006D291A" w:rsidRDefault="006D291A"/>
    <w:p w14:paraId="2B3E41E8" w14:textId="77777777" w:rsidR="006D291A" w:rsidRDefault="00BD6F83">
      <w:pPr>
        <w:rPr>
          <w:sz w:val="32"/>
          <w:szCs w:val="32"/>
        </w:rPr>
      </w:pPr>
      <w:r>
        <w:rPr>
          <w:sz w:val="32"/>
          <w:szCs w:val="32"/>
        </w:rPr>
        <w:lastRenderedPageBreak/>
        <w:t>Juvenile mortality rates</w:t>
      </w:r>
    </w:p>
    <w:p w14:paraId="2B3E41E9" w14:textId="77777777" w:rsidR="006D291A" w:rsidRDefault="006D291A">
      <w:pPr>
        <w:rPr>
          <w:sz w:val="32"/>
          <w:szCs w:val="32"/>
        </w:rPr>
      </w:pPr>
    </w:p>
    <w:p w14:paraId="2B3E41EA" w14:textId="77777777" w:rsidR="006D291A" w:rsidRDefault="00BD6F83">
      <w:pPr>
        <w:spacing w:line="360" w:lineRule="auto"/>
      </w:pPr>
      <w:r>
        <w:t>Similar to results reported in Shelton et al. 2021, we estimate a large amount of variation in early mortality among release groups with an overall estimated hierarchical median of 2.43 (Fig. S3.7). This large variation in juvenile survival rates among release groups has been well documented in a wide variety of previous studies; this is described in detail in Supplement S1 of Shelton et al. (2021).</w:t>
      </w:r>
    </w:p>
    <w:p w14:paraId="2B3E41EB" w14:textId="77777777" w:rsidR="006D291A" w:rsidRDefault="00BD6F83">
      <w:pPr>
        <w:rPr>
          <w:sz w:val="32"/>
          <w:szCs w:val="32"/>
        </w:rPr>
      </w:pPr>
      <w:r>
        <w:rPr>
          <w:noProof/>
          <w:sz w:val="32"/>
          <w:szCs w:val="32"/>
        </w:rPr>
        <w:drawing>
          <wp:inline distT="114300" distB="114300" distL="114300" distR="114300" wp14:anchorId="2B3E4325" wp14:editId="2B3E4326">
            <wp:extent cx="5586413" cy="5586413"/>
            <wp:effectExtent l="0" t="0" r="0" b="0"/>
            <wp:docPr id="1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
                    <a:srcRect/>
                    <a:stretch>
                      <a:fillRect/>
                    </a:stretch>
                  </pic:blipFill>
                  <pic:spPr>
                    <a:xfrm>
                      <a:off x="0" y="0"/>
                      <a:ext cx="5586413" cy="5586413"/>
                    </a:xfrm>
                    <a:prstGeom prst="rect">
                      <a:avLst/>
                    </a:prstGeom>
                    <a:ln/>
                  </pic:spPr>
                </pic:pic>
              </a:graphicData>
            </a:graphic>
          </wp:inline>
        </w:drawing>
      </w:r>
    </w:p>
    <w:p w14:paraId="2B3E41EC" w14:textId="7AC4E2D3" w:rsidR="006D291A" w:rsidRDefault="00BD6F83">
      <w:r>
        <w:t>Figure S3.7: The estimated distribution of juvenile mortality rates</w:t>
      </w:r>
      <w:r w:rsidR="002800AA">
        <w:t xml:space="preserve"> </w:t>
      </w:r>
      <m:oMath>
        <m:r>
          <w:rPr>
            <w:rFonts w:ascii="Cambria Math" w:hAnsi="Cambria Math"/>
          </w:rPr>
          <m:t>ϕ</m:t>
        </m:r>
      </m:oMath>
      <w:r w:rsidR="002800AA">
        <w:t>, from release to reaching model age-1,</w:t>
      </w:r>
      <w:r>
        <w:t xml:space="preserve"> for each of the 284 release groups in the model. The dashed line indicates the estimated hierarchical median value among all the release groups.</w:t>
      </w:r>
    </w:p>
    <w:p w14:paraId="2B3E41ED" w14:textId="77777777" w:rsidR="006D291A" w:rsidRDefault="006D291A">
      <w:pPr>
        <w:rPr>
          <w:sz w:val="32"/>
          <w:szCs w:val="32"/>
        </w:rPr>
      </w:pPr>
    </w:p>
    <w:p w14:paraId="2B3E41EE" w14:textId="77777777" w:rsidR="006D291A" w:rsidRDefault="00BD6F83">
      <w:pPr>
        <w:rPr>
          <w:sz w:val="32"/>
          <w:szCs w:val="32"/>
        </w:rPr>
      </w:pPr>
      <w:r>
        <w:rPr>
          <w:sz w:val="32"/>
          <w:szCs w:val="32"/>
        </w:rPr>
        <w:lastRenderedPageBreak/>
        <w:t>Spawning age distributions</w:t>
      </w:r>
    </w:p>
    <w:p w14:paraId="2B3E41EF" w14:textId="77777777" w:rsidR="006D291A" w:rsidRDefault="006D291A"/>
    <w:p w14:paraId="2B3E41F0" w14:textId="77777777" w:rsidR="006D291A" w:rsidRDefault="00BD6F83">
      <w:pPr>
        <w:spacing w:line="360" w:lineRule="auto"/>
      </w:pPr>
      <w:r>
        <w:t>We present the estimated spawning age distribution</w:t>
      </w:r>
      <w:r w:rsidRPr="00E556ED">
        <w:t xml:space="preserve"> of CWT release</w:t>
      </w:r>
      <w:r>
        <w:t xml:space="preserve"> groups for one representative brood year for each origin region (Fig. S3.8). The fraction spawning at each age for a single brood year varies substantially among stocks with the SFB stock generally having younger age at maturity than the more northerly origin stocks.</w:t>
      </w:r>
    </w:p>
    <w:p w14:paraId="2B3E41F1" w14:textId="77777777" w:rsidR="006D291A" w:rsidRDefault="00BD6F83">
      <w:r>
        <w:rPr>
          <w:noProof/>
        </w:rPr>
        <w:drawing>
          <wp:inline distT="114300" distB="114300" distL="114300" distR="114300" wp14:anchorId="2B3E4327" wp14:editId="2B3E4328">
            <wp:extent cx="5043488" cy="5043488"/>
            <wp:effectExtent l="0" t="0" r="0" b="0"/>
            <wp:docPr id="2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2"/>
                    <a:srcRect/>
                    <a:stretch>
                      <a:fillRect/>
                    </a:stretch>
                  </pic:blipFill>
                  <pic:spPr>
                    <a:xfrm>
                      <a:off x="0" y="0"/>
                      <a:ext cx="5043488" cy="5043488"/>
                    </a:xfrm>
                    <a:prstGeom prst="rect">
                      <a:avLst/>
                    </a:prstGeom>
                    <a:ln/>
                  </pic:spPr>
                </pic:pic>
              </a:graphicData>
            </a:graphic>
          </wp:inline>
        </w:drawing>
      </w:r>
    </w:p>
    <w:p w14:paraId="2B3E41F2" w14:textId="4A607C28" w:rsidR="006D291A" w:rsidRDefault="00BD6F83">
      <w:r>
        <w:t>Figure S3.8: Estimated proportion of cohort observed in freshwater. Each panel shows an example cohort from a single brood year from a different stock with the estimated proportional contribution of individuals from each age to freshwater over the course of a life</w:t>
      </w:r>
      <w:r w:rsidR="00E556ED">
        <w:t xml:space="preserve"> </w:t>
      </w:r>
      <w:r>
        <w:t>cycle. Red bars indicate long-term mean spawning proportions by age for each stock and blue bars indicate posterior mean estimate of proportions for the release group and year designated in the title. Note that the realized spawning distribution for a single year may differ substantially from the long-term mean spawning age-distribution.</w:t>
      </w:r>
      <w:r>
        <w:br w:type="page"/>
      </w:r>
    </w:p>
    <w:p w14:paraId="2B3E41F3" w14:textId="77777777" w:rsidR="006D291A" w:rsidRDefault="00BD6F83">
      <w:pPr>
        <w:rPr>
          <w:sz w:val="32"/>
          <w:szCs w:val="32"/>
        </w:rPr>
      </w:pPr>
      <w:r>
        <w:rPr>
          <w:sz w:val="32"/>
          <w:szCs w:val="32"/>
        </w:rPr>
        <w:lastRenderedPageBreak/>
        <w:t>Vulnerability by age</w:t>
      </w:r>
    </w:p>
    <w:p w14:paraId="2B3E41F4" w14:textId="77777777" w:rsidR="006D291A" w:rsidRDefault="006D291A">
      <w:pPr>
        <w:rPr>
          <w:b/>
        </w:rPr>
      </w:pPr>
    </w:p>
    <w:p w14:paraId="2B3E41F5" w14:textId="77777777" w:rsidR="006D291A" w:rsidRDefault="00BD6F83">
      <w:pPr>
        <w:spacing w:line="360" w:lineRule="auto"/>
      </w:pPr>
      <w:r>
        <w:t>The estimated fraction of Chinook salmon vulnerable for each gear type and model age, associated with a selection of retention sizes, is shown in Figure S3.9.</w:t>
      </w:r>
    </w:p>
    <w:p w14:paraId="2B3E41F6" w14:textId="77777777" w:rsidR="006D291A" w:rsidRDefault="00BD6F83">
      <w:pPr>
        <w:spacing w:line="360" w:lineRule="auto"/>
      </w:pPr>
      <w:r>
        <w:rPr>
          <w:noProof/>
        </w:rPr>
        <w:drawing>
          <wp:inline distT="114300" distB="114300" distL="114300" distR="114300" wp14:anchorId="2B3E4329" wp14:editId="2B3E432A">
            <wp:extent cx="5943600" cy="44577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943600" cy="4457700"/>
                    </a:xfrm>
                    <a:prstGeom prst="rect">
                      <a:avLst/>
                    </a:prstGeom>
                    <a:ln/>
                  </pic:spPr>
                </pic:pic>
              </a:graphicData>
            </a:graphic>
          </wp:inline>
        </w:drawing>
      </w:r>
    </w:p>
    <w:p w14:paraId="2B3E41F7" w14:textId="7CB88EE1" w:rsidR="006D291A" w:rsidRDefault="00BD6F83">
      <w:r>
        <w:t xml:space="preserve">Figure S3.9. Estimated vulnerability to each gear type (left panel: troll and trawl gear types: right panels: recreational) as a function of ocean age. Posterior means are shown. Different colors correspond to vulnerability curves associated with different retention lengths (total length in inches). As most retention lengths are reported in inches, we retain these units. </w:t>
      </w:r>
    </w:p>
    <w:p w14:paraId="2B3E41F8" w14:textId="77777777" w:rsidR="006D291A" w:rsidRDefault="006D291A"/>
    <w:p w14:paraId="2B3E41F9" w14:textId="77777777" w:rsidR="006D291A" w:rsidRDefault="00BD6F83">
      <w:pPr>
        <w:rPr>
          <w:sz w:val="32"/>
          <w:szCs w:val="32"/>
        </w:rPr>
      </w:pPr>
      <w:r>
        <w:br w:type="page"/>
      </w:r>
    </w:p>
    <w:p w14:paraId="2B3E41FA" w14:textId="77777777" w:rsidR="006D291A" w:rsidRDefault="00BD6F83">
      <w:pPr>
        <w:rPr>
          <w:sz w:val="32"/>
          <w:szCs w:val="32"/>
        </w:rPr>
      </w:pPr>
      <w:r>
        <w:rPr>
          <w:sz w:val="32"/>
          <w:szCs w:val="32"/>
        </w:rPr>
        <w:lastRenderedPageBreak/>
        <w:t>Catchability</w:t>
      </w:r>
    </w:p>
    <w:p w14:paraId="2B3E41FB" w14:textId="77777777" w:rsidR="006D291A" w:rsidRDefault="006D291A"/>
    <w:p w14:paraId="2B3E41FC" w14:textId="77777777" w:rsidR="006D291A" w:rsidRDefault="00BD6F83">
      <w:pPr>
        <w:spacing w:line="360" w:lineRule="auto"/>
      </w:pPr>
      <w:r>
        <w:t>The catchability parameters for each gear type</w:t>
      </w:r>
      <w:r>
        <w:rPr>
          <w:i/>
        </w:rPr>
        <w:t xml:space="preserve"> </w:t>
      </w:r>
      <w:r>
        <w:t>determine the rate at which CWT fish are captured by each fleet (see Supplement S1 for details). We allow catchability to increase through time for the troll, treaty troll, and recreational fleets and allow for spatial variation in the troll fleet (Fig. S3.10). The pelagic trawl fleets do not have time-varying catchabilities. Spatial variation also occurs among recreational fleets due to the different data sources and data types.</w:t>
      </w:r>
    </w:p>
    <w:p w14:paraId="2B3E41FD" w14:textId="77777777" w:rsidR="006D291A" w:rsidRDefault="00BD6F83">
      <w:pPr>
        <w:spacing w:line="360" w:lineRule="auto"/>
      </w:pPr>
      <w:r>
        <w:rPr>
          <w:noProof/>
        </w:rPr>
        <w:drawing>
          <wp:inline distT="114300" distB="114300" distL="114300" distR="114300" wp14:anchorId="2B3E432B" wp14:editId="2B3E432C">
            <wp:extent cx="5943600" cy="4457700"/>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943600" cy="4457700"/>
                    </a:xfrm>
                    <a:prstGeom prst="rect">
                      <a:avLst/>
                    </a:prstGeom>
                    <a:ln/>
                  </pic:spPr>
                </pic:pic>
              </a:graphicData>
            </a:graphic>
          </wp:inline>
        </w:drawing>
      </w:r>
    </w:p>
    <w:p w14:paraId="2B3E41FE" w14:textId="77777777" w:rsidR="006D291A" w:rsidRDefault="00BD6F83">
      <w:r>
        <w:t>Figure S3.10: Estimates of catchability (log q) for each fleet by year. Point estimates of log q for each fleet are shown.</w:t>
      </w:r>
    </w:p>
    <w:p w14:paraId="2B3E41FF" w14:textId="77777777" w:rsidR="006D291A" w:rsidRDefault="006D291A"/>
    <w:p w14:paraId="2B3E4200" w14:textId="77777777" w:rsidR="006D291A" w:rsidRDefault="00BD6F83">
      <w:pPr>
        <w:rPr>
          <w:sz w:val="32"/>
          <w:szCs w:val="32"/>
        </w:rPr>
      </w:pPr>
      <w:r>
        <w:br w:type="page"/>
      </w:r>
    </w:p>
    <w:p w14:paraId="2B3E4201" w14:textId="77777777" w:rsidR="006D291A" w:rsidRDefault="00BD6F83">
      <w:pPr>
        <w:rPr>
          <w:sz w:val="32"/>
          <w:szCs w:val="32"/>
        </w:rPr>
      </w:pPr>
      <w:r>
        <w:rPr>
          <w:sz w:val="32"/>
          <w:szCs w:val="32"/>
        </w:rPr>
        <w:lastRenderedPageBreak/>
        <w:t xml:space="preserve">Diagnostics - </w:t>
      </w:r>
      <w:r>
        <w:rPr>
          <w:i/>
          <w:sz w:val="32"/>
          <w:szCs w:val="32"/>
        </w:rPr>
        <w:t>CWT+GSI</w:t>
      </w:r>
      <w:r>
        <w:rPr>
          <w:sz w:val="32"/>
          <w:szCs w:val="32"/>
        </w:rPr>
        <w:t xml:space="preserve"> model</w:t>
      </w:r>
    </w:p>
    <w:p w14:paraId="2B3E4202" w14:textId="77777777" w:rsidR="006D291A" w:rsidRDefault="006D291A"/>
    <w:p w14:paraId="2B3E4203" w14:textId="77777777" w:rsidR="006D291A" w:rsidRDefault="00BD6F83">
      <w:pPr>
        <w:rPr>
          <w:sz w:val="28"/>
          <w:szCs w:val="28"/>
        </w:rPr>
      </w:pPr>
      <w:r>
        <w:rPr>
          <w:sz w:val="28"/>
          <w:szCs w:val="28"/>
        </w:rPr>
        <w:t>MCMC Information</w:t>
      </w:r>
    </w:p>
    <w:p w14:paraId="2B3E4204" w14:textId="77777777" w:rsidR="006D291A" w:rsidRDefault="006D291A">
      <w:pPr>
        <w:rPr>
          <w:sz w:val="28"/>
          <w:szCs w:val="28"/>
        </w:rPr>
      </w:pPr>
    </w:p>
    <w:p w14:paraId="2B3E4205" w14:textId="77777777" w:rsidR="006D291A" w:rsidRDefault="00BD6F83">
      <w:pPr>
        <w:spacing w:line="360" w:lineRule="auto"/>
      </w:pPr>
      <w:r>
        <w:t>We implemented our statistical model in stan (</w:t>
      </w:r>
      <w:proofErr w:type="spellStart"/>
      <w:r>
        <w:t>rstan</w:t>
      </w:r>
      <w:proofErr w:type="spellEnd"/>
      <w:r>
        <w:t xml:space="preserve"> v2.21.2; Stan Development Team, 2022), running 6 chains with a warm up of 400 iterations and 1400 sampling iterations. There were no divergent transitions during the sampling phase of the MCMC. Visually, chains appeared to mix well and converge for most parameters, but some parameters exhibited noticeable divergences among chains. This variability in convergence was indicated by R-hat values with median </w:t>
      </w:r>
      <m:oMath>
        <m:acc>
          <m:accPr>
            <m:ctrlPr>
              <w:rPr>
                <w:rFonts w:ascii="Cambria Math" w:hAnsi="Cambria Math"/>
              </w:rPr>
            </m:ctrlPr>
          </m:accPr>
          <m:e>
            <m:r>
              <w:rPr>
                <w:rFonts w:ascii="Cambria Math" w:hAnsi="Cambria Math"/>
              </w:rPr>
              <m:t>R</m:t>
            </m:r>
          </m:e>
        </m:acc>
        <m:r>
          <w:rPr>
            <w:rFonts w:ascii="Cambria Math" w:hAnsi="Cambria Math"/>
          </w:rPr>
          <m:t>=1.01</m:t>
        </m:r>
      </m:oMath>
      <w:r>
        <w:t xml:space="preserve"> and </w:t>
      </w:r>
      <m:oMath>
        <m:acc>
          <m:accPr>
            <m:ctrlPr>
              <w:rPr>
                <w:rFonts w:ascii="Cambria Math" w:hAnsi="Cambria Math"/>
              </w:rPr>
            </m:ctrlPr>
          </m:accPr>
          <m:e>
            <m:r>
              <w:rPr>
                <w:rFonts w:ascii="Cambria Math" w:hAnsi="Cambria Math"/>
              </w:rPr>
              <m:t>R</m:t>
            </m:r>
          </m:e>
        </m:acc>
        <m:r>
          <w:rPr>
            <w:rFonts w:ascii="Cambria Math" w:hAnsi="Cambria Math"/>
          </w:rPr>
          <m:t>&lt;1.01</m:t>
        </m:r>
      </m:oMath>
      <w:r>
        <w:t xml:space="preserve"> and </w:t>
      </w:r>
      <m:oMath>
        <m:acc>
          <m:accPr>
            <m:ctrlPr>
              <w:rPr>
                <w:rFonts w:ascii="Cambria Math" w:hAnsi="Cambria Math"/>
              </w:rPr>
            </m:ctrlPr>
          </m:accPr>
          <m:e>
            <m:r>
              <w:rPr>
                <w:rFonts w:ascii="Cambria Math" w:hAnsi="Cambria Math"/>
              </w:rPr>
              <m:t>R</m:t>
            </m:r>
          </m:e>
        </m:acc>
        <m:r>
          <w:rPr>
            <w:rFonts w:ascii="Cambria Math" w:hAnsi="Cambria Math"/>
          </w:rPr>
          <m:t>&lt;1.1</m:t>
        </m:r>
      </m:oMath>
      <w:r>
        <w:t xml:space="preserve"> for 48% and 88% of tracked parameters (Table S3.1). Most high R-hat values occurred for model parameters related to estimates of total release group abundance. Estimated effective sample size varied widely among parameters as well, with a median of 1873 but a mean of 4591.</w:t>
      </w:r>
    </w:p>
    <w:p w14:paraId="2B3E4206" w14:textId="77777777" w:rsidR="006D291A" w:rsidRDefault="006D291A">
      <w:pPr>
        <w:spacing w:line="360" w:lineRule="auto"/>
        <w:rPr>
          <w:highlight w:val="yellow"/>
        </w:rPr>
      </w:pPr>
    </w:p>
    <w:p w14:paraId="2B3E4207" w14:textId="7287D95A" w:rsidR="006D291A" w:rsidRDefault="00BD6F83">
      <w:pPr>
        <w:spacing w:line="360" w:lineRule="auto"/>
      </w:pPr>
      <w:r>
        <w:t>All of the parameters were substantially different from their prior distributions and none of the estimated parameters were estimated to run up against hard boundaries (e.g.</w:t>
      </w:r>
      <w:r w:rsidR="00E556ED">
        <w:t>,</w:t>
      </w:r>
      <w:r>
        <w:t xml:space="preserve"> no variance parameters were estimated to be very close to 0).</w:t>
      </w:r>
    </w:p>
    <w:p w14:paraId="2B3E4208" w14:textId="77777777" w:rsidR="006D291A" w:rsidRDefault="006D291A">
      <w:pPr>
        <w:spacing w:line="360" w:lineRule="auto"/>
      </w:pPr>
    </w:p>
    <w:p w14:paraId="2B3E4209" w14:textId="77777777" w:rsidR="006D291A" w:rsidRDefault="00BD6F83">
      <w:pPr>
        <w:spacing w:line="360" w:lineRule="auto"/>
      </w:pPr>
      <w:r>
        <w:br w:type="page"/>
      </w:r>
    </w:p>
    <w:p w14:paraId="2B3E420A" w14:textId="77777777" w:rsidR="006D291A" w:rsidRDefault="00BD6F83">
      <w:pPr>
        <w:spacing w:line="360" w:lineRule="auto"/>
      </w:pPr>
      <w:r>
        <w:lastRenderedPageBreak/>
        <w:t xml:space="preserve">Table S3.1. Summary of R-hat convergence diagnostics for the </w:t>
      </w:r>
      <w:r>
        <w:rPr>
          <w:i/>
        </w:rPr>
        <w:t>CWT+GSI</w:t>
      </w:r>
      <w:r>
        <w:t xml:space="preserve"> model.</w:t>
      </w:r>
    </w:p>
    <w:p w14:paraId="2B3E420B" w14:textId="77777777" w:rsidR="006D291A" w:rsidRDefault="006D291A">
      <w:pPr>
        <w:spacing w:line="360" w:lineRule="auto"/>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60"/>
        <w:gridCol w:w="960"/>
        <w:gridCol w:w="780"/>
        <w:gridCol w:w="900"/>
        <w:gridCol w:w="1365"/>
        <w:gridCol w:w="1395"/>
      </w:tblGrid>
      <w:tr w:rsidR="006D291A" w14:paraId="2B3E4212" w14:textId="77777777" w:rsidTr="00E556ED">
        <w:tc>
          <w:tcPr>
            <w:tcW w:w="3960" w:type="dxa"/>
            <w:tcBorders>
              <w:left w:val="nil"/>
              <w:bottom w:val="single" w:sz="8" w:space="0" w:color="000000"/>
              <w:right w:val="nil"/>
            </w:tcBorders>
            <w:shd w:val="clear" w:color="auto" w:fill="auto"/>
            <w:tcMar>
              <w:top w:w="100" w:type="dxa"/>
              <w:left w:w="100" w:type="dxa"/>
              <w:bottom w:w="100" w:type="dxa"/>
              <w:right w:w="100" w:type="dxa"/>
            </w:tcMar>
          </w:tcPr>
          <w:p w14:paraId="2B3E420C" w14:textId="77777777" w:rsidR="006D291A" w:rsidRDefault="00BD6F83">
            <w:pPr>
              <w:widowControl w:val="0"/>
              <w:pBdr>
                <w:top w:val="nil"/>
                <w:left w:val="nil"/>
                <w:bottom w:val="nil"/>
                <w:right w:val="nil"/>
                <w:between w:val="nil"/>
              </w:pBdr>
            </w:pPr>
            <w:r>
              <w:t>Parameter subset</w:t>
            </w:r>
          </w:p>
        </w:tc>
        <w:tc>
          <w:tcPr>
            <w:tcW w:w="960" w:type="dxa"/>
            <w:tcBorders>
              <w:left w:val="nil"/>
              <w:bottom w:val="single" w:sz="8" w:space="0" w:color="000000"/>
              <w:right w:val="nil"/>
            </w:tcBorders>
            <w:shd w:val="clear" w:color="auto" w:fill="auto"/>
            <w:tcMar>
              <w:top w:w="100" w:type="dxa"/>
              <w:left w:w="100" w:type="dxa"/>
              <w:bottom w:w="100" w:type="dxa"/>
              <w:right w:w="100" w:type="dxa"/>
            </w:tcMar>
          </w:tcPr>
          <w:p w14:paraId="2B3E420D" w14:textId="77777777" w:rsidR="006D291A" w:rsidRDefault="00BD6F83">
            <w:pPr>
              <w:widowControl w:val="0"/>
              <w:pBdr>
                <w:top w:val="nil"/>
                <w:left w:val="nil"/>
                <w:bottom w:val="nil"/>
                <w:right w:val="nil"/>
                <w:between w:val="nil"/>
              </w:pBdr>
            </w:pPr>
            <w:r>
              <w:t>Median</w:t>
            </w:r>
          </w:p>
        </w:tc>
        <w:tc>
          <w:tcPr>
            <w:tcW w:w="780" w:type="dxa"/>
            <w:tcBorders>
              <w:left w:val="nil"/>
              <w:bottom w:val="single" w:sz="8" w:space="0" w:color="000000"/>
              <w:right w:val="nil"/>
            </w:tcBorders>
            <w:shd w:val="clear" w:color="auto" w:fill="auto"/>
            <w:tcMar>
              <w:top w:w="100" w:type="dxa"/>
              <w:left w:w="100" w:type="dxa"/>
              <w:bottom w:w="100" w:type="dxa"/>
              <w:right w:w="100" w:type="dxa"/>
            </w:tcMar>
          </w:tcPr>
          <w:p w14:paraId="2B3E420E" w14:textId="77777777" w:rsidR="006D291A" w:rsidRDefault="00BD6F83">
            <w:pPr>
              <w:widowControl w:val="0"/>
              <w:pBdr>
                <w:top w:val="nil"/>
                <w:left w:val="nil"/>
                <w:bottom w:val="nil"/>
                <w:right w:val="nil"/>
                <w:between w:val="nil"/>
              </w:pBdr>
            </w:pPr>
            <w:r>
              <w:t>Mean</w:t>
            </w:r>
          </w:p>
        </w:tc>
        <w:tc>
          <w:tcPr>
            <w:tcW w:w="900" w:type="dxa"/>
            <w:tcBorders>
              <w:left w:val="nil"/>
              <w:bottom w:val="single" w:sz="8" w:space="0" w:color="000000"/>
              <w:right w:val="nil"/>
            </w:tcBorders>
            <w:shd w:val="clear" w:color="auto" w:fill="auto"/>
            <w:tcMar>
              <w:top w:w="100" w:type="dxa"/>
              <w:left w:w="100" w:type="dxa"/>
              <w:bottom w:w="100" w:type="dxa"/>
              <w:right w:w="100" w:type="dxa"/>
            </w:tcMar>
          </w:tcPr>
          <w:p w14:paraId="2B3E420F" w14:textId="77777777" w:rsidR="006D291A" w:rsidRDefault="00BD6F83">
            <w:pPr>
              <w:widowControl w:val="0"/>
              <w:pBdr>
                <w:top w:val="nil"/>
                <w:left w:val="nil"/>
                <w:bottom w:val="nil"/>
                <w:right w:val="nil"/>
                <w:between w:val="nil"/>
              </w:pBdr>
            </w:pPr>
            <w:r>
              <w:t>Max</w:t>
            </w:r>
          </w:p>
        </w:tc>
        <w:tc>
          <w:tcPr>
            <w:tcW w:w="1365" w:type="dxa"/>
            <w:tcBorders>
              <w:left w:val="nil"/>
              <w:bottom w:val="single" w:sz="8" w:space="0" w:color="000000"/>
              <w:right w:val="nil"/>
            </w:tcBorders>
            <w:shd w:val="clear" w:color="auto" w:fill="auto"/>
            <w:tcMar>
              <w:top w:w="100" w:type="dxa"/>
              <w:left w:w="100" w:type="dxa"/>
              <w:bottom w:w="100" w:type="dxa"/>
              <w:right w:w="100" w:type="dxa"/>
            </w:tcMar>
          </w:tcPr>
          <w:p w14:paraId="2B3E4210" w14:textId="77777777" w:rsidR="006D291A" w:rsidRDefault="00BD6F83">
            <w:pPr>
              <w:widowControl w:val="0"/>
              <w:pBdr>
                <w:top w:val="nil"/>
                <w:left w:val="nil"/>
                <w:bottom w:val="nil"/>
                <w:right w:val="nil"/>
                <w:between w:val="nil"/>
              </w:pBdr>
            </w:pPr>
            <w:r>
              <w:t>Proportion R-hat&lt;1.01</w:t>
            </w:r>
          </w:p>
        </w:tc>
        <w:tc>
          <w:tcPr>
            <w:tcW w:w="1395" w:type="dxa"/>
            <w:tcBorders>
              <w:left w:val="nil"/>
              <w:bottom w:val="single" w:sz="8" w:space="0" w:color="000000"/>
              <w:right w:val="nil"/>
            </w:tcBorders>
            <w:shd w:val="clear" w:color="auto" w:fill="auto"/>
            <w:tcMar>
              <w:top w:w="100" w:type="dxa"/>
              <w:left w:w="100" w:type="dxa"/>
              <w:bottom w:w="100" w:type="dxa"/>
              <w:right w:w="100" w:type="dxa"/>
            </w:tcMar>
          </w:tcPr>
          <w:p w14:paraId="2B3E4211" w14:textId="77777777" w:rsidR="006D291A" w:rsidRDefault="00BD6F83">
            <w:pPr>
              <w:widowControl w:val="0"/>
              <w:pBdr>
                <w:top w:val="nil"/>
                <w:left w:val="nil"/>
                <w:bottom w:val="nil"/>
                <w:right w:val="nil"/>
                <w:between w:val="nil"/>
              </w:pBdr>
            </w:pPr>
            <w:r>
              <w:t>Proportion R-hat&lt;1.1</w:t>
            </w:r>
          </w:p>
        </w:tc>
      </w:tr>
      <w:tr w:rsidR="006D291A" w14:paraId="2B3E4219" w14:textId="77777777" w:rsidTr="00E556ED">
        <w:tc>
          <w:tcPr>
            <w:tcW w:w="3960" w:type="dxa"/>
            <w:tcBorders>
              <w:left w:val="nil"/>
              <w:bottom w:val="nil"/>
              <w:right w:val="nil"/>
            </w:tcBorders>
            <w:shd w:val="clear" w:color="auto" w:fill="auto"/>
            <w:tcMar>
              <w:top w:w="100" w:type="dxa"/>
              <w:left w:w="100" w:type="dxa"/>
              <w:bottom w:w="100" w:type="dxa"/>
              <w:right w:w="100" w:type="dxa"/>
            </w:tcMar>
          </w:tcPr>
          <w:p w14:paraId="2B3E4213" w14:textId="77777777" w:rsidR="006D291A" w:rsidRDefault="00BD6F83">
            <w:pPr>
              <w:widowControl w:val="0"/>
              <w:pBdr>
                <w:top w:val="nil"/>
                <w:left w:val="nil"/>
                <w:bottom w:val="nil"/>
                <w:right w:val="nil"/>
                <w:between w:val="nil"/>
              </w:pBdr>
            </w:pPr>
            <w:r>
              <w:t>All</w:t>
            </w:r>
          </w:p>
        </w:tc>
        <w:tc>
          <w:tcPr>
            <w:tcW w:w="960" w:type="dxa"/>
            <w:tcBorders>
              <w:left w:val="nil"/>
              <w:bottom w:val="nil"/>
              <w:right w:val="nil"/>
            </w:tcBorders>
            <w:shd w:val="clear" w:color="auto" w:fill="auto"/>
            <w:tcMar>
              <w:top w:w="100" w:type="dxa"/>
              <w:left w:w="100" w:type="dxa"/>
              <w:bottom w:w="100" w:type="dxa"/>
              <w:right w:w="100" w:type="dxa"/>
            </w:tcMar>
          </w:tcPr>
          <w:p w14:paraId="2B3E4214" w14:textId="77777777" w:rsidR="006D291A" w:rsidRDefault="00BD6F83">
            <w:pPr>
              <w:widowControl w:val="0"/>
              <w:pBdr>
                <w:top w:val="nil"/>
                <w:left w:val="nil"/>
                <w:bottom w:val="nil"/>
                <w:right w:val="nil"/>
                <w:between w:val="nil"/>
              </w:pBdr>
            </w:pPr>
            <w:r>
              <w:t>1.01</w:t>
            </w:r>
          </w:p>
        </w:tc>
        <w:tc>
          <w:tcPr>
            <w:tcW w:w="780" w:type="dxa"/>
            <w:tcBorders>
              <w:left w:val="nil"/>
              <w:bottom w:val="nil"/>
              <w:right w:val="nil"/>
            </w:tcBorders>
            <w:shd w:val="clear" w:color="auto" w:fill="auto"/>
            <w:tcMar>
              <w:top w:w="100" w:type="dxa"/>
              <w:left w:w="100" w:type="dxa"/>
              <w:bottom w:w="100" w:type="dxa"/>
              <w:right w:w="100" w:type="dxa"/>
            </w:tcMar>
          </w:tcPr>
          <w:p w14:paraId="2B3E4215" w14:textId="77777777" w:rsidR="006D291A" w:rsidRDefault="00BD6F83">
            <w:pPr>
              <w:widowControl w:val="0"/>
              <w:pBdr>
                <w:top w:val="nil"/>
                <w:left w:val="nil"/>
                <w:bottom w:val="nil"/>
                <w:right w:val="nil"/>
                <w:between w:val="nil"/>
              </w:pBdr>
            </w:pPr>
            <w:r>
              <w:t>1.21</w:t>
            </w:r>
          </w:p>
        </w:tc>
        <w:tc>
          <w:tcPr>
            <w:tcW w:w="900" w:type="dxa"/>
            <w:tcBorders>
              <w:left w:val="nil"/>
              <w:bottom w:val="nil"/>
              <w:right w:val="nil"/>
            </w:tcBorders>
            <w:shd w:val="clear" w:color="auto" w:fill="auto"/>
            <w:tcMar>
              <w:top w:w="100" w:type="dxa"/>
              <w:left w:w="100" w:type="dxa"/>
              <w:bottom w:w="100" w:type="dxa"/>
              <w:right w:w="100" w:type="dxa"/>
            </w:tcMar>
          </w:tcPr>
          <w:p w14:paraId="2B3E4216" w14:textId="77777777" w:rsidR="006D291A" w:rsidRDefault="00BD6F83">
            <w:pPr>
              <w:widowControl w:val="0"/>
              <w:pBdr>
                <w:top w:val="nil"/>
                <w:left w:val="nil"/>
                <w:bottom w:val="nil"/>
                <w:right w:val="nil"/>
                <w:between w:val="nil"/>
              </w:pBdr>
            </w:pPr>
            <w:r>
              <w:t>150.46</w:t>
            </w:r>
          </w:p>
        </w:tc>
        <w:tc>
          <w:tcPr>
            <w:tcW w:w="1365" w:type="dxa"/>
            <w:tcBorders>
              <w:left w:val="nil"/>
              <w:bottom w:val="nil"/>
              <w:right w:val="nil"/>
            </w:tcBorders>
            <w:shd w:val="clear" w:color="auto" w:fill="auto"/>
            <w:tcMar>
              <w:top w:w="100" w:type="dxa"/>
              <w:left w:w="100" w:type="dxa"/>
              <w:bottom w:w="100" w:type="dxa"/>
              <w:right w:w="100" w:type="dxa"/>
            </w:tcMar>
          </w:tcPr>
          <w:p w14:paraId="2B3E4217" w14:textId="77777777" w:rsidR="006D291A" w:rsidRDefault="00BD6F83">
            <w:pPr>
              <w:widowControl w:val="0"/>
              <w:pBdr>
                <w:top w:val="nil"/>
                <w:left w:val="nil"/>
                <w:bottom w:val="nil"/>
                <w:right w:val="nil"/>
                <w:between w:val="nil"/>
              </w:pBdr>
            </w:pPr>
            <w:r>
              <w:t>0.48</w:t>
            </w:r>
          </w:p>
        </w:tc>
        <w:tc>
          <w:tcPr>
            <w:tcW w:w="1395" w:type="dxa"/>
            <w:tcBorders>
              <w:left w:val="nil"/>
              <w:bottom w:val="nil"/>
              <w:right w:val="nil"/>
            </w:tcBorders>
            <w:shd w:val="clear" w:color="auto" w:fill="auto"/>
            <w:tcMar>
              <w:top w:w="100" w:type="dxa"/>
              <w:left w:w="100" w:type="dxa"/>
              <w:bottom w:w="100" w:type="dxa"/>
              <w:right w:w="100" w:type="dxa"/>
            </w:tcMar>
          </w:tcPr>
          <w:p w14:paraId="2B3E4218" w14:textId="77777777" w:rsidR="006D291A" w:rsidRDefault="00BD6F83">
            <w:pPr>
              <w:widowControl w:val="0"/>
              <w:pBdr>
                <w:top w:val="nil"/>
                <w:left w:val="nil"/>
                <w:bottom w:val="nil"/>
                <w:right w:val="nil"/>
                <w:between w:val="nil"/>
              </w:pBdr>
            </w:pPr>
            <w:r>
              <w:t>0.88</w:t>
            </w:r>
          </w:p>
        </w:tc>
      </w:tr>
      <w:tr w:rsidR="006D291A" w14:paraId="2B3E4220" w14:textId="77777777" w:rsidTr="00E556ED">
        <w:tc>
          <w:tcPr>
            <w:tcW w:w="3960" w:type="dxa"/>
            <w:tcBorders>
              <w:top w:val="nil"/>
              <w:left w:val="nil"/>
              <w:bottom w:val="nil"/>
              <w:right w:val="nil"/>
            </w:tcBorders>
            <w:shd w:val="clear" w:color="auto" w:fill="auto"/>
            <w:tcMar>
              <w:top w:w="100" w:type="dxa"/>
              <w:left w:w="100" w:type="dxa"/>
              <w:bottom w:w="100" w:type="dxa"/>
              <w:right w:w="100" w:type="dxa"/>
            </w:tcMar>
          </w:tcPr>
          <w:p w14:paraId="2B3E421A" w14:textId="77777777" w:rsidR="006D291A" w:rsidRDefault="00BD6F83">
            <w:pPr>
              <w:widowControl w:val="0"/>
              <w:pBdr>
                <w:top w:val="nil"/>
                <w:left w:val="nil"/>
                <w:bottom w:val="nil"/>
                <w:right w:val="nil"/>
                <w:between w:val="nil"/>
              </w:pBdr>
            </w:pPr>
            <w:r>
              <w:t>Mortality</w:t>
            </w:r>
          </w:p>
        </w:tc>
        <w:tc>
          <w:tcPr>
            <w:tcW w:w="960" w:type="dxa"/>
            <w:tcBorders>
              <w:top w:val="nil"/>
              <w:left w:val="nil"/>
              <w:bottom w:val="nil"/>
              <w:right w:val="nil"/>
            </w:tcBorders>
            <w:shd w:val="clear" w:color="auto" w:fill="auto"/>
            <w:tcMar>
              <w:top w:w="100" w:type="dxa"/>
              <w:left w:w="100" w:type="dxa"/>
              <w:bottom w:w="100" w:type="dxa"/>
              <w:right w:w="100" w:type="dxa"/>
            </w:tcMar>
          </w:tcPr>
          <w:p w14:paraId="2B3E421B" w14:textId="77777777" w:rsidR="006D291A" w:rsidRDefault="00BD6F83">
            <w:pPr>
              <w:widowControl w:val="0"/>
              <w:pBdr>
                <w:top w:val="nil"/>
                <w:left w:val="nil"/>
                <w:bottom w:val="nil"/>
                <w:right w:val="nil"/>
                <w:between w:val="nil"/>
              </w:pBdr>
            </w:pPr>
            <w:r>
              <w:t>1.01</w:t>
            </w:r>
          </w:p>
        </w:tc>
        <w:tc>
          <w:tcPr>
            <w:tcW w:w="780" w:type="dxa"/>
            <w:tcBorders>
              <w:top w:val="nil"/>
              <w:left w:val="nil"/>
              <w:bottom w:val="nil"/>
              <w:right w:val="nil"/>
            </w:tcBorders>
            <w:shd w:val="clear" w:color="auto" w:fill="auto"/>
            <w:tcMar>
              <w:top w:w="100" w:type="dxa"/>
              <w:left w:w="100" w:type="dxa"/>
              <w:bottom w:w="100" w:type="dxa"/>
              <w:right w:w="100" w:type="dxa"/>
            </w:tcMar>
          </w:tcPr>
          <w:p w14:paraId="2B3E421C" w14:textId="77777777" w:rsidR="006D291A" w:rsidRDefault="00BD6F83">
            <w:pPr>
              <w:widowControl w:val="0"/>
              <w:pBdr>
                <w:top w:val="nil"/>
                <w:left w:val="nil"/>
                <w:bottom w:val="nil"/>
                <w:right w:val="nil"/>
                <w:between w:val="nil"/>
              </w:pBdr>
            </w:pPr>
            <w:r>
              <w:t>1.03</w:t>
            </w:r>
          </w:p>
        </w:tc>
        <w:tc>
          <w:tcPr>
            <w:tcW w:w="900" w:type="dxa"/>
            <w:tcBorders>
              <w:top w:val="nil"/>
              <w:left w:val="nil"/>
              <w:bottom w:val="nil"/>
              <w:right w:val="nil"/>
            </w:tcBorders>
            <w:shd w:val="clear" w:color="auto" w:fill="auto"/>
            <w:tcMar>
              <w:top w:w="100" w:type="dxa"/>
              <w:left w:w="100" w:type="dxa"/>
              <w:bottom w:w="100" w:type="dxa"/>
              <w:right w:w="100" w:type="dxa"/>
            </w:tcMar>
          </w:tcPr>
          <w:p w14:paraId="2B3E421D" w14:textId="77777777" w:rsidR="006D291A" w:rsidRDefault="00BD6F83">
            <w:pPr>
              <w:widowControl w:val="0"/>
              <w:pBdr>
                <w:top w:val="nil"/>
                <w:left w:val="nil"/>
                <w:bottom w:val="nil"/>
                <w:right w:val="nil"/>
                <w:between w:val="nil"/>
              </w:pBdr>
            </w:pPr>
            <w:r>
              <w:t>4.40</w:t>
            </w:r>
          </w:p>
        </w:tc>
        <w:tc>
          <w:tcPr>
            <w:tcW w:w="1365" w:type="dxa"/>
            <w:tcBorders>
              <w:top w:val="nil"/>
              <w:left w:val="nil"/>
              <w:bottom w:val="nil"/>
              <w:right w:val="nil"/>
            </w:tcBorders>
            <w:shd w:val="clear" w:color="auto" w:fill="auto"/>
            <w:tcMar>
              <w:top w:w="100" w:type="dxa"/>
              <w:left w:w="100" w:type="dxa"/>
              <w:bottom w:w="100" w:type="dxa"/>
              <w:right w:w="100" w:type="dxa"/>
            </w:tcMar>
          </w:tcPr>
          <w:p w14:paraId="2B3E421E" w14:textId="77777777" w:rsidR="006D291A" w:rsidRDefault="00BD6F83">
            <w:pPr>
              <w:widowControl w:val="0"/>
              <w:pBdr>
                <w:top w:val="nil"/>
                <w:left w:val="nil"/>
                <w:bottom w:val="nil"/>
                <w:right w:val="nil"/>
                <w:between w:val="nil"/>
              </w:pBdr>
            </w:pPr>
            <w:r>
              <w:t>0.47</w:t>
            </w:r>
          </w:p>
        </w:tc>
        <w:tc>
          <w:tcPr>
            <w:tcW w:w="1395" w:type="dxa"/>
            <w:tcBorders>
              <w:top w:val="nil"/>
              <w:left w:val="nil"/>
              <w:bottom w:val="nil"/>
              <w:right w:val="nil"/>
            </w:tcBorders>
            <w:shd w:val="clear" w:color="auto" w:fill="auto"/>
            <w:tcMar>
              <w:top w:w="100" w:type="dxa"/>
              <w:left w:w="100" w:type="dxa"/>
              <w:bottom w:w="100" w:type="dxa"/>
              <w:right w:w="100" w:type="dxa"/>
            </w:tcMar>
          </w:tcPr>
          <w:p w14:paraId="2B3E421F" w14:textId="77777777" w:rsidR="006D291A" w:rsidRDefault="00BD6F83">
            <w:pPr>
              <w:widowControl w:val="0"/>
              <w:pBdr>
                <w:top w:val="nil"/>
                <w:left w:val="nil"/>
                <w:bottom w:val="nil"/>
                <w:right w:val="nil"/>
                <w:between w:val="nil"/>
              </w:pBdr>
            </w:pPr>
            <w:r>
              <w:t>0.92</w:t>
            </w:r>
          </w:p>
        </w:tc>
      </w:tr>
      <w:tr w:rsidR="006D291A" w14:paraId="2B3E4227" w14:textId="77777777" w:rsidTr="00E556ED">
        <w:tc>
          <w:tcPr>
            <w:tcW w:w="3960" w:type="dxa"/>
            <w:tcBorders>
              <w:top w:val="nil"/>
              <w:left w:val="nil"/>
              <w:bottom w:val="nil"/>
              <w:right w:val="nil"/>
            </w:tcBorders>
            <w:shd w:val="clear" w:color="auto" w:fill="auto"/>
            <w:tcMar>
              <w:top w:w="100" w:type="dxa"/>
              <w:left w:w="100" w:type="dxa"/>
              <w:bottom w:w="100" w:type="dxa"/>
              <w:right w:w="100" w:type="dxa"/>
            </w:tcMar>
          </w:tcPr>
          <w:p w14:paraId="2B3E4221" w14:textId="77777777" w:rsidR="006D291A" w:rsidRDefault="00BD6F83">
            <w:pPr>
              <w:widowControl w:val="0"/>
              <w:pBdr>
                <w:top w:val="nil"/>
                <w:left w:val="nil"/>
                <w:bottom w:val="nil"/>
                <w:right w:val="nil"/>
                <w:between w:val="nil"/>
              </w:pBdr>
            </w:pPr>
            <w:r>
              <w:t>CWT release group ocean abundances</w:t>
            </w:r>
          </w:p>
        </w:tc>
        <w:tc>
          <w:tcPr>
            <w:tcW w:w="960" w:type="dxa"/>
            <w:tcBorders>
              <w:top w:val="nil"/>
              <w:left w:val="nil"/>
              <w:bottom w:val="nil"/>
              <w:right w:val="nil"/>
            </w:tcBorders>
            <w:shd w:val="clear" w:color="auto" w:fill="auto"/>
            <w:tcMar>
              <w:top w:w="100" w:type="dxa"/>
              <w:left w:w="100" w:type="dxa"/>
              <w:bottom w:w="100" w:type="dxa"/>
              <w:right w:w="100" w:type="dxa"/>
            </w:tcMar>
          </w:tcPr>
          <w:p w14:paraId="2B3E4222" w14:textId="77777777" w:rsidR="006D291A" w:rsidRDefault="00BD6F83">
            <w:pPr>
              <w:widowControl w:val="0"/>
              <w:pBdr>
                <w:top w:val="nil"/>
                <w:left w:val="nil"/>
                <w:bottom w:val="nil"/>
                <w:right w:val="nil"/>
                <w:between w:val="nil"/>
              </w:pBdr>
            </w:pPr>
            <w:r>
              <w:t>1.00</w:t>
            </w:r>
          </w:p>
        </w:tc>
        <w:tc>
          <w:tcPr>
            <w:tcW w:w="780" w:type="dxa"/>
            <w:tcBorders>
              <w:top w:val="nil"/>
              <w:left w:val="nil"/>
              <w:bottom w:val="nil"/>
              <w:right w:val="nil"/>
            </w:tcBorders>
            <w:shd w:val="clear" w:color="auto" w:fill="auto"/>
            <w:tcMar>
              <w:top w:w="100" w:type="dxa"/>
              <w:left w:w="100" w:type="dxa"/>
              <w:bottom w:w="100" w:type="dxa"/>
              <w:right w:w="100" w:type="dxa"/>
            </w:tcMar>
          </w:tcPr>
          <w:p w14:paraId="2B3E4223" w14:textId="77777777" w:rsidR="006D291A" w:rsidRDefault="00BD6F83">
            <w:pPr>
              <w:widowControl w:val="0"/>
              <w:pBdr>
                <w:top w:val="nil"/>
                <w:left w:val="nil"/>
                <w:bottom w:val="nil"/>
                <w:right w:val="nil"/>
                <w:between w:val="nil"/>
              </w:pBdr>
            </w:pPr>
            <w:r>
              <w:t>1.02</w:t>
            </w:r>
          </w:p>
        </w:tc>
        <w:tc>
          <w:tcPr>
            <w:tcW w:w="900" w:type="dxa"/>
            <w:tcBorders>
              <w:top w:val="nil"/>
              <w:left w:val="nil"/>
              <w:bottom w:val="nil"/>
              <w:right w:val="nil"/>
            </w:tcBorders>
            <w:shd w:val="clear" w:color="auto" w:fill="auto"/>
            <w:tcMar>
              <w:top w:w="100" w:type="dxa"/>
              <w:left w:w="100" w:type="dxa"/>
              <w:bottom w:w="100" w:type="dxa"/>
              <w:right w:w="100" w:type="dxa"/>
            </w:tcMar>
          </w:tcPr>
          <w:p w14:paraId="2B3E4224" w14:textId="77777777" w:rsidR="006D291A" w:rsidRDefault="00BD6F83">
            <w:pPr>
              <w:widowControl w:val="0"/>
              <w:pBdr>
                <w:top w:val="nil"/>
                <w:left w:val="nil"/>
                <w:bottom w:val="nil"/>
                <w:right w:val="nil"/>
                <w:between w:val="nil"/>
              </w:pBdr>
            </w:pPr>
            <w:r>
              <w:t>4.02</w:t>
            </w:r>
          </w:p>
        </w:tc>
        <w:tc>
          <w:tcPr>
            <w:tcW w:w="1365" w:type="dxa"/>
            <w:tcBorders>
              <w:top w:val="nil"/>
              <w:left w:val="nil"/>
              <w:bottom w:val="nil"/>
              <w:right w:val="nil"/>
            </w:tcBorders>
            <w:shd w:val="clear" w:color="auto" w:fill="auto"/>
            <w:tcMar>
              <w:top w:w="100" w:type="dxa"/>
              <w:left w:w="100" w:type="dxa"/>
              <w:bottom w:w="100" w:type="dxa"/>
              <w:right w:w="100" w:type="dxa"/>
            </w:tcMar>
          </w:tcPr>
          <w:p w14:paraId="2B3E4225" w14:textId="77777777" w:rsidR="006D291A" w:rsidRDefault="00BD6F83">
            <w:pPr>
              <w:widowControl w:val="0"/>
              <w:pBdr>
                <w:top w:val="nil"/>
                <w:left w:val="nil"/>
                <w:bottom w:val="nil"/>
                <w:right w:val="nil"/>
                <w:between w:val="nil"/>
              </w:pBdr>
            </w:pPr>
            <w:r>
              <w:t>0.78</w:t>
            </w:r>
          </w:p>
        </w:tc>
        <w:tc>
          <w:tcPr>
            <w:tcW w:w="1395" w:type="dxa"/>
            <w:tcBorders>
              <w:top w:val="nil"/>
              <w:left w:val="nil"/>
              <w:bottom w:val="nil"/>
              <w:right w:val="nil"/>
            </w:tcBorders>
            <w:shd w:val="clear" w:color="auto" w:fill="auto"/>
            <w:tcMar>
              <w:top w:w="100" w:type="dxa"/>
              <w:left w:w="100" w:type="dxa"/>
              <w:bottom w:w="100" w:type="dxa"/>
              <w:right w:w="100" w:type="dxa"/>
            </w:tcMar>
          </w:tcPr>
          <w:p w14:paraId="2B3E4226" w14:textId="77777777" w:rsidR="006D291A" w:rsidRDefault="00BD6F83">
            <w:pPr>
              <w:widowControl w:val="0"/>
              <w:pBdr>
                <w:top w:val="nil"/>
                <w:left w:val="nil"/>
                <w:bottom w:val="nil"/>
                <w:right w:val="nil"/>
                <w:between w:val="nil"/>
              </w:pBdr>
            </w:pPr>
            <w:r>
              <w:t>0.97</w:t>
            </w:r>
          </w:p>
        </w:tc>
      </w:tr>
      <w:tr w:rsidR="006D291A" w14:paraId="2B3E422E" w14:textId="77777777" w:rsidTr="00E556ED">
        <w:tc>
          <w:tcPr>
            <w:tcW w:w="3960" w:type="dxa"/>
            <w:tcBorders>
              <w:top w:val="nil"/>
              <w:left w:val="nil"/>
              <w:bottom w:val="nil"/>
              <w:right w:val="nil"/>
            </w:tcBorders>
            <w:shd w:val="clear" w:color="auto" w:fill="auto"/>
            <w:tcMar>
              <w:top w:w="100" w:type="dxa"/>
              <w:left w:w="100" w:type="dxa"/>
              <w:bottom w:w="100" w:type="dxa"/>
              <w:right w:w="100" w:type="dxa"/>
            </w:tcMar>
          </w:tcPr>
          <w:p w14:paraId="2B3E4228" w14:textId="77777777" w:rsidR="006D291A" w:rsidRDefault="00BD6F83">
            <w:pPr>
              <w:widowControl w:val="0"/>
              <w:pBdr>
                <w:top w:val="nil"/>
                <w:left w:val="nil"/>
                <w:bottom w:val="nil"/>
                <w:right w:val="nil"/>
                <w:between w:val="nil"/>
              </w:pBdr>
            </w:pPr>
            <w:r>
              <w:t>CWT release group spawning abundances</w:t>
            </w:r>
          </w:p>
        </w:tc>
        <w:tc>
          <w:tcPr>
            <w:tcW w:w="960" w:type="dxa"/>
            <w:tcBorders>
              <w:top w:val="nil"/>
              <w:left w:val="nil"/>
              <w:bottom w:val="nil"/>
              <w:right w:val="nil"/>
            </w:tcBorders>
            <w:shd w:val="clear" w:color="auto" w:fill="auto"/>
            <w:tcMar>
              <w:top w:w="100" w:type="dxa"/>
              <w:left w:w="100" w:type="dxa"/>
              <w:bottom w:w="100" w:type="dxa"/>
              <w:right w:w="100" w:type="dxa"/>
            </w:tcMar>
          </w:tcPr>
          <w:p w14:paraId="2B3E4229" w14:textId="77777777" w:rsidR="006D291A" w:rsidRDefault="00BD6F83">
            <w:pPr>
              <w:widowControl w:val="0"/>
              <w:pBdr>
                <w:top w:val="nil"/>
                <w:left w:val="nil"/>
                <w:bottom w:val="nil"/>
                <w:right w:val="nil"/>
                <w:between w:val="nil"/>
              </w:pBdr>
            </w:pPr>
            <w:r>
              <w:t>1.01</w:t>
            </w:r>
          </w:p>
        </w:tc>
        <w:tc>
          <w:tcPr>
            <w:tcW w:w="780" w:type="dxa"/>
            <w:tcBorders>
              <w:top w:val="nil"/>
              <w:left w:val="nil"/>
              <w:bottom w:val="nil"/>
              <w:right w:val="nil"/>
            </w:tcBorders>
            <w:shd w:val="clear" w:color="auto" w:fill="auto"/>
            <w:tcMar>
              <w:top w:w="100" w:type="dxa"/>
              <w:left w:w="100" w:type="dxa"/>
              <w:bottom w:w="100" w:type="dxa"/>
              <w:right w:w="100" w:type="dxa"/>
            </w:tcMar>
          </w:tcPr>
          <w:p w14:paraId="2B3E422A" w14:textId="77777777" w:rsidR="006D291A" w:rsidRDefault="00BD6F83">
            <w:pPr>
              <w:widowControl w:val="0"/>
              <w:pBdr>
                <w:top w:val="nil"/>
                <w:left w:val="nil"/>
                <w:bottom w:val="nil"/>
                <w:right w:val="nil"/>
                <w:between w:val="nil"/>
              </w:pBdr>
            </w:pPr>
            <w:r>
              <w:t>1.02</w:t>
            </w:r>
          </w:p>
        </w:tc>
        <w:tc>
          <w:tcPr>
            <w:tcW w:w="900" w:type="dxa"/>
            <w:tcBorders>
              <w:top w:val="nil"/>
              <w:left w:val="nil"/>
              <w:bottom w:val="nil"/>
              <w:right w:val="nil"/>
            </w:tcBorders>
            <w:shd w:val="clear" w:color="auto" w:fill="auto"/>
            <w:tcMar>
              <w:top w:w="100" w:type="dxa"/>
              <w:left w:w="100" w:type="dxa"/>
              <w:bottom w:w="100" w:type="dxa"/>
              <w:right w:w="100" w:type="dxa"/>
            </w:tcMar>
          </w:tcPr>
          <w:p w14:paraId="2B3E422B" w14:textId="77777777" w:rsidR="006D291A" w:rsidRDefault="00BD6F83">
            <w:pPr>
              <w:widowControl w:val="0"/>
              <w:pBdr>
                <w:top w:val="nil"/>
                <w:left w:val="nil"/>
                <w:bottom w:val="nil"/>
                <w:right w:val="nil"/>
                <w:between w:val="nil"/>
              </w:pBdr>
            </w:pPr>
            <w:r>
              <w:t>1.51</w:t>
            </w:r>
          </w:p>
        </w:tc>
        <w:tc>
          <w:tcPr>
            <w:tcW w:w="1365" w:type="dxa"/>
            <w:tcBorders>
              <w:top w:val="nil"/>
              <w:left w:val="nil"/>
              <w:bottom w:val="nil"/>
              <w:right w:val="nil"/>
            </w:tcBorders>
            <w:shd w:val="clear" w:color="auto" w:fill="auto"/>
            <w:tcMar>
              <w:top w:w="100" w:type="dxa"/>
              <w:left w:w="100" w:type="dxa"/>
              <w:bottom w:w="100" w:type="dxa"/>
              <w:right w:w="100" w:type="dxa"/>
            </w:tcMar>
          </w:tcPr>
          <w:p w14:paraId="2B3E422C" w14:textId="77777777" w:rsidR="006D291A" w:rsidRDefault="00BD6F83">
            <w:pPr>
              <w:widowControl w:val="0"/>
              <w:pBdr>
                <w:top w:val="nil"/>
                <w:left w:val="nil"/>
                <w:bottom w:val="nil"/>
                <w:right w:val="nil"/>
                <w:between w:val="nil"/>
              </w:pBdr>
            </w:pPr>
            <w:r>
              <w:t>0.60</w:t>
            </w:r>
          </w:p>
        </w:tc>
        <w:tc>
          <w:tcPr>
            <w:tcW w:w="1395" w:type="dxa"/>
            <w:tcBorders>
              <w:top w:val="nil"/>
              <w:left w:val="nil"/>
              <w:bottom w:val="nil"/>
              <w:right w:val="nil"/>
            </w:tcBorders>
            <w:shd w:val="clear" w:color="auto" w:fill="auto"/>
            <w:tcMar>
              <w:top w:w="100" w:type="dxa"/>
              <w:left w:w="100" w:type="dxa"/>
              <w:bottom w:w="100" w:type="dxa"/>
              <w:right w:w="100" w:type="dxa"/>
            </w:tcMar>
          </w:tcPr>
          <w:p w14:paraId="2B3E422D" w14:textId="77777777" w:rsidR="006D291A" w:rsidRDefault="00BD6F83">
            <w:pPr>
              <w:widowControl w:val="0"/>
              <w:pBdr>
                <w:top w:val="nil"/>
                <w:left w:val="nil"/>
                <w:bottom w:val="nil"/>
                <w:right w:val="nil"/>
                <w:between w:val="nil"/>
              </w:pBdr>
            </w:pPr>
            <w:r>
              <w:t>0.95</w:t>
            </w:r>
          </w:p>
        </w:tc>
      </w:tr>
      <w:tr w:rsidR="006D291A" w14:paraId="2B3E4235" w14:textId="77777777" w:rsidTr="00E556ED">
        <w:tc>
          <w:tcPr>
            <w:tcW w:w="3960" w:type="dxa"/>
            <w:tcBorders>
              <w:top w:val="nil"/>
              <w:left w:val="nil"/>
              <w:bottom w:val="nil"/>
              <w:right w:val="nil"/>
            </w:tcBorders>
            <w:shd w:val="clear" w:color="auto" w:fill="auto"/>
            <w:tcMar>
              <w:top w:w="100" w:type="dxa"/>
              <w:left w:w="100" w:type="dxa"/>
              <w:bottom w:w="100" w:type="dxa"/>
              <w:right w:w="100" w:type="dxa"/>
            </w:tcMar>
          </w:tcPr>
          <w:p w14:paraId="2B3E422F" w14:textId="77777777" w:rsidR="006D291A" w:rsidRDefault="00BD6F83">
            <w:pPr>
              <w:widowControl w:val="0"/>
              <w:pBdr>
                <w:top w:val="nil"/>
                <w:left w:val="nil"/>
                <w:bottom w:val="nil"/>
                <w:right w:val="nil"/>
                <w:between w:val="nil"/>
              </w:pBdr>
            </w:pPr>
            <w:r>
              <w:t>CWT observation parameters</w:t>
            </w:r>
          </w:p>
        </w:tc>
        <w:tc>
          <w:tcPr>
            <w:tcW w:w="960" w:type="dxa"/>
            <w:tcBorders>
              <w:top w:val="nil"/>
              <w:left w:val="nil"/>
              <w:bottom w:val="nil"/>
              <w:right w:val="nil"/>
            </w:tcBorders>
            <w:shd w:val="clear" w:color="auto" w:fill="auto"/>
            <w:tcMar>
              <w:top w:w="100" w:type="dxa"/>
              <w:left w:w="100" w:type="dxa"/>
              <w:bottom w:w="100" w:type="dxa"/>
              <w:right w:w="100" w:type="dxa"/>
            </w:tcMar>
          </w:tcPr>
          <w:p w14:paraId="2B3E4230" w14:textId="77777777" w:rsidR="006D291A" w:rsidRDefault="00BD6F83">
            <w:pPr>
              <w:widowControl w:val="0"/>
              <w:pBdr>
                <w:top w:val="nil"/>
                <w:left w:val="nil"/>
                <w:bottom w:val="nil"/>
                <w:right w:val="nil"/>
                <w:between w:val="nil"/>
              </w:pBdr>
            </w:pPr>
            <w:r>
              <w:t>1.13</w:t>
            </w:r>
          </w:p>
        </w:tc>
        <w:tc>
          <w:tcPr>
            <w:tcW w:w="780" w:type="dxa"/>
            <w:tcBorders>
              <w:top w:val="nil"/>
              <w:left w:val="nil"/>
              <w:bottom w:val="nil"/>
              <w:right w:val="nil"/>
            </w:tcBorders>
            <w:shd w:val="clear" w:color="auto" w:fill="auto"/>
            <w:tcMar>
              <w:top w:w="100" w:type="dxa"/>
              <w:left w:w="100" w:type="dxa"/>
              <w:bottom w:w="100" w:type="dxa"/>
              <w:right w:w="100" w:type="dxa"/>
            </w:tcMar>
          </w:tcPr>
          <w:p w14:paraId="2B3E4231" w14:textId="77777777" w:rsidR="006D291A" w:rsidRDefault="00BD6F83">
            <w:pPr>
              <w:widowControl w:val="0"/>
              <w:pBdr>
                <w:top w:val="nil"/>
                <w:left w:val="nil"/>
                <w:bottom w:val="nil"/>
                <w:right w:val="nil"/>
                <w:between w:val="nil"/>
              </w:pBdr>
            </w:pPr>
            <w:r>
              <w:t>1.14</w:t>
            </w:r>
          </w:p>
        </w:tc>
        <w:tc>
          <w:tcPr>
            <w:tcW w:w="900" w:type="dxa"/>
            <w:tcBorders>
              <w:top w:val="nil"/>
              <w:left w:val="nil"/>
              <w:bottom w:val="nil"/>
              <w:right w:val="nil"/>
            </w:tcBorders>
            <w:shd w:val="clear" w:color="auto" w:fill="auto"/>
            <w:tcMar>
              <w:top w:w="100" w:type="dxa"/>
              <w:left w:w="100" w:type="dxa"/>
              <w:bottom w:w="100" w:type="dxa"/>
              <w:right w:w="100" w:type="dxa"/>
            </w:tcMar>
          </w:tcPr>
          <w:p w14:paraId="2B3E4232" w14:textId="77777777" w:rsidR="006D291A" w:rsidRDefault="00BD6F83">
            <w:pPr>
              <w:widowControl w:val="0"/>
              <w:pBdr>
                <w:top w:val="nil"/>
                <w:left w:val="nil"/>
                <w:bottom w:val="nil"/>
                <w:right w:val="nil"/>
                <w:between w:val="nil"/>
              </w:pBdr>
            </w:pPr>
            <w:r>
              <w:t>1.22</w:t>
            </w:r>
          </w:p>
        </w:tc>
        <w:tc>
          <w:tcPr>
            <w:tcW w:w="1365" w:type="dxa"/>
            <w:tcBorders>
              <w:top w:val="nil"/>
              <w:left w:val="nil"/>
              <w:bottom w:val="nil"/>
              <w:right w:val="nil"/>
            </w:tcBorders>
            <w:shd w:val="clear" w:color="auto" w:fill="auto"/>
            <w:tcMar>
              <w:top w:w="100" w:type="dxa"/>
              <w:left w:w="100" w:type="dxa"/>
              <w:bottom w:w="100" w:type="dxa"/>
              <w:right w:w="100" w:type="dxa"/>
            </w:tcMar>
          </w:tcPr>
          <w:p w14:paraId="2B3E4233" w14:textId="77777777" w:rsidR="006D291A" w:rsidRDefault="00BD6F83">
            <w:pPr>
              <w:widowControl w:val="0"/>
              <w:pBdr>
                <w:top w:val="nil"/>
                <w:left w:val="nil"/>
                <w:bottom w:val="nil"/>
                <w:right w:val="nil"/>
                <w:between w:val="nil"/>
              </w:pBdr>
            </w:pPr>
            <w:r>
              <w:t>0</w:t>
            </w:r>
          </w:p>
        </w:tc>
        <w:tc>
          <w:tcPr>
            <w:tcW w:w="1395" w:type="dxa"/>
            <w:tcBorders>
              <w:top w:val="nil"/>
              <w:left w:val="nil"/>
              <w:bottom w:val="nil"/>
              <w:right w:val="nil"/>
            </w:tcBorders>
            <w:shd w:val="clear" w:color="auto" w:fill="auto"/>
            <w:tcMar>
              <w:top w:w="100" w:type="dxa"/>
              <w:left w:w="100" w:type="dxa"/>
              <w:bottom w:w="100" w:type="dxa"/>
              <w:right w:w="100" w:type="dxa"/>
            </w:tcMar>
          </w:tcPr>
          <w:p w14:paraId="2B3E4234" w14:textId="77777777" w:rsidR="006D291A" w:rsidRDefault="00BD6F83">
            <w:pPr>
              <w:widowControl w:val="0"/>
              <w:pBdr>
                <w:top w:val="nil"/>
                <w:left w:val="nil"/>
                <w:bottom w:val="nil"/>
                <w:right w:val="nil"/>
                <w:between w:val="nil"/>
              </w:pBdr>
            </w:pPr>
            <w:r>
              <w:t>0</w:t>
            </w:r>
          </w:p>
        </w:tc>
      </w:tr>
      <w:tr w:rsidR="006D291A" w14:paraId="2B3E423C" w14:textId="77777777" w:rsidTr="00E556ED">
        <w:tc>
          <w:tcPr>
            <w:tcW w:w="3960" w:type="dxa"/>
            <w:tcBorders>
              <w:top w:val="nil"/>
              <w:left w:val="nil"/>
              <w:bottom w:val="nil"/>
              <w:right w:val="nil"/>
            </w:tcBorders>
            <w:shd w:val="clear" w:color="auto" w:fill="auto"/>
            <w:tcMar>
              <w:top w:w="100" w:type="dxa"/>
              <w:left w:w="100" w:type="dxa"/>
              <w:bottom w:w="100" w:type="dxa"/>
              <w:right w:w="100" w:type="dxa"/>
            </w:tcMar>
          </w:tcPr>
          <w:p w14:paraId="2B3E4236" w14:textId="77777777" w:rsidR="006D291A" w:rsidRDefault="00BD6F83">
            <w:pPr>
              <w:widowControl w:val="0"/>
              <w:pBdr>
                <w:top w:val="nil"/>
                <w:left w:val="nil"/>
                <w:bottom w:val="nil"/>
                <w:right w:val="nil"/>
                <w:between w:val="nil"/>
              </w:pBdr>
            </w:pPr>
            <w:r>
              <w:t>Spatial distribution</w:t>
            </w:r>
          </w:p>
        </w:tc>
        <w:tc>
          <w:tcPr>
            <w:tcW w:w="960" w:type="dxa"/>
            <w:tcBorders>
              <w:top w:val="nil"/>
              <w:left w:val="nil"/>
              <w:bottom w:val="nil"/>
              <w:right w:val="nil"/>
            </w:tcBorders>
            <w:shd w:val="clear" w:color="auto" w:fill="auto"/>
            <w:tcMar>
              <w:top w:w="100" w:type="dxa"/>
              <w:left w:w="100" w:type="dxa"/>
              <w:bottom w:w="100" w:type="dxa"/>
              <w:right w:w="100" w:type="dxa"/>
            </w:tcMar>
          </w:tcPr>
          <w:p w14:paraId="2B3E4237" w14:textId="77777777" w:rsidR="006D291A" w:rsidRDefault="00BD6F83">
            <w:pPr>
              <w:widowControl w:val="0"/>
              <w:pBdr>
                <w:top w:val="nil"/>
                <w:left w:val="nil"/>
                <w:bottom w:val="nil"/>
                <w:right w:val="nil"/>
                <w:between w:val="nil"/>
              </w:pBdr>
            </w:pPr>
            <w:r>
              <w:t>1.02</w:t>
            </w:r>
          </w:p>
        </w:tc>
        <w:tc>
          <w:tcPr>
            <w:tcW w:w="780" w:type="dxa"/>
            <w:tcBorders>
              <w:top w:val="nil"/>
              <w:left w:val="nil"/>
              <w:bottom w:val="nil"/>
              <w:right w:val="nil"/>
            </w:tcBorders>
            <w:shd w:val="clear" w:color="auto" w:fill="auto"/>
            <w:tcMar>
              <w:top w:w="100" w:type="dxa"/>
              <w:left w:w="100" w:type="dxa"/>
              <w:bottom w:w="100" w:type="dxa"/>
              <w:right w:w="100" w:type="dxa"/>
            </w:tcMar>
          </w:tcPr>
          <w:p w14:paraId="2B3E4238" w14:textId="77777777" w:rsidR="006D291A" w:rsidRDefault="00BD6F83">
            <w:pPr>
              <w:widowControl w:val="0"/>
              <w:pBdr>
                <w:top w:val="nil"/>
                <w:left w:val="nil"/>
                <w:bottom w:val="nil"/>
                <w:right w:val="nil"/>
                <w:between w:val="nil"/>
              </w:pBdr>
            </w:pPr>
            <w:r>
              <w:t>1.03</w:t>
            </w:r>
          </w:p>
        </w:tc>
        <w:tc>
          <w:tcPr>
            <w:tcW w:w="900" w:type="dxa"/>
            <w:tcBorders>
              <w:top w:val="nil"/>
              <w:left w:val="nil"/>
              <w:bottom w:val="nil"/>
              <w:right w:val="nil"/>
            </w:tcBorders>
            <w:shd w:val="clear" w:color="auto" w:fill="auto"/>
            <w:tcMar>
              <w:top w:w="100" w:type="dxa"/>
              <w:left w:w="100" w:type="dxa"/>
              <w:bottom w:w="100" w:type="dxa"/>
              <w:right w:w="100" w:type="dxa"/>
            </w:tcMar>
          </w:tcPr>
          <w:p w14:paraId="2B3E4239" w14:textId="77777777" w:rsidR="006D291A" w:rsidRDefault="00BD6F83">
            <w:pPr>
              <w:widowControl w:val="0"/>
              <w:pBdr>
                <w:top w:val="nil"/>
                <w:left w:val="nil"/>
                <w:bottom w:val="nil"/>
                <w:right w:val="nil"/>
                <w:between w:val="nil"/>
              </w:pBdr>
            </w:pPr>
            <w:r>
              <w:t>1.14</w:t>
            </w:r>
          </w:p>
        </w:tc>
        <w:tc>
          <w:tcPr>
            <w:tcW w:w="1365" w:type="dxa"/>
            <w:tcBorders>
              <w:top w:val="nil"/>
              <w:left w:val="nil"/>
              <w:bottom w:val="nil"/>
              <w:right w:val="nil"/>
            </w:tcBorders>
            <w:shd w:val="clear" w:color="auto" w:fill="auto"/>
            <w:tcMar>
              <w:top w:w="100" w:type="dxa"/>
              <w:left w:w="100" w:type="dxa"/>
              <w:bottom w:w="100" w:type="dxa"/>
              <w:right w:w="100" w:type="dxa"/>
            </w:tcMar>
          </w:tcPr>
          <w:p w14:paraId="2B3E423A" w14:textId="77777777" w:rsidR="006D291A" w:rsidRDefault="00BD6F83">
            <w:pPr>
              <w:widowControl w:val="0"/>
              <w:pBdr>
                <w:top w:val="nil"/>
                <w:left w:val="nil"/>
                <w:bottom w:val="nil"/>
                <w:right w:val="nil"/>
                <w:between w:val="nil"/>
              </w:pBdr>
            </w:pPr>
            <w:r>
              <w:t>0.25</w:t>
            </w:r>
          </w:p>
        </w:tc>
        <w:tc>
          <w:tcPr>
            <w:tcW w:w="1395" w:type="dxa"/>
            <w:tcBorders>
              <w:top w:val="nil"/>
              <w:left w:val="nil"/>
              <w:bottom w:val="nil"/>
              <w:right w:val="nil"/>
            </w:tcBorders>
            <w:shd w:val="clear" w:color="auto" w:fill="auto"/>
            <w:tcMar>
              <w:top w:w="100" w:type="dxa"/>
              <w:left w:w="100" w:type="dxa"/>
              <w:bottom w:w="100" w:type="dxa"/>
              <w:right w:w="100" w:type="dxa"/>
            </w:tcMar>
          </w:tcPr>
          <w:p w14:paraId="2B3E423B" w14:textId="77777777" w:rsidR="006D291A" w:rsidRDefault="00BD6F83">
            <w:pPr>
              <w:widowControl w:val="0"/>
              <w:pBdr>
                <w:top w:val="nil"/>
                <w:left w:val="nil"/>
                <w:bottom w:val="nil"/>
                <w:right w:val="nil"/>
                <w:between w:val="nil"/>
              </w:pBdr>
            </w:pPr>
            <w:r>
              <w:t>0.98</w:t>
            </w:r>
          </w:p>
        </w:tc>
      </w:tr>
      <w:tr w:rsidR="006D291A" w14:paraId="2B3E4243" w14:textId="77777777" w:rsidTr="00E556ED">
        <w:tc>
          <w:tcPr>
            <w:tcW w:w="3960" w:type="dxa"/>
            <w:tcBorders>
              <w:top w:val="nil"/>
              <w:left w:val="nil"/>
              <w:bottom w:val="nil"/>
              <w:right w:val="nil"/>
            </w:tcBorders>
            <w:shd w:val="clear" w:color="auto" w:fill="auto"/>
            <w:tcMar>
              <w:top w:w="100" w:type="dxa"/>
              <w:left w:w="100" w:type="dxa"/>
              <w:bottom w:w="100" w:type="dxa"/>
              <w:right w:w="100" w:type="dxa"/>
            </w:tcMar>
          </w:tcPr>
          <w:p w14:paraId="2B3E423D" w14:textId="77777777" w:rsidR="006D291A" w:rsidRDefault="00BD6F83">
            <w:pPr>
              <w:widowControl w:val="0"/>
              <w:pBdr>
                <w:top w:val="nil"/>
                <w:left w:val="nil"/>
                <w:bottom w:val="nil"/>
                <w:right w:val="nil"/>
                <w:between w:val="nil"/>
              </w:pBdr>
            </w:pPr>
            <w:r>
              <w:t>GSI total release group ocean abundances</w:t>
            </w:r>
          </w:p>
        </w:tc>
        <w:tc>
          <w:tcPr>
            <w:tcW w:w="960" w:type="dxa"/>
            <w:tcBorders>
              <w:top w:val="nil"/>
              <w:left w:val="nil"/>
              <w:bottom w:val="nil"/>
              <w:right w:val="nil"/>
            </w:tcBorders>
            <w:shd w:val="clear" w:color="auto" w:fill="auto"/>
            <w:tcMar>
              <w:top w:w="100" w:type="dxa"/>
              <w:left w:w="100" w:type="dxa"/>
              <w:bottom w:w="100" w:type="dxa"/>
              <w:right w:w="100" w:type="dxa"/>
            </w:tcMar>
          </w:tcPr>
          <w:p w14:paraId="2B3E423E" w14:textId="77777777" w:rsidR="006D291A" w:rsidRDefault="00BD6F83">
            <w:pPr>
              <w:widowControl w:val="0"/>
              <w:pBdr>
                <w:top w:val="nil"/>
                <w:left w:val="nil"/>
                <w:bottom w:val="nil"/>
                <w:right w:val="nil"/>
                <w:between w:val="nil"/>
              </w:pBdr>
            </w:pPr>
            <w:r>
              <w:t>1.63</w:t>
            </w:r>
          </w:p>
        </w:tc>
        <w:tc>
          <w:tcPr>
            <w:tcW w:w="780" w:type="dxa"/>
            <w:tcBorders>
              <w:top w:val="nil"/>
              <w:left w:val="nil"/>
              <w:bottom w:val="nil"/>
              <w:right w:val="nil"/>
            </w:tcBorders>
            <w:shd w:val="clear" w:color="auto" w:fill="auto"/>
            <w:tcMar>
              <w:top w:w="100" w:type="dxa"/>
              <w:left w:w="100" w:type="dxa"/>
              <w:bottom w:w="100" w:type="dxa"/>
              <w:right w:w="100" w:type="dxa"/>
            </w:tcMar>
          </w:tcPr>
          <w:p w14:paraId="2B3E423F" w14:textId="77777777" w:rsidR="006D291A" w:rsidRDefault="00BD6F83">
            <w:pPr>
              <w:widowControl w:val="0"/>
              <w:pBdr>
                <w:top w:val="nil"/>
                <w:left w:val="nil"/>
                <w:bottom w:val="nil"/>
                <w:right w:val="nil"/>
                <w:between w:val="nil"/>
              </w:pBdr>
            </w:pPr>
            <w:r>
              <w:t>4.45</w:t>
            </w:r>
          </w:p>
        </w:tc>
        <w:tc>
          <w:tcPr>
            <w:tcW w:w="900" w:type="dxa"/>
            <w:tcBorders>
              <w:top w:val="nil"/>
              <w:left w:val="nil"/>
              <w:bottom w:val="nil"/>
              <w:right w:val="nil"/>
            </w:tcBorders>
            <w:shd w:val="clear" w:color="auto" w:fill="auto"/>
            <w:tcMar>
              <w:top w:w="100" w:type="dxa"/>
              <w:left w:w="100" w:type="dxa"/>
              <w:bottom w:w="100" w:type="dxa"/>
              <w:right w:w="100" w:type="dxa"/>
            </w:tcMar>
          </w:tcPr>
          <w:p w14:paraId="2B3E4240" w14:textId="77777777" w:rsidR="006D291A" w:rsidRDefault="00BD6F83">
            <w:pPr>
              <w:widowControl w:val="0"/>
              <w:pBdr>
                <w:top w:val="nil"/>
                <w:left w:val="nil"/>
                <w:bottom w:val="nil"/>
                <w:right w:val="nil"/>
                <w:between w:val="nil"/>
              </w:pBdr>
            </w:pPr>
            <w:r>
              <w:t>150.46</w:t>
            </w:r>
          </w:p>
        </w:tc>
        <w:tc>
          <w:tcPr>
            <w:tcW w:w="1365" w:type="dxa"/>
            <w:tcBorders>
              <w:top w:val="nil"/>
              <w:left w:val="nil"/>
              <w:bottom w:val="nil"/>
              <w:right w:val="nil"/>
            </w:tcBorders>
            <w:shd w:val="clear" w:color="auto" w:fill="auto"/>
            <w:tcMar>
              <w:top w:w="100" w:type="dxa"/>
              <w:left w:w="100" w:type="dxa"/>
              <w:bottom w:w="100" w:type="dxa"/>
              <w:right w:w="100" w:type="dxa"/>
            </w:tcMar>
          </w:tcPr>
          <w:p w14:paraId="2B3E4241" w14:textId="77777777" w:rsidR="006D291A" w:rsidRDefault="00BD6F83">
            <w:pPr>
              <w:widowControl w:val="0"/>
              <w:pBdr>
                <w:top w:val="nil"/>
                <w:left w:val="nil"/>
                <w:bottom w:val="nil"/>
                <w:right w:val="nil"/>
                <w:between w:val="nil"/>
              </w:pBdr>
            </w:pPr>
            <w:r>
              <w:t>0</w:t>
            </w:r>
          </w:p>
        </w:tc>
        <w:tc>
          <w:tcPr>
            <w:tcW w:w="1395" w:type="dxa"/>
            <w:tcBorders>
              <w:top w:val="nil"/>
              <w:left w:val="nil"/>
              <w:bottom w:val="nil"/>
              <w:right w:val="nil"/>
            </w:tcBorders>
            <w:shd w:val="clear" w:color="auto" w:fill="auto"/>
            <w:tcMar>
              <w:top w:w="100" w:type="dxa"/>
              <w:left w:w="100" w:type="dxa"/>
              <w:bottom w:w="100" w:type="dxa"/>
              <w:right w:w="100" w:type="dxa"/>
            </w:tcMar>
          </w:tcPr>
          <w:p w14:paraId="2B3E4242" w14:textId="77777777" w:rsidR="006D291A" w:rsidRDefault="00BD6F83">
            <w:pPr>
              <w:widowControl w:val="0"/>
              <w:pBdr>
                <w:top w:val="nil"/>
                <w:left w:val="nil"/>
                <w:bottom w:val="nil"/>
                <w:right w:val="nil"/>
                <w:between w:val="nil"/>
              </w:pBdr>
            </w:pPr>
            <w:r>
              <w:t>0.01</w:t>
            </w:r>
          </w:p>
        </w:tc>
      </w:tr>
      <w:tr w:rsidR="006D291A" w14:paraId="2B3E424A" w14:textId="77777777" w:rsidTr="00E556ED">
        <w:tc>
          <w:tcPr>
            <w:tcW w:w="3960" w:type="dxa"/>
            <w:tcBorders>
              <w:top w:val="nil"/>
              <w:left w:val="nil"/>
              <w:bottom w:val="nil"/>
              <w:right w:val="nil"/>
            </w:tcBorders>
            <w:shd w:val="clear" w:color="auto" w:fill="auto"/>
            <w:tcMar>
              <w:top w:w="100" w:type="dxa"/>
              <w:left w:w="100" w:type="dxa"/>
              <w:bottom w:w="100" w:type="dxa"/>
              <w:right w:w="100" w:type="dxa"/>
            </w:tcMar>
          </w:tcPr>
          <w:p w14:paraId="2B3E4244" w14:textId="77777777" w:rsidR="006D291A" w:rsidRDefault="00BD6F83">
            <w:pPr>
              <w:widowControl w:val="0"/>
              <w:pBdr>
                <w:top w:val="nil"/>
                <w:left w:val="nil"/>
                <w:bottom w:val="nil"/>
                <w:right w:val="nil"/>
                <w:between w:val="nil"/>
              </w:pBdr>
              <w:rPr>
                <w:i/>
              </w:rPr>
            </w:pPr>
            <w:r>
              <w:t xml:space="preserve">GSI total release group ocean abundances - </w:t>
            </w:r>
            <w:r>
              <w:rPr>
                <w:i/>
              </w:rPr>
              <w:t>Initial abundance only</w:t>
            </w:r>
          </w:p>
        </w:tc>
        <w:tc>
          <w:tcPr>
            <w:tcW w:w="960" w:type="dxa"/>
            <w:tcBorders>
              <w:top w:val="nil"/>
              <w:left w:val="nil"/>
              <w:bottom w:val="nil"/>
              <w:right w:val="nil"/>
            </w:tcBorders>
            <w:shd w:val="clear" w:color="auto" w:fill="auto"/>
            <w:tcMar>
              <w:top w:w="100" w:type="dxa"/>
              <w:left w:w="100" w:type="dxa"/>
              <w:bottom w:w="100" w:type="dxa"/>
              <w:right w:w="100" w:type="dxa"/>
            </w:tcMar>
          </w:tcPr>
          <w:p w14:paraId="2B3E4245" w14:textId="77777777" w:rsidR="006D291A" w:rsidRDefault="00BD6F83">
            <w:pPr>
              <w:widowControl w:val="0"/>
              <w:pBdr>
                <w:top w:val="nil"/>
                <w:left w:val="nil"/>
                <w:bottom w:val="nil"/>
                <w:right w:val="nil"/>
                <w:between w:val="nil"/>
              </w:pBdr>
            </w:pPr>
            <w:r>
              <w:t>51.59</w:t>
            </w:r>
          </w:p>
        </w:tc>
        <w:tc>
          <w:tcPr>
            <w:tcW w:w="780" w:type="dxa"/>
            <w:tcBorders>
              <w:top w:val="nil"/>
              <w:left w:val="nil"/>
              <w:bottom w:val="nil"/>
              <w:right w:val="nil"/>
            </w:tcBorders>
            <w:shd w:val="clear" w:color="auto" w:fill="auto"/>
            <w:tcMar>
              <w:top w:w="100" w:type="dxa"/>
              <w:left w:w="100" w:type="dxa"/>
              <w:bottom w:w="100" w:type="dxa"/>
              <w:right w:w="100" w:type="dxa"/>
            </w:tcMar>
          </w:tcPr>
          <w:p w14:paraId="2B3E4246" w14:textId="77777777" w:rsidR="006D291A" w:rsidRDefault="00BD6F83">
            <w:pPr>
              <w:widowControl w:val="0"/>
              <w:pBdr>
                <w:top w:val="nil"/>
                <w:left w:val="nil"/>
                <w:bottom w:val="nil"/>
                <w:right w:val="nil"/>
                <w:between w:val="nil"/>
              </w:pBdr>
            </w:pPr>
            <w:r>
              <w:t>53.54</w:t>
            </w:r>
          </w:p>
        </w:tc>
        <w:tc>
          <w:tcPr>
            <w:tcW w:w="900" w:type="dxa"/>
            <w:tcBorders>
              <w:top w:val="nil"/>
              <w:left w:val="nil"/>
              <w:bottom w:val="nil"/>
              <w:right w:val="nil"/>
            </w:tcBorders>
            <w:shd w:val="clear" w:color="auto" w:fill="auto"/>
            <w:tcMar>
              <w:top w:w="100" w:type="dxa"/>
              <w:left w:w="100" w:type="dxa"/>
              <w:bottom w:w="100" w:type="dxa"/>
              <w:right w:w="100" w:type="dxa"/>
            </w:tcMar>
          </w:tcPr>
          <w:p w14:paraId="2B3E4247" w14:textId="77777777" w:rsidR="006D291A" w:rsidRDefault="00BD6F83">
            <w:pPr>
              <w:widowControl w:val="0"/>
              <w:pBdr>
                <w:top w:val="nil"/>
                <w:left w:val="nil"/>
                <w:bottom w:val="nil"/>
                <w:right w:val="nil"/>
                <w:between w:val="nil"/>
              </w:pBdr>
            </w:pPr>
            <w:r>
              <w:t>150.46</w:t>
            </w:r>
          </w:p>
        </w:tc>
        <w:tc>
          <w:tcPr>
            <w:tcW w:w="1365" w:type="dxa"/>
            <w:tcBorders>
              <w:top w:val="nil"/>
              <w:left w:val="nil"/>
              <w:bottom w:val="nil"/>
              <w:right w:val="nil"/>
            </w:tcBorders>
            <w:shd w:val="clear" w:color="auto" w:fill="auto"/>
            <w:tcMar>
              <w:top w:w="100" w:type="dxa"/>
              <w:left w:w="100" w:type="dxa"/>
              <w:bottom w:w="100" w:type="dxa"/>
              <w:right w:w="100" w:type="dxa"/>
            </w:tcMar>
          </w:tcPr>
          <w:p w14:paraId="2B3E4248" w14:textId="77777777" w:rsidR="006D291A" w:rsidRDefault="00BD6F83">
            <w:pPr>
              <w:widowControl w:val="0"/>
              <w:pBdr>
                <w:top w:val="nil"/>
                <w:left w:val="nil"/>
                <w:bottom w:val="nil"/>
                <w:right w:val="nil"/>
                <w:between w:val="nil"/>
              </w:pBdr>
            </w:pPr>
            <w:r>
              <w:t>0</w:t>
            </w:r>
          </w:p>
        </w:tc>
        <w:tc>
          <w:tcPr>
            <w:tcW w:w="1395" w:type="dxa"/>
            <w:tcBorders>
              <w:top w:val="nil"/>
              <w:left w:val="nil"/>
              <w:bottom w:val="nil"/>
              <w:right w:val="nil"/>
            </w:tcBorders>
            <w:shd w:val="clear" w:color="auto" w:fill="auto"/>
            <w:tcMar>
              <w:top w:w="100" w:type="dxa"/>
              <w:left w:w="100" w:type="dxa"/>
              <w:bottom w:w="100" w:type="dxa"/>
              <w:right w:w="100" w:type="dxa"/>
            </w:tcMar>
          </w:tcPr>
          <w:p w14:paraId="2B3E4249" w14:textId="77777777" w:rsidR="006D291A" w:rsidRDefault="00BD6F83">
            <w:pPr>
              <w:widowControl w:val="0"/>
              <w:pBdr>
                <w:top w:val="nil"/>
                <w:left w:val="nil"/>
                <w:bottom w:val="nil"/>
                <w:right w:val="nil"/>
                <w:between w:val="nil"/>
              </w:pBdr>
            </w:pPr>
            <w:r>
              <w:t>0</w:t>
            </w:r>
          </w:p>
        </w:tc>
      </w:tr>
      <w:tr w:rsidR="006D291A" w14:paraId="2B3E4251" w14:textId="77777777" w:rsidTr="00E556ED">
        <w:tc>
          <w:tcPr>
            <w:tcW w:w="3960" w:type="dxa"/>
            <w:tcBorders>
              <w:top w:val="nil"/>
              <w:left w:val="nil"/>
              <w:bottom w:val="nil"/>
              <w:right w:val="nil"/>
            </w:tcBorders>
            <w:shd w:val="clear" w:color="auto" w:fill="auto"/>
            <w:tcMar>
              <w:top w:w="100" w:type="dxa"/>
              <w:left w:w="100" w:type="dxa"/>
              <w:bottom w:w="100" w:type="dxa"/>
              <w:right w:w="100" w:type="dxa"/>
            </w:tcMar>
          </w:tcPr>
          <w:p w14:paraId="2B3E424B" w14:textId="77777777" w:rsidR="006D291A" w:rsidRDefault="00BD6F83">
            <w:pPr>
              <w:widowControl w:val="0"/>
              <w:pBdr>
                <w:top w:val="nil"/>
                <w:left w:val="nil"/>
                <w:bottom w:val="nil"/>
                <w:right w:val="nil"/>
                <w:between w:val="nil"/>
              </w:pBdr>
            </w:pPr>
            <w:r>
              <w:t>GSI total release group spawning abundances</w:t>
            </w:r>
          </w:p>
        </w:tc>
        <w:tc>
          <w:tcPr>
            <w:tcW w:w="960" w:type="dxa"/>
            <w:tcBorders>
              <w:top w:val="nil"/>
              <w:left w:val="nil"/>
              <w:bottom w:val="nil"/>
              <w:right w:val="nil"/>
            </w:tcBorders>
            <w:shd w:val="clear" w:color="auto" w:fill="auto"/>
            <w:tcMar>
              <w:top w:w="100" w:type="dxa"/>
              <w:left w:w="100" w:type="dxa"/>
              <w:bottom w:w="100" w:type="dxa"/>
              <w:right w:w="100" w:type="dxa"/>
            </w:tcMar>
          </w:tcPr>
          <w:p w14:paraId="2B3E424C" w14:textId="77777777" w:rsidR="006D291A" w:rsidRDefault="00BD6F83">
            <w:pPr>
              <w:widowControl w:val="0"/>
              <w:pBdr>
                <w:top w:val="nil"/>
                <w:left w:val="nil"/>
                <w:bottom w:val="nil"/>
                <w:right w:val="nil"/>
                <w:between w:val="nil"/>
              </w:pBdr>
            </w:pPr>
            <w:r>
              <w:t>1.22</w:t>
            </w:r>
          </w:p>
        </w:tc>
        <w:tc>
          <w:tcPr>
            <w:tcW w:w="780" w:type="dxa"/>
            <w:tcBorders>
              <w:top w:val="nil"/>
              <w:left w:val="nil"/>
              <w:bottom w:val="nil"/>
              <w:right w:val="nil"/>
            </w:tcBorders>
            <w:shd w:val="clear" w:color="auto" w:fill="auto"/>
            <w:tcMar>
              <w:top w:w="100" w:type="dxa"/>
              <w:left w:w="100" w:type="dxa"/>
              <w:bottom w:w="100" w:type="dxa"/>
              <w:right w:w="100" w:type="dxa"/>
            </w:tcMar>
          </w:tcPr>
          <w:p w14:paraId="2B3E424D" w14:textId="77777777" w:rsidR="006D291A" w:rsidRDefault="00BD6F83">
            <w:pPr>
              <w:widowControl w:val="0"/>
              <w:pBdr>
                <w:top w:val="nil"/>
                <w:left w:val="nil"/>
                <w:bottom w:val="nil"/>
                <w:right w:val="nil"/>
                <w:between w:val="nil"/>
              </w:pBdr>
            </w:pPr>
            <w:r>
              <w:t>1.38</w:t>
            </w:r>
          </w:p>
        </w:tc>
        <w:tc>
          <w:tcPr>
            <w:tcW w:w="900" w:type="dxa"/>
            <w:tcBorders>
              <w:top w:val="nil"/>
              <w:left w:val="nil"/>
              <w:bottom w:val="nil"/>
              <w:right w:val="nil"/>
            </w:tcBorders>
            <w:shd w:val="clear" w:color="auto" w:fill="auto"/>
            <w:tcMar>
              <w:top w:w="100" w:type="dxa"/>
              <w:left w:w="100" w:type="dxa"/>
              <w:bottom w:w="100" w:type="dxa"/>
              <w:right w:w="100" w:type="dxa"/>
            </w:tcMar>
          </w:tcPr>
          <w:p w14:paraId="2B3E424E" w14:textId="77777777" w:rsidR="006D291A" w:rsidRDefault="00BD6F83">
            <w:pPr>
              <w:widowControl w:val="0"/>
              <w:pBdr>
                <w:top w:val="nil"/>
                <w:left w:val="nil"/>
                <w:bottom w:val="nil"/>
                <w:right w:val="nil"/>
                <w:between w:val="nil"/>
              </w:pBdr>
            </w:pPr>
            <w:r>
              <w:t>3.69</w:t>
            </w:r>
          </w:p>
        </w:tc>
        <w:tc>
          <w:tcPr>
            <w:tcW w:w="1365" w:type="dxa"/>
            <w:tcBorders>
              <w:top w:val="nil"/>
              <w:left w:val="nil"/>
              <w:bottom w:val="nil"/>
              <w:right w:val="nil"/>
            </w:tcBorders>
            <w:shd w:val="clear" w:color="auto" w:fill="auto"/>
            <w:tcMar>
              <w:top w:w="100" w:type="dxa"/>
              <w:left w:w="100" w:type="dxa"/>
              <w:bottom w:w="100" w:type="dxa"/>
              <w:right w:w="100" w:type="dxa"/>
            </w:tcMar>
          </w:tcPr>
          <w:p w14:paraId="2B3E424F" w14:textId="77777777" w:rsidR="006D291A" w:rsidRDefault="00BD6F83">
            <w:pPr>
              <w:widowControl w:val="0"/>
              <w:pBdr>
                <w:top w:val="nil"/>
                <w:left w:val="nil"/>
                <w:bottom w:val="nil"/>
                <w:right w:val="nil"/>
                <w:between w:val="nil"/>
              </w:pBdr>
            </w:pPr>
            <w:r>
              <w:t>0.10</w:t>
            </w:r>
          </w:p>
        </w:tc>
        <w:tc>
          <w:tcPr>
            <w:tcW w:w="1395" w:type="dxa"/>
            <w:tcBorders>
              <w:top w:val="nil"/>
              <w:left w:val="nil"/>
              <w:bottom w:val="nil"/>
              <w:right w:val="nil"/>
            </w:tcBorders>
            <w:shd w:val="clear" w:color="auto" w:fill="auto"/>
            <w:tcMar>
              <w:top w:w="100" w:type="dxa"/>
              <w:left w:w="100" w:type="dxa"/>
              <w:bottom w:w="100" w:type="dxa"/>
              <w:right w:w="100" w:type="dxa"/>
            </w:tcMar>
          </w:tcPr>
          <w:p w14:paraId="2B3E4250" w14:textId="77777777" w:rsidR="006D291A" w:rsidRDefault="00BD6F83">
            <w:pPr>
              <w:widowControl w:val="0"/>
              <w:pBdr>
                <w:top w:val="nil"/>
                <w:left w:val="nil"/>
                <w:bottom w:val="nil"/>
                <w:right w:val="nil"/>
                <w:between w:val="nil"/>
              </w:pBdr>
            </w:pPr>
            <w:r>
              <w:t>0.40</w:t>
            </w:r>
          </w:p>
        </w:tc>
      </w:tr>
      <w:tr w:rsidR="006D291A" w14:paraId="2B3E4258" w14:textId="77777777" w:rsidTr="00E556ED">
        <w:tc>
          <w:tcPr>
            <w:tcW w:w="3960" w:type="dxa"/>
            <w:tcBorders>
              <w:top w:val="nil"/>
              <w:left w:val="nil"/>
              <w:right w:val="nil"/>
            </w:tcBorders>
            <w:shd w:val="clear" w:color="auto" w:fill="auto"/>
            <w:tcMar>
              <w:top w:w="100" w:type="dxa"/>
              <w:left w:w="100" w:type="dxa"/>
              <w:bottom w:w="100" w:type="dxa"/>
              <w:right w:w="100" w:type="dxa"/>
            </w:tcMar>
          </w:tcPr>
          <w:p w14:paraId="2B3E4252" w14:textId="77777777" w:rsidR="006D291A" w:rsidRDefault="00BD6F83">
            <w:pPr>
              <w:widowControl w:val="0"/>
              <w:pBdr>
                <w:top w:val="nil"/>
                <w:left w:val="nil"/>
                <w:bottom w:val="nil"/>
                <w:right w:val="nil"/>
                <w:between w:val="nil"/>
              </w:pBdr>
            </w:pPr>
            <w:r>
              <w:t>GSI observation parameters</w:t>
            </w:r>
          </w:p>
        </w:tc>
        <w:tc>
          <w:tcPr>
            <w:tcW w:w="960" w:type="dxa"/>
            <w:tcBorders>
              <w:top w:val="nil"/>
              <w:left w:val="nil"/>
              <w:right w:val="nil"/>
            </w:tcBorders>
            <w:shd w:val="clear" w:color="auto" w:fill="auto"/>
            <w:tcMar>
              <w:top w:w="100" w:type="dxa"/>
              <w:left w:w="100" w:type="dxa"/>
              <w:bottom w:w="100" w:type="dxa"/>
              <w:right w:w="100" w:type="dxa"/>
            </w:tcMar>
          </w:tcPr>
          <w:p w14:paraId="2B3E4253" w14:textId="77777777" w:rsidR="006D291A" w:rsidRDefault="00BD6F83">
            <w:pPr>
              <w:widowControl w:val="0"/>
              <w:pBdr>
                <w:top w:val="nil"/>
                <w:left w:val="nil"/>
                <w:bottom w:val="nil"/>
                <w:right w:val="nil"/>
                <w:between w:val="nil"/>
              </w:pBdr>
            </w:pPr>
            <w:r>
              <w:t>1.03</w:t>
            </w:r>
          </w:p>
        </w:tc>
        <w:tc>
          <w:tcPr>
            <w:tcW w:w="780" w:type="dxa"/>
            <w:tcBorders>
              <w:top w:val="nil"/>
              <w:left w:val="nil"/>
              <w:right w:val="nil"/>
            </w:tcBorders>
            <w:shd w:val="clear" w:color="auto" w:fill="auto"/>
            <w:tcMar>
              <w:top w:w="100" w:type="dxa"/>
              <w:left w:w="100" w:type="dxa"/>
              <w:bottom w:w="100" w:type="dxa"/>
              <w:right w:w="100" w:type="dxa"/>
            </w:tcMar>
          </w:tcPr>
          <w:p w14:paraId="2B3E4254" w14:textId="77777777" w:rsidR="006D291A" w:rsidRDefault="00BD6F83">
            <w:pPr>
              <w:widowControl w:val="0"/>
              <w:pBdr>
                <w:top w:val="nil"/>
                <w:left w:val="nil"/>
                <w:bottom w:val="nil"/>
                <w:right w:val="nil"/>
                <w:between w:val="nil"/>
              </w:pBdr>
            </w:pPr>
            <w:r>
              <w:t>1.06</w:t>
            </w:r>
          </w:p>
        </w:tc>
        <w:tc>
          <w:tcPr>
            <w:tcW w:w="900" w:type="dxa"/>
            <w:tcBorders>
              <w:top w:val="nil"/>
              <w:left w:val="nil"/>
              <w:right w:val="nil"/>
            </w:tcBorders>
            <w:shd w:val="clear" w:color="auto" w:fill="auto"/>
            <w:tcMar>
              <w:top w:w="100" w:type="dxa"/>
              <w:left w:w="100" w:type="dxa"/>
              <w:bottom w:w="100" w:type="dxa"/>
              <w:right w:w="100" w:type="dxa"/>
            </w:tcMar>
          </w:tcPr>
          <w:p w14:paraId="2B3E4255" w14:textId="77777777" w:rsidR="006D291A" w:rsidRDefault="00BD6F83">
            <w:pPr>
              <w:widowControl w:val="0"/>
              <w:pBdr>
                <w:top w:val="nil"/>
                <w:left w:val="nil"/>
                <w:bottom w:val="nil"/>
                <w:right w:val="nil"/>
                <w:between w:val="nil"/>
              </w:pBdr>
            </w:pPr>
            <w:r>
              <w:t>2.26</w:t>
            </w:r>
          </w:p>
        </w:tc>
        <w:tc>
          <w:tcPr>
            <w:tcW w:w="1365" w:type="dxa"/>
            <w:tcBorders>
              <w:top w:val="nil"/>
              <w:left w:val="nil"/>
              <w:right w:val="nil"/>
            </w:tcBorders>
            <w:shd w:val="clear" w:color="auto" w:fill="auto"/>
            <w:tcMar>
              <w:top w:w="100" w:type="dxa"/>
              <w:left w:w="100" w:type="dxa"/>
              <w:bottom w:w="100" w:type="dxa"/>
              <w:right w:w="100" w:type="dxa"/>
            </w:tcMar>
          </w:tcPr>
          <w:p w14:paraId="2B3E4256" w14:textId="77777777" w:rsidR="006D291A" w:rsidRDefault="00BD6F83">
            <w:pPr>
              <w:widowControl w:val="0"/>
              <w:pBdr>
                <w:top w:val="nil"/>
                <w:left w:val="nil"/>
                <w:bottom w:val="nil"/>
                <w:right w:val="nil"/>
                <w:between w:val="nil"/>
              </w:pBdr>
            </w:pPr>
            <w:r>
              <w:t>0.30</w:t>
            </w:r>
          </w:p>
        </w:tc>
        <w:tc>
          <w:tcPr>
            <w:tcW w:w="1395" w:type="dxa"/>
            <w:tcBorders>
              <w:top w:val="nil"/>
              <w:left w:val="nil"/>
              <w:right w:val="nil"/>
            </w:tcBorders>
            <w:shd w:val="clear" w:color="auto" w:fill="auto"/>
            <w:tcMar>
              <w:top w:w="100" w:type="dxa"/>
              <w:left w:w="100" w:type="dxa"/>
              <w:bottom w:w="100" w:type="dxa"/>
              <w:right w:w="100" w:type="dxa"/>
            </w:tcMar>
          </w:tcPr>
          <w:p w14:paraId="2B3E4257" w14:textId="77777777" w:rsidR="006D291A" w:rsidRDefault="00BD6F83">
            <w:pPr>
              <w:widowControl w:val="0"/>
              <w:pBdr>
                <w:top w:val="nil"/>
                <w:left w:val="nil"/>
                <w:bottom w:val="nil"/>
                <w:right w:val="nil"/>
                <w:between w:val="nil"/>
              </w:pBdr>
            </w:pPr>
            <w:r>
              <w:t>0.84</w:t>
            </w:r>
          </w:p>
        </w:tc>
      </w:tr>
    </w:tbl>
    <w:p w14:paraId="2B3E4259" w14:textId="77777777" w:rsidR="006D291A" w:rsidRDefault="006D291A">
      <w:pPr>
        <w:spacing w:line="360" w:lineRule="auto"/>
      </w:pPr>
    </w:p>
    <w:p w14:paraId="2B3E425A" w14:textId="77777777" w:rsidR="006D291A" w:rsidRDefault="006D291A">
      <w:pPr>
        <w:spacing w:line="360" w:lineRule="auto"/>
      </w:pPr>
    </w:p>
    <w:p w14:paraId="2B3E425B" w14:textId="77777777" w:rsidR="006D291A" w:rsidRDefault="00BD6F83">
      <w:pPr>
        <w:spacing w:line="360" w:lineRule="auto"/>
        <w:rPr>
          <w:sz w:val="28"/>
          <w:szCs w:val="28"/>
        </w:rPr>
      </w:pPr>
      <w:r>
        <w:rPr>
          <w:sz w:val="28"/>
          <w:szCs w:val="28"/>
        </w:rPr>
        <w:t>Visual Diagnostics</w:t>
      </w:r>
    </w:p>
    <w:p w14:paraId="2B3E425C" w14:textId="446D6B45" w:rsidR="006D291A" w:rsidRDefault="00BD6F83">
      <w:pPr>
        <w:spacing w:line="360" w:lineRule="auto"/>
      </w:pPr>
      <w:r>
        <w:t>Comparisons of observed and predicted CWT ocean catch were highly similar between the</w:t>
      </w:r>
      <w:r>
        <w:rPr>
          <w:i/>
        </w:rPr>
        <w:t xml:space="preserve"> CWT only</w:t>
      </w:r>
      <w:r>
        <w:t xml:space="preserve"> and </w:t>
      </w:r>
      <w:r>
        <w:rPr>
          <w:i/>
        </w:rPr>
        <w:t>CWT+GSI</w:t>
      </w:r>
      <w:r>
        <w:t xml:space="preserve"> model (i.e., compared to Figs. S3.1-S3.6). Therefore, we only present other diagnostics that exhibited differences between models, as well as new diagnostics corresponding to newly added components for the </w:t>
      </w:r>
      <w:r>
        <w:rPr>
          <w:i/>
        </w:rPr>
        <w:t>CWT+GSI</w:t>
      </w:r>
      <w:r>
        <w:t xml:space="preserve"> model. </w:t>
      </w:r>
    </w:p>
    <w:p w14:paraId="2B3E425D" w14:textId="77777777" w:rsidR="006D291A" w:rsidRDefault="006D291A">
      <w:pPr>
        <w:spacing w:line="360" w:lineRule="auto"/>
      </w:pPr>
    </w:p>
    <w:p w14:paraId="2B3E425E" w14:textId="232D862F" w:rsidR="006D291A" w:rsidRDefault="00BD6F83">
      <w:pPr>
        <w:spacing w:line="360" w:lineRule="auto"/>
      </w:pPr>
      <w:r>
        <w:t xml:space="preserve">This model included 139 observations of GSI samples with 10 or more sampled fish per season, year, and region. We present observed and predicted proportions of each of the stocks across all observations, by region, and by fishery type (i.e., recreational versus commercial troll) (Figs. S3.11, S3.12, S3.13). Across all observations, the model tends to under-predict proportions of the predominant SFB stock and over-predict proportions of the rarer stocks. This model bias is </w:t>
      </w:r>
      <w:r>
        <w:lastRenderedPageBreak/>
        <w:t>particularly pronounced in northern California and in Oregon (i.e., NCA, SOR, NOR) and in the recreational fishery.</w:t>
      </w:r>
      <w:r w:rsidR="00197E0B">
        <w:t xml:space="preserve"> </w:t>
      </w:r>
      <w:r w:rsidR="00BE381A">
        <w:t>There are numerous possible explanations for this bias</w:t>
      </w:r>
      <w:r w:rsidR="00EE70C3">
        <w:t>.</w:t>
      </w:r>
      <w:r w:rsidR="00BE381A">
        <w:t xml:space="preserve"> </w:t>
      </w:r>
      <w:r w:rsidR="00EE70C3">
        <w:t>D</w:t>
      </w:r>
      <w:r w:rsidR="001C6CBD">
        <w:t xml:space="preserve">ifferences in fish sampling and data collection methodology between </w:t>
      </w:r>
      <w:r w:rsidR="0035226D">
        <w:t>GSI and CWT data</w:t>
      </w:r>
      <w:r w:rsidR="00EE70C3">
        <w:t xml:space="preserve"> could have resulted in </w:t>
      </w:r>
      <w:r w:rsidR="004E1EF7">
        <w:t>different underlying communities being sampled, and thus predicted GSI proportions based on model parameters influenced by CWT data</w:t>
      </w:r>
      <w:r w:rsidR="00EC141A">
        <w:t xml:space="preserve"> differ from observed GSI proportions. Additionally, </w:t>
      </w:r>
      <w:r w:rsidR="00BE381A">
        <w:t xml:space="preserve">greater uncertainty in CAC and NCASOR run sizes </w:t>
      </w:r>
      <w:r w:rsidR="00EC141A">
        <w:t>may have allowed for</w:t>
      </w:r>
      <w:r w:rsidR="00BE381A">
        <w:t xml:space="preserve"> inflated estimates of abundance</w:t>
      </w:r>
      <w:r w:rsidR="00B927E0">
        <w:t xml:space="preserve"> for these stocks, and expected earlier escapement of SFB fish (e.g., Fig. S3.8)</w:t>
      </w:r>
      <w:r w:rsidR="006C7507">
        <w:t xml:space="preserve"> based on CWT-tagged fish could have reduced </w:t>
      </w:r>
      <w:r w:rsidR="00CA3997">
        <w:t>predicted ocean SFB abundance</w:t>
      </w:r>
      <w:r w:rsidR="006618AD">
        <w:t>s</w:t>
      </w:r>
      <w:r w:rsidR="00CA3997">
        <w:t xml:space="preserve"> relative to other stocks.</w:t>
      </w:r>
      <w:r w:rsidR="001C6CBD">
        <w:t xml:space="preserve"> </w:t>
      </w:r>
    </w:p>
    <w:p w14:paraId="2B3E425F" w14:textId="77777777" w:rsidR="006D291A" w:rsidRDefault="006D291A">
      <w:pPr>
        <w:spacing w:line="360" w:lineRule="auto"/>
      </w:pPr>
    </w:p>
    <w:p w14:paraId="2B3E4260" w14:textId="1FA8CEF2" w:rsidR="006D291A" w:rsidRDefault="00BD6F83">
      <w:pPr>
        <w:spacing w:line="360" w:lineRule="auto"/>
      </w:pPr>
      <w:r>
        <w:t>The model includes 68 estimates of total run size for SFB, CAC, KLT, and NCASOR. We present estimated and predicted run sizes over time for each of the stocks (Fig. S3.14). Predicted run sizes for SFB correspond well to independent estimates during the middle of the time series but diverge at the ends.</w:t>
      </w:r>
      <w:r w:rsidR="002F1204">
        <w:t xml:space="preserve"> </w:t>
      </w:r>
      <w:r w:rsidR="000A67EB">
        <w:t xml:space="preserve">Divergence at the beginning and end of the time series likely occurs due to the inclusion of release groups with incomplete GSI data coverage; for example, </w:t>
      </w:r>
      <w:r w:rsidR="00A67377">
        <w:t>the run size abundance for 1998 include</w:t>
      </w:r>
      <w:r w:rsidR="00FF1312">
        <w:t>s</w:t>
      </w:r>
      <w:r w:rsidR="00A67377">
        <w:t xml:space="preserve"> releases from prior years</w:t>
      </w:r>
      <w:r w:rsidR="00461D4B">
        <w:t xml:space="preserve"> that had multiple ocean rearing years without any GSI data to constrain relative abundances (e.g., </w:t>
      </w:r>
      <w:r w:rsidR="00352886">
        <w:t>a 1994 brood year release group would not have had GSI data for years 1996 or 1997).</w:t>
      </w:r>
      <w:r w:rsidR="000A67EB">
        <w:t xml:space="preserve"> </w:t>
      </w:r>
      <w:r>
        <w:t>The model predicts KLT run sizes reasonably well throughout the time series. The model consistently over-predicts run size for both CAC and NCASOR stocks; this occurs likely due to inconsistent implementation of escapement surveys across tributaries and years, resulting in under-estimates of run size used as model inputs.</w:t>
      </w:r>
    </w:p>
    <w:p w14:paraId="2B3E4261" w14:textId="77777777" w:rsidR="006D291A" w:rsidRDefault="006D291A">
      <w:pPr>
        <w:spacing w:line="360" w:lineRule="auto"/>
      </w:pPr>
    </w:p>
    <w:p w14:paraId="2B3E4262" w14:textId="77777777" w:rsidR="006D291A" w:rsidRDefault="00BD6F83">
      <w:pPr>
        <w:spacing w:line="360" w:lineRule="auto"/>
      </w:pPr>
      <w:r>
        <w:t>The model includes 705 estimates of total landings by season, year, region, and fishery type, as provided by the PFMC. We present estimated and predicted landing estimates for the recreational and commercial troll fisheries separately, broken out by spatial region (Figs. S3.15, S3.16). The model consistently under-predicts landings relative to PFMC-based estimates.</w:t>
      </w:r>
    </w:p>
    <w:p w14:paraId="2B3E4263" w14:textId="77777777" w:rsidR="006D291A" w:rsidRDefault="006D291A"/>
    <w:p w14:paraId="2B3E4264" w14:textId="77777777" w:rsidR="006D291A" w:rsidRDefault="00BD6F83">
      <w:r>
        <w:rPr>
          <w:noProof/>
        </w:rPr>
        <w:lastRenderedPageBreak/>
        <w:drawing>
          <wp:inline distT="114300" distB="114300" distL="114300" distR="114300" wp14:anchorId="2B3E432D" wp14:editId="2B3E432E">
            <wp:extent cx="5943600" cy="5943600"/>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5943600" cy="5943600"/>
                    </a:xfrm>
                    <a:prstGeom prst="rect">
                      <a:avLst/>
                    </a:prstGeom>
                    <a:ln/>
                  </pic:spPr>
                </pic:pic>
              </a:graphicData>
            </a:graphic>
          </wp:inline>
        </w:drawing>
      </w:r>
    </w:p>
    <w:p w14:paraId="2B3E4265" w14:textId="77777777" w:rsidR="006D291A" w:rsidRDefault="00BD6F83">
      <w:r>
        <w:t>Figure S3.11. Model predictions for the GSI-based stock proportions against observed stock proportions. Sizes of individual data points represent the total number of sampled fish used to generate each observation of stock proportion. Red dashed line shows the 1:1 line, solid lines show a GAM smooth.</w:t>
      </w:r>
    </w:p>
    <w:p w14:paraId="2B3E4266" w14:textId="77777777" w:rsidR="006D291A" w:rsidRDefault="006D291A"/>
    <w:p w14:paraId="2B3E4267" w14:textId="77777777" w:rsidR="006D291A" w:rsidRDefault="00BD6F83">
      <w:r>
        <w:br w:type="page"/>
      </w:r>
    </w:p>
    <w:p w14:paraId="2B3E4268" w14:textId="77777777" w:rsidR="006D291A" w:rsidRDefault="00BD6F83">
      <w:r>
        <w:rPr>
          <w:noProof/>
        </w:rPr>
        <w:lastRenderedPageBreak/>
        <w:drawing>
          <wp:inline distT="114300" distB="114300" distL="114300" distR="114300" wp14:anchorId="2B3E432F" wp14:editId="2B3E4330">
            <wp:extent cx="5943600" cy="5943600"/>
            <wp:effectExtent l="0" t="0" r="0" b="0"/>
            <wp:docPr id="2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a:srcRect/>
                    <a:stretch>
                      <a:fillRect/>
                    </a:stretch>
                  </pic:blipFill>
                  <pic:spPr>
                    <a:xfrm>
                      <a:off x="0" y="0"/>
                      <a:ext cx="5943600" cy="5943600"/>
                    </a:xfrm>
                    <a:prstGeom prst="rect">
                      <a:avLst/>
                    </a:prstGeom>
                    <a:ln/>
                  </pic:spPr>
                </pic:pic>
              </a:graphicData>
            </a:graphic>
          </wp:inline>
        </w:drawing>
      </w:r>
    </w:p>
    <w:p w14:paraId="2B3E4269" w14:textId="77777777" w:rsidR="006D291A" w:rsidRDefault="00BD6F83">
      <w:r>
        <w:t>Figure S3.12. Model predictions for the GSI-based stock proportions against observed stock proportions, faceted by spatial region. Sizes of individual data points represent the total number of sampled fish used to generate each observation of stock proportion. Red dashed line shows the 1:1 line, solid lines show a GAM smooth.</w:t>
      </w:r>
    </w:p>
    <w:p w14:paraId="2B3E426A" w14:textId="77777777" w:rsidR="006D291A" w:rsidRDefault="006D291A"/>
    <w:p w14:paraId="2B3E426B" w14:textId="77777777" w:rsidR="006D291A" w:rsidRDefault="00BD6F83">
      <w:r>
        <w:rPr>
          <w:noProof/>
        </w:rPr>
        <w:lastRenderedPageBreak/>
        <w:drawing>
          <wp:inline distT="114300" distB="114300" distL="114300" distR="114300" wp14:anchorId="2B3E4331" wp14:editId="2B3E4332">
            <wp:extent cx="5943600" cy="5943600"/>
            <wp:effectExtent l="0" t="0" r="0" b="0"/>
            <wp:docPr id="1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5943600" cy="5943600"/>
                    </a:xfrm>
                    <a:prstGeom prst="rect">
                      <a:avLst/>
                    </a:prstGeom>
                    <a:ln/>
                  </pic:spPr>
                </pic:pic>
              </a:graphicData>
            </a:graphic>
          </wp:inline>
        </w:drawing>
      </w:r>
    </w:p>
    <w:p w14:paraId="2B3E426C" w14:textId="77777777" w:rsidR="006D291A" w:rsidRDefault="00BD6F83">
      <w:r>
        <w:t>Figure S3.13. Model predictions for the GSI-based stock proportions against observed stock proportions, faceted by fishery type (i.e., recreational versus commercial troll). Sizes of individual data points represent the total number of sampled fish used to generate each observation of stock proportion. Red dashed line shows the 1:1 line, solid lines show a GAM smooth.</w:t>
      </w:r>
    </w:p>
    <w:p w14:paraId="2B3E426D" w14:textId="77777777" w:rsidR="006D291A" w:rsidRDefault="006D291A"/>
    <w:p w14:paraId="2B3E426E" w14:textId="38985D67" w:rsidR="006D291A" w:rsidRDefault="00740B73">
      <w:r w:rsidRPr="00740B73">
        <w:rPr>
          <w:noProof/>
        </w:rPr>
        <w:lastRenderedPageBreak/>
        <w:t xml:space="preserve"> </w:t>
      </w:r>
      <w:r w:rsidR="00EA5FEB">
        <w:rPr>
          <w:noProof/>
        </w:rPr>
        <w:drawing>
          <wp:inline distT="0" distB="0" distL="0" distR="0" wp14:anchorId="3FD733A6" wp14:editId="39883E8B">
            <wp:extent cx="5943600" cy="53498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262"/>
                    <a:stretch/>
                  </pic:blipFill>
                  <pic:spPr bwMode="auto">
                    <a:xfrm>
                      <a:off x="0" y="0"/>
                      <a:ext cx="5943600" cy="5349875"/>
                    </a:xfrm>
                    <a:prstGeom prst="rect">
                      <a:avLst/>
                    </a:prstGeom>
                    <a:ln>
                      <a:noFill/>
                    </a:ln>
                    <a:extLst>
                      <a:ext uri="{53640926-AAD7-44D8-BBD7-CCE9431645EC}">
                        <a14:shadowObscured xmlns:a14="http://schemas.microsoft.com/office/drawing/2010/main"/>
                      </a:ext>
                    </a:extLst>
                  </pic:spPr>
                </pic:pic>
              </a:graphicData>
            </a:graphic>
          </wp:inline>
        </w:drawing>
      </w:r>
    </w:p>
    <w:p w14:paraId="2B3E426F" w14:textId="77777777" w:rsidR="006D291A" w:rsidRDefault="00BD6F83">
      <w:r>
        <w:t>Figure S3.14. Model predictions for stock-specific run sizes against independent estimates generated from available survey data. Error bars for model predictions represent 95% credible intervals and error bars for independent estimates represent simulated 95% confidence intervals based on specified lognormal standard deviations.</w:t>
      </w:r>
    </w:p>
    <w:p w14:paraId="2B3E4270" w14:textId="77777777" w:rsidR="006D291A" w:rsidRDefault="006D291A"/>
    <w:p w14:paraId="2B3E4271" w14:textId="77777777" w:rsidR="006D291A" w:rsidRDefault="00BD6F83">
      <w:r>
        <w:rPr>
          <w:noProof/>
        </w:rPr>
        <w:lastRenderedPageBreak/>
        <w:drawing>
          <wp:inline distT="114300" distB="114300" distL="114300" distR="114300" wp14:anchorId="2B3E4335" wp14:editId="2B3E4336">
            <wp:extent cx="5943600" cy="5943600"/>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srcRect/>
                    <a:stretch>
                      <a:fillRect/>
                    </a:stretch>
                  </pic:blipFill>
                  <pic:spPr>
                    <a:xfrm>
                      <a:off x="0" y="0"/>
                      <a:ext cx="5943600" cy="5943600"/>
                    </a:xfrm>
                    <a:prstGeom prst="rect">
                      <a:avLst/>
                    </a:prstGeom>
                    <a:ln/>
                  </pic:spPr>
                </pic:pic>
              </a:graphicData>
            </a:graphic>
          </wp:inline>
        </w:drawing>
      </w:r>
    </w:p>
    <w:p w14:paraId="2B3E4272" w14:textId="77777777" w:rsidR="006D291A" w:rsidRDefault="00BD6F83">
      <w:r>
        <w:t>Figure S3.15. Model predictions for recreational fishery total landings by season and year against landings estimates provided by PFMC, broken out by spatial region. Solid lines represent a 1:1 relationship.</w:t>
      </w:r>
    </w:p>
    <w:p w14:paraId="2B3E4273" w14:textId="77777777" w:rsidR="006D291A" w:rsidRDefault="006D291A"/>
    <w:p w14:paraId="2B3E4274" w14:textId="77777777" w:rsidR="006D291A" w:rsidRDefault="00BD6F83">
      <w:r>
        <w:rPr>
          <w:noProof/>
        </w:rPr>
        <w:lastRenderedPageBreak/>
        <w:drawing>
          <wp:inline distT="114300" distB="114300" distL="114300" distR="114300" wp14:anchorId="2B3E4337" wp14:editId="2B3E4338">
            <wp:extent cx="5943600" cy="5943600"/>
            <wp:effectExtent l="0" t="0" r="0" b="0"/>
            <wp:docPr id="1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0"/>
                    <a:srcRect/>
                    <a:stretch>
                      <a:fillRect/>
                    </a:stretch>
                  </pic:blipFill>
                  <pic:spPr>
                    <a:xfrm>
                      <a:off x="0" y="0"/>
                      <a:ext cx="5943600" cy="5943600"/>
                    </a:xfrm>
                    <a:prstGeom prst="rect">
                      <a:avLst/>
                    </a:prstGeom>
                    <a:ln/>
                  </pic:spPr>
                </pic:pic>
              </a:graphicData>
            </a:graphic>
          </wp:inline>
        </w:drawing>
      </w:r>
    </w:p>
    <w:p w14:paraId="2B3E4275" w14:textId="77777777" w:rsidR="006D291A" w:rsidRDefault="00BD6F83">
      <w:r>
        <w:t>Figure S3.16. Model predictions for commercial troll fishery total landings by season and year against landings estimates provided by PFMC, broken out by spatial region. Solid lines represent a 1:1 relationship.</w:t>
      </w:r>
    </w:p>
    <w:p w14:paraId="2B3E4276" w14:textId="77777777" w:rsidR="006D291A" w:rsidRDefault="00BD6F83">
      <w:r>
        <w:br w:type="page"/>
      </w:r>
    </w:p>
    <w:p w14:paraId="2B3E4277" w14:textId="77777777" w:rsidR="006D291A" w:rsidRDefault="00BD6F83">
      <w:pPr>
        <w:rPr>
          <w:sz w:val="28"/>
          <w:szCs w:val="28"/>
        </w:rPr>
      </w:pPr>
      <w:r>
        <w:rPr>
          <w:sz w:val="28"/>
          <w:szCs w:val="28"/>
        </w:rPr>
        <w:lastRenderedPageBreak/>
        <w:t>GSI Overdispersion Parameter</w:t>
      </w:r>
    </w:p>
    <w:p w14:paraId="2B3E4278" w14:textId="77777777" w:rsidR="006D291A" w:rsidRDefault="006D291A"/>
    <w:p w14:paraId="2B3E4279" w14:textId="77777777" w:rsidR="006D291A" w:rsidRDefault="00BD6F83">
      <w:pPr>
        <w:spacing w:line="360" w:lineRule="auto"/>
      </w:pPr>
      <w:r>
        <w:t>We estimated the overdispersion parameter for GSI mixture observations to be 0.032 (95% credible interval: 0.029 - 0.035) (Fig. S3.17). Overdispersion values between 0 and 1 indicate overdispersion and act to decrease the effective sample size of GSI observations; the low mean estimate of 0.032 indicates the model is putting relatively little weight on the GSI observations compared to other likelihood components in the model.</w:t>
      </w:r>
    </w:p>
    <w:p w14:paraId="2B3E427A" w14:textId="77777777" w:rsidR="006D291A" w:rsidRDefault="00BD6F83">
      <w:pPr>
        <w:spacing w:line="360" w:lineRule="auto"/>
      </w:pPr>
      <w:r>
        <w:rPr>
          <w:noProof/>
        </w:rPr>
        <w:drawing>
          <wp:inline distT="114300" distB="114300" distL="114300" distR="114300" wp14:anchorId="2B3E4339" wp14:editId="2B3E433A">
            <wp:extent cx="5943600" cy="5943600"/>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5943600" cy="5943600"/>
                    </a:xfrm>
                    <a:prstGeom prst="rect">
                      <a:avLst/>
                    </a:prstGeom>
                    <a:ln/>
                  </pic:spPr>
                </pic:pic>
              </a:graphicData>
            </a:graphic>
          </wp:inline>
        </w:drawing>
      </w:r>
    </w:p>
    <w:p w14:paraId="2B3E427B" w14:textId="77777777" w:rsidR="006D291A" w:rsidRDefault="00BD6F83">
      <w:pPr>
        <w:rPr>
          <w:b/>
          <w:sz w:val="28"/>
          <w:szCs w:val="28"/>
        </w:rPr>
      </w:pPr>
      <w:r>
        <w:t>Figure S3.17. Parameter estimates for the GSI overdispersion term. Dashed blue, purple, and red lines indicate the median, mean, and 95% credible intervals, respectively.</w:t>
      </w:r>
    </w:p>
    <w:p w14:paraId="2B3E427C" w14:textId="77777777" w:rsidR="006D291A" w:rsidRDefault="00BD6F83">
      <w:pPr>
        <w:rPr>
          <w:sz w:val="32"/>
          <w:szCs w:val="32"/>
        </w:rPr>
      </w:pPr>
      <w:r>
        <w:rPr>
          <w:sz w:val="32"/>
          <w:szCs w:val="32"/>
        </w:rPr>
        <w:lastRenderedPageBreak/>
        <w:t>Juvenile mortality rates</w:t>
      </w:r>
    </w:p>
    <w:p w14:paraId="2B3E427D" w14:textId="77777777" w:rsidR="006D291A" w:rsidRDefault="006D291A">
      <w:pPr>
        <w:rPr>
          <w:sz w:val="32"/>
          <w:szCs w:val="32"/>
        </w:rPr>
      </w:pPr>
    </w:p>
    <w:p w14:paraId="2B3E427E" w14:textId="77777777" w:rsidR="006D291A" w:rsidRDefault="00BD6F83">
      <w:pPr>
        <w:spacing w:line="360" w:lineRule="auto"/>
      </w:pPr>
      <w:r>
        <w:t>We again estimate a large amount of variation in early mortality among release groups, with an overall estimated hierarchical median of 4.16 (Fig. S3.18). This translates to a lower juvenile survival rate for the joint CWT and GSI model compared to the no GSI model.</w:t>
      </w:r>
    </w:p>
    <w:p w14:paraId="2B3E427F" w14:textId="77777777" w:rsidR="006D291A" w:rsidRDefault="006D291A">
      <w:pPr>
        <w:spacing w:line="360" w:lineRule="auto"/>
      </w:pPr>
    </w:p>
    <w:p w14:paraId="2B3E4280" w14:textId="77777777" w:rsidR="006D291A" w:rsidRDefault="00BD6F83">
      <w:pPr>
        <w:rPr>
          <w:sz w:val="32"/>
          <w:szCs w:val="32"/>
        </w:rPr>
      </w:pPr>
      <w:r>
        <w:rPr>
          <w:noProof/>
          <w:sz w:val="32"/>
          <w:szCs w:val="32"/>
        </w:rPr>
        <w:drawing>
          <wp:inline distT="114300" distB="114300" distL="114300" distR="114300" wp14:anchorId="2B3E433B" wp14:editId="2B3E433C">
            <wp:extent cx="5291138" cy="5291138"/>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5291138" cy="5291138"/>
                    </a:xfrm>
                    <a:prstGeom prst="rect">
                      <a:avLst/>
                    </a:prstGeom>
                    <a:ln/>
                  </pic:spPr>
                </pic:pic>
              </a:graphicData>
            </a:graphic>
          </wp:inline>
        </w:drawing>
      </w:r>
    </w:p>
    <w:p w14:paraId="2B3E4281" w14:textId="53FBDC76" w:rsidR="006D291A" w:rsidRDefault="00BD6F83">
      <w:r>
        <w:t>Figure S3.18: The estimated distribution of juvenile mortality rates</w:t>
      </w:r>
      <w:r w:rsidR="007615BB">
        <w:t xml:space="preserve"> </w:t>
      </w:r>
      <m:oMath>
        <m:r>
          <w:rPr>
            <w:rFonts w:ascii="Cambria Math" w:hAnsi="Cambria Math"/>
          </w:rPr>
          <m:t>ϕ</m:t>
        </m:r>
      </m:oMath>
      <w:r w:rsidR="00401162">
        <w:t xml:space="preserve">, from release </w:t>
      </w:r>
      <w:r w:rsidR="0017127E">
        <w:t>to reaching model age-1,</w:t>
      </w:r>
      <w:r>
        <w:t xml:space="preserve"> for each of the 284 release groups in the model. The dashed line indicates the estimated hierarchical median value among all the release groups.</w:t>
      </w:r>
    </w:p>
    <w:p w14:paraId="2B3E4282" w14:textId="77777777" w:rsidR="006D291A" w:rsidRDefault="006D291A">
      <w:pPr>
        <w:rPr>
          <w:sz w:val="32"/>
          <w:szCs w:val="32"/>
        </w:rPr>
      </w:pPr>
    </w:p>
    <w:p w14:paraId="2B3E4283" w14:textId="77777777" w:rsidR="006D291A" w:rsidRDefault="00BD6F83">
      <w:pPr>
        <w:rPr>
          <w:sz w:val="32"/>
          <w:szCs w:val="32"/>
        </w:rPr>
      </w:pPr>
      <w:r>
        <w:br w:type="page"/>
      </w:r>
    </w:p>
    <w:p w14:paraId="2B3E4284" w14:textId="77777777" w:rsidR="006D291A" w:rsidRDefault="00BD6F83">
      <w:pPr>
        <w:rPr>
          <w:sz w:val="32"/>
          <w:szCs w:val="32"/>
        </w:rPr>
      </w:pPr>
      <w:r>
        <w:rPr>
          <w:sz w:val="32"/>
          <w:szCs w:val="32"/>
        </w:rPr>
        <w:lastRenderedPageBreak/>
        <w:t>Spawning age distributions</w:t>
      </w:r>
    </w:p>
    <w:p w14:paraId="2B3E4285" w14:textId="77777777" w:rsidR="006D291A" w:rsidRDefault="006D291A"/>
    <w:p w14:paraId="2B3E4286" w14:textId="77777777" w:rsidR="006D291A" w:rsidRDefault="00BD6F83">
      <w:pPr>
        <w:spacing w:line="360" w:lineRule="auto"/>
      </w:pPr>
      <w:r>
        <w:t>We present estimated spawning age distributio</w:t>
      </w:r>
      <w:r w:rsidRPr="009A6DA3">
        <w:t>ns of total release</w:t>
      </w:r>
      <w:r>
        <w:t xml:space="preserve"> groups for one representative brood year for each origin region (Fig. S3.19). Similar to results for CWT release groups from the no GSI model, the fraction spawning at each age for a single brood year varies substantially among stocks with the SFB stock generally having younger age at maturity than the more northerly origin stocks.</w:t>
      </w:r>
    </w:p>
    <w:p w14:paraId="2B3E4287" w14:textId="77777777" w:rsidR="006D291A" w:rsidRDefault="00BD6F83">
      <w:r>
        <w:rPr>
          <w:noProof/>
        </w:rPr>
        <w:drawing>
          <wp:inline distT="114300" distB="114300" distL="114300" distR="114300" wp14:anchorId="2B3E433D" wp14:editId="2B3E433E">
            <wp:extent cx="5214938" cy="5214938"/>
            <wp:effectExtent l="0" t="0" r="0" b="0"/>
            <wp:docPr id="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5214938" cy="5214938"/>
                    </a:xfrm>
                    <a:prstGeom prst="rect">
                      <a:avLst/>
                    </a:prstGeom>
                    <a:ln/>
                  </pic:spPr>
                </pic:pic>
              </a:graphicData>
            </a:graphic>
          </wp:inline>
        </w:drawing>
      </w:r>
    </w:p>
    <w:p w14:paraId="2B3E4288" w14:textId="57F02D95" w:rsidR="006D291A" w:rsidRDefault="00BD6F83">
      <w:r>
        <w:t>Figure S3.19: Estimated proportion of cohort observed in freshwater. Each panel shows an example cohort from a single brood year from a different stock with the estimated proportional contribution of individuals from each age to freshwater over the course of a life</w:t>
      </w:r>
      <w:r w:rsidR="009A6DA3">
        <w:t xml:space="preserve"> </w:t>
      </w:r>
      <w:r>
        <w:t>cycle. Red</w:t>
      </w:r>
      <w:r w:rsidR="009A6DA3">
        <w:t xml:space="preserve"> </w:t>
      </w:r>
      <w:r>
        <w:t>bars indicate long-term mean spawning proportions by age for each stock and blue bars indicate posterior mean estimate of proportions for the release group and year designated in the title. \Note that the realized spawning distribution for a single year may differ substantially from the long-term mean spawning age-distribution.</w:t>
      </w:r>
      <w:r>
        <w:br w:type="page"/>
      </w:r>
    </w:p>
    <w:p w14:paraId="2B3E4289" w14:textId="77777777" w:rsidR="006D291A" w:rsidRDefault="00BD6F83">
      <w:pPr>
        <w:rPr>
          <w:sz w:val="32"/>
          <w:szCs w:val="32"/>
        </w:rPr>
      </w:pPr>
      <w:r>
        <w:rPr>
          <w:sz w:val="32"/>
          <w:szCs w:val="32"/>
        </w:rPr>
        <w:lastRenderedPageBreak/>
        <w:t>Vulnerability by age</w:t>
      </w:r>
    </w:p>
    <w:p w14:paraId="2B3E428A" w14:textId="77777777" w:rsidR="006D291A" w:rsidRDefault="006D291A">
      <w:pPr>
        <w:rPr>
          <w:b/>
        </w:rPr>
      </w:pPr>
    </w:p>
    <w:p w14:paraId="2B3E428B" w14:textId="77777777" w:rsidR="006D291A" w:rsidRDefault="00BD6F83">
      <w:pPr>
        <w:spacing w:line="360" w:lineRule="auto"/>
      </w:pPr>
      <w:r>
        <w:t>The estimated fraction of Chinook salmon vulnerable for each gear type and model age, associated with a selection of retention sizes, is shown in Figure S3.20.</w:t>
      </w:r>
    </w:p>
    <w:p w14:paraId="2B3E428C" w14:textId="77777777" w:rsidR="006D291A" w:rsidRDefault="00BD6F83">
      <w:pPr>
        <w:spacing w:line="360" w:lineRule="auto"/>
      </w:pPr>
      <w:r>
        <w:rPr>
          <w:noProof/>
        </w:rPr>
        <w:drawing>
          <wp:inline distT="114300" distB="114300" distL="114300" distR="114300" wp14:anchorId="2B3E433F" wp14:editId="2B3E4340">
            <wp:extent cx="5943600" cy="41529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5943600" cy="4152900"/>
                    </a:xfrm>
                    <a:prstGeom prst="rect">
                      <a:avLst/>
                    </a:prstGeom>
                    <a:ln/>
                  </pic:spPr>
                </pic:pic>
              </a:graphicData>
            </a:graphic>
          </wp:inline>
        </w:drawing>
      </w:r>
    </w:p>
    <w:p w14:paraId="2B3E428D" w14:textId="38A76D29" w:rsidR="006D291A" w:rsidRDefault="00BD6F83">
      <w:r>
        <w:t xml:space="preserve">Figure S3.20. Estimated vulnerability to each gear type (left panel: troll and trawl gear types: right panel: recreational) as a function of ocean age. Posterior means are shown. Different colors correspond to vulnerability curves associated with different retention lengths (total length in inches). As most retention lengths are reported in inches, we retain these units. </w:t>
      </w:r>
    </w:p>
    <w:p w14:paraId="2B3E428E" w14:textId="77777777" w:rsidR="006D291A" w:rsidRDefault="006D291A"/>
    <w:p w14:paraId="2B3E428F" w14:textId="77777777" w:rsidR="006D291A" w:rsidRDefault="00BD6F83">
      <w:pPr>
        <w:rPr>
          <w:sz w:val="32"/>
          <w:szCs w:val="32"/>
        </w:rPr>
      </w:pPr>
      <w:r>
        <w:br w:type="page"/>
      </w:r>
    </w:p>
    <w:p w14:paraId="2B3E4290" w14:textId="77777777" w:rsidR="006D291A" w:rsidRDefault="00BD6F83">
      <w:pPr>
        <w:rPr>
          <w:sz w:val="32"/>
          <w:szCs w:val="32"/>
        </w:rPr>
      </w:pPr>
      <w:r>
        <w:rPr>
          <w:sz w:val="32"/>
          <w:szCs w:val="32"/>
        </w:rPr>
        <w:lastRenderedPageBreak/>
        <w:t>Catchability</w:t>
      </w:r>
    </w:p>
    <w:p w14:paraId="2B3E4291" w14:textId="77777777" w:rsidR="006D291A" w:rsidRDefault="006D291A"/>
    <w:p w14:paraId="2B3E4292" w14:textId="77777777" w:rsidR="006D291A" w:rsidRDefault="00BD6F83">
      <w:pPr>
        <w:spacing w:line="360" w:lineRule="auto"/>
      </w:pPr>
      <w:r>
        <w:t>Trends in catchability parameters for each gear type</w:t>
      </w:r>
      <w:r>
        <w:rPr>
          <w:i/>
        </w:rPr>
        <w:t xml:space="preserve"> </w:t>
      </w:r>
      <w:r>
        <w:t>are similar to those reported for the no GSI model (Fig. S3.21). However, the absolute catchability values are higher, resulting in higher expected fishing mortality rates.</w:t>
      </w:r>
    </w:p>
    <w:p w14:paraId="2B3E4293" w14:textId="77777777" w:rsidR="006D291A" w:rsidRDefault="00BD6F83">
      <w:pPr>
        <w:spacing w:line="360" w:lineRule="auto"/>
      </w:pPr>
      <w:r>
        <w:rPr>
          <w:noProof/>
        </w:rPr>
        <w:drawing>
          <wp:inline distT="114300" distB="114300" distL="114300" distR="114300" wp14:anchorId="2B3E4341" wp14:editId="2B3E4342">
            <wp:extent cx="5943600" cy="4152900"/>
            <wp:effectExtent l="0" t="0" r="0" b="0"/>
            <wp:docPr id="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5943600" cy="4152900"/>
                    </a:xfrm>
                    <a:prstGeom prst="rect">
                      <a:avLst/>
                    </a:prstGeom>
                    <a:ln/>
                  </pic:spPr>
                </pic:pic>
              </a:graphicData>
            </a:graphic>
          </wp:inline>
        </w:drawing>
      </w:r>
    </w:p>
    <w:p w14:paraId="2B3E4294" w14:textId="77777777" w:rsidR="006D291A" w:rsidRDefault="00BD6F83">
      <w:r>
        <w:t>Figure S3.21: Estimates of catchability (log q) for each fleet by year. Point estimates of log q for each fleet are shown.</w:t>
      </w:r>
    </w:p>
    <w:p w14:paraId="2B3E4295" w14:textId="77777777" w:rsidR="006D291A" w:rsidRDefault="006D291A"/>
    <w:p w14:paraId="2B3E4296" w14:textId="77777777" w:rsidR="006D291A" w:rsidRDefault="00BD6F83">
      <w:r>
        <w:br w:type="page"/>
      </w:r>
    </w:p>
    <w:p w14:paraId="2B3E4297" w14:textId="77777777" w:rsidR="006D291A" w:rsidRDefault="00BD6F83">
      <w:pPr>
        <w:rPr>
          <w:sz w:val="32"/>
          <w:szCs w:val="32"/>
        </w:rPr>
      </w:pPr>
      <w:r>
        <w:rPr>
          <w:sz w:val="32"/>
          <w:szCs w:val="32"/>
        </w:rPr>
        <w:lastRenderedPageBreak/>
        <w:t xml:space="preserve">Diagnostics - </w:t>
      </w:r>
      <w:proofErr w:type="spellStart"/>
      <w:r>
        <w:rPr>
          <w:i/>
          <w:sz w:val="32"/>
          <w:szCs w:val="32"/>
        </w:rPr>
        <w:t>CWT+GSI+Age</w:t>
      </w:r>
      <w:proofErr w:type="spellEnd"/>
      <w:r>
        <w:rPr>
          <w:sz w:val="32"/>
          <w:szCs w:val="32"/>
        </w:rPr>
        <w:t xml:space="preserve"> Model</w:t>
      </w:r>
    </w:p>
    <w:p w14:paraId="2B3E4298" w14:textId="77777777" w:rsidR="006D291A" w:rsidRDefault="006D291A"/>
    <w:p w14:paraId="2B3E4299" w14:textId="77777777" w:rsidR="006D291A" w:rsidRDefault="00BD6F83">
      <w:pPr>
        <w:rPr>
          <w:sz w:val="28"/>
          <w:szCs w:val="28"/>
        </w:rPr>
      </w:pPr>
      <w:r>
        <w:rPr>
          <w:sz w:val="28"/>
          <w:szCs w:val="28"/>
        </w:rPr>
        <w:t>MCMC Information</w:t>
      </w:r>
    </w:p>
    <w:p w14:paraId="2B3E429A" w14:textId="77777777" w:rsidR="006D291A" w:rsidRDefault="006D291A">
      <w:pPr>
        <w:rPr>
          <w:sz w:val="28"/>
          <w:szCs w:val="28"/>
        </w:rPr>
      </w:pPr>
    </w:p>
    <w:p w14:paraId="2B3E429B" w14:textId="77777777" w:rsidR="006D291A" w:rsidRDefault="00BD6F83">
      <w:pPr>
        <w:spacing w:line="360" w:lineRule="auto"/>
      </w:pPr>
      <w:r>
        <w:t>We implemented our statistical model in stan (</w:t>
      </w:r>
      <w:proofErr w:type="spellStart"/>
      <w:r>
        <w:t>rstan</w:t>
      </w:r>
      <w:proofErr w:type="spellEnd"/>
      <w:r>
        <w:t xml:space="preserve"> v2.21.2; Stan Development Team, 2022), running 6 chains with a warm up of 400 iterations and 1400 sampling iterations. There were no divergent transitions during the sampling phase of the MCMC. Visually, chains appeared to mix well and converge for most parameters, but some parameters exhibited noticeable divergences among chains. This variability in convergence was indicated by median </w:t>
      </w:r>
      <m:oMath>
        <m:acc>
          <m:accPr>
            <m:ctrlPr>
              <w:rPr>
                <w:rFonts w:ascii="Cambria Math" w:hAnsi="Cambria Math"/>
              </w:rPr>
            </m:ctrlPr>
          </m:accPr>
          <m:e>
            <m:r>
              <w:rPr>
                <w:rFonts w:ascii="Cambria Math" w:hAnsi="Cambria Math"/>
              </w:rPr>
              <m:t>R</m:t>
            </m:r>
          </m:e>
        </m:acc>
        <m:r>
          <w:rPr>
            <w:rFonts w:ascii="Cambria Math" w:hAnsi="Cambria Math"/>
          </w:rPr>
          <m:t>=1.01</m:t>
        </m:r>
      </m:oMath>
      <w:r>
        <w:t xml:space="preserve"> and </w:t>
      </w:r>
      <m:oMath>
        <m:acc>
          <m:accPr>
            <m:ctrlPr>
              <w:rPr>
                <w:rFonts w:ascii="Cambria Math" w:hAnsi="Cambria Math"/>
              </w:rPr>
            </m:ctrlPr>
          </m:accPr>
          <m:e>
            <m:r>
              <w:rPr>
                <w:rFonts w:ascii="Cambria Math" w:hAnsi="Cambria Math"/>
              </w:rPr>
              <m:t>R</m:t>
            </m:r>
          </m:e>
        </m:acc>
        <m:r>
          <w:rPr>
            <w:rFonts w:ascii="Cambria Math" w:hAnsi="Cambria Math"/>
          </w:rPr>
          <m:t>&lt;1.01</m:t>
        </m:r>
      </m:oMath>
      <w:r>
        <w:t xml:space="preserve"> and </w:t>
      </w:r>
      <m:oMath>
        <m:acc>
          <m:accPr>
            <m:ctrlPr>
              <w:rPr>
                <w:rFonts w:ascii="Cambria Math" w:hAnsi="Cambria Math"/>
              </w:rPr>
            </m:ctrlPr>
          </m:accPr>
          <m:e>
            <m:r>
              <w:rPr>
                <w:rFonts w:ascii="Cambria Math" w:hAnsi="Cambria Math"/>
              </w:rPr>
              <m:t>R</m:t>
            </m:r>
          </m:e>
        </m:acc>
        <m:r>
          <w:rPr>
            <w:rFonts w:ascii="Cambria Math" w:hAnsi="Cambria Math"/>
          </w:rPr>
          <m:t>&lt;1.1</m:t>
        </m:r>
      </m:oMath>
      <w:r>
        <w:t xml:space="preserve"> for 49% and 90% of tracked parameters (Table S3.2). Addition of age structure constraints markedly improved convergence for estimates of total release group abundances, as well as other parameters, but very high R-hat values again occurred for model parameters related to estimates of initial total release group abundance. Estimated effective sample size varied widely among parameters as well, with a median of 2658 but a mean of 4559.</w:t>
      </w:r>
    </w:p>
    <w:p w14:paraId="2B3E429C" w14:textId="77777777" w:rsidR="006D291A" w:rsidRDefault="006D291A">
      <w:pPr>
        <w:spacing w:line="360" w:lineRule="auto"/>
        <w:rPr>
          <w:highlight w:val="yellow"/>
        </w:rPr>
      </w:pPr>
    </w:p>
    <w:p w14:paraId="2B3E429D" w14:textId="77777777" w:rsidR="006D291A" w:rsidRDefault="006D291A">
      <w:pPr>
        <w:spacing w:line="360" w:lineRule="auto"/>
        <w:rPr>
          <w:highlight w:val="yellow"/>
        </w:rPr>
      </w:pPr>
    </w:p>
    <w:p w14:paraId="2B3E429E" w14:textId="34119A4D" w:rsidR="006D291A" w:rsidRDefault="00BD6F83">
      <w:pPr>
        <w:spacing w:line="360" w:lineRule="auto"/>
      </w:pPr>
      <w:r>
        <w:t>All of the parameters were substantially different from their prior distributions and none of the estimated parameters were estimated to run up against hard boundaries (e.g.</w:t>
      </w:r>
      <w:r w:rsidR="009A6DA3">
        <w:t>,</w:t>
      </w:r>
      <w:r>
        <w:t xml:space="preserve"> no variance parameters were estimated to be very close to 0).</w:t>
      </w:r>
    </w:p>
    <w:p w14:paraId="2B3E429F" w14:textId="77777777" w:rsidR="006D291A" w:rsidRDefault="006D291A">
      <w:pPr>
        <w:spacing w:line="360" w:lineRule="auto"/>
      </w:pPr>
    </w:p>
    <w:p w14:paraId="2B3E42A0" w14:textId="77777777" w:rsidR="006D291A" w:rsidRDefault="00BD6F83">
      <w:pPr>
        <w:spacing w:line="360" w:lineRule="auto"/>
      </w:pPr>
      <w:r>
        <w:br w:type="page"/>
      </w:r>
    </w:p>
    <w:p w14:paraId="2B3E42A1" w14:textId="77777777" w:rsidR="006D291A" w:rsidRDefault="00BD6F83">
      <w:pPr>
        <w:spacing w:line="360" w:lineRule="auto"/>
      </w:pPr>
      <w:r>
        <w:lastRenderedPageBreak/>
        <w:t xml:space="preserve">Table S3.2. Summary of R-hat convergence diagnostics for the </w:t>
      </w:r>
      <w:proofErr w:type="spellStart"/>
      <w:r>
        <w:rPr>
          <w:i/>
        </w:rPr>
        <w:t>CWT+GSI+Age</w:t>
      </w:r>
      <w:proofErr w:type="spellEnd"/>
      <w:r>
        <w:t xml:space="preserve"> model.</w:t>
      </w:r>
    </w:p>
    <w:p w14:paraId="2B3E42A2" w14:textId="77777777" w:rsidR="006D291A" w:rsidRDefault="006D291A">
      <w:pPr>
        <w:spacing w:line="360" w:lineRule="auto"/>
      </w:pPr>
    </w:p>
    <w:tbl>
      <w:tblPr>
        <w:tblStyle w:val="a0"/>
        <w:tblW w:w="9360" w:type="dxa"/>
        <w:tblBorders>
          <w:top w:val="single" w:sz="8" w:space="0" w:color="000000"/>
          <w:left w:val="single" w:sz="8" w:space="0" w:color="000000"/>
          <w:bottom w:val="single" w:sz="8" w:space="0" w:color="000000"/>
          <w:right w:val="single" w:sz="8" w:space="0" w:color="000000"/>
        </w:tblBorders>
        <w:tblLayout w:type="fixed"/>
        <w:tblLook w:val="0600" w:firstRow="0" w:lastRow="0" w:firstColumn="0" w:lastColumn="0" w:noHBand="1" w:noVBand="1"/>
      </w:tblPr>
      <w:tblGrid>
        <w:gridCol w:w="3960"/>
        <w:gridCol w:w="945"/>
        <w:gridCol w:w="795"/>
        <w:gridCol w:w="900"/>
        <w:gridCol w:w="1365"/>
        <w:gridCol w:w="1395"/>
      </w:tblGrid>
      <w:tr w:rsidR="006D291A" w14:paraId="2B3E42A9" w14:textId="77777777" w:rsidTr="009A6DA3">
        <w:tc>
          <w:tcPr>
            <w:tcW w:w="3960" w:type="dxa"/>
            <w:tcBorders>
              <w:top w:val="single" w:sz="8" w:space="0" w:color="000000"/>
              <w:left w:val="nil"/>
              <w:bottom w:val="single" w:sz="4" w:space="0" w:color="auto"/>
            </w:tcBorders>
            <w:shd w:val="clear" w:color="auto" w:fill="auto"/>
            <w:tcMar>
              <w:top w:w="100" w:type="dxa"/>
              <w:left w:w="100" w:type="dxa"/>
              <w:bottom w:w="100" w:type="dxa"/>
              <w:right w:w="100" w:type="dxa"/>
            </w:tcMar>
          </w:tcPr>
          <w:p w14:paraId="2B3E42A3" w14:textId="77777777" w:rsidR="006D291A" w:rsidRDefault="00BD6F83">
            <w:pPr>
              <w:widowControl w:val="0"/>
            </w:pPr>
            <w:r>
              <w:t>Parameter subset</w:t>
            </w:r>
          </w:p>
        </w:tc>
        <w:tc>
          <w:tcPr>
            <w:tcW w:w="945" w:type="dxa"/>
            <w:tcBorders>
              <w:top w:val="single" w:sz="8" w:space="0" w:color="000000"/>
              <w:bottom w:val="single" w:sz="4" w:space="0" w:color="auto"/>
            </w:tcBorders>
            <w:shd w:val="clear" w:color="auto" w:fill="auto"/>
            <w:tcMar>
              <w:top w:w="100" w:type="dxa"/>
              <w:left w:w="100" w:type="dxa"/>
              <w:bottom w:w="100" w:type="dxa"/>
              <w:right w:w="100" w:type="dxa"/>
            </w:tcMar>
          </w:tcPr>
          <w:p w14:paraId="2B3E42A4" w14:textId="77777777" w:rsidR="006D291A" w:rsidRDefault="00BD6F83">
            <w:pPr>
              <w:widowControl w:val="0"/>
            </w:pPr>
            <w:r>
              <w:t>Median</w:t>
            </w:r>
          </w:p>
        </w:tc>
        <w:tc>
          <w:tcPr>
            <w:tcW w:w="795" w:type="dxa"/>
            <w:tcBorders>
              <w:top w:val="single" w:sz="8" w:space="0" w:color="000000"/>
              <w:bottom w:val="single" w:sz="4" w:space="0" w:color="auto"/>
            </w:tcBorders>
            <w:shd w:val="clear" w:color="auto" w:fill="auto"/>
            <w:tcMar>
              <w:top w:w="100" w:type="dxa"/>
              <w:left w:w="100" w:type="dxa"/>
              <w:bottom w:w="100" w:type="dxa"/>
              <w:right w:w="100" w:type="dxa"/>
            </w:tcMar>
          </w:tcPr>
          <w:p w14:paraId="2B3E42A5" w14:textId="77777777" w:rsidR="006D291A" w:rsidRDefault="00BD6F83">
            <w:pPr>
              <w:widowControl w:val="0"/>
            </w:pPr>
            <w:r>
              <w:t>Mean</w:t>
            </w:r>
          </w:p>
        </w:tc>
        <w:tc>
          <w:tcPr>
            <w:tcW w:w="900" w:type="dxa"/>
            <w:tcBorders>
              <w:top w:val="single" w:sz="8" w:space="0" w:color="000000"/>
              <w:bottom w:val="single" w:sz="4" w:space="0" w:color="auto"/>
            </w:tcBorders>
            <w:shd w:val="clear" w:color="auto" w:fill="auto"/>
            <w:tcMar>
              <w:top w:w="100" w:type="dxa"/>
              <w:left w:w="100" w:type="dxa"/>
              <w:bottom w:w="100" w:type="dxa"/>
              <w:right w:w="100" w:type="dxa"/>
            </w:tcMar>
          </w:tcPr>
          <w:p w14:paraId="2B3E42A6" w14:textId="77777777" w:rsidR="006D291A" w:rsidRDefault="00BD6F83">
            <w:pPr>
              <w:widowControl w:val="0"/>
            </w:pPr>
            <w:r>
              <w:t>Max</w:t>
            </w:r>
          </w:p>
        </w:tc>
        <w:tc>
          <w:tcPr>
            <w:tcW w:w="1365" w:type="dxa"/>
            <w:tcBorders>
              <w:top w:val="single" w:sz="8" w:space="0" w:color="000000"/>
              <w:bottom w:val="single" w:sz="4" w:space="0" w:color="auto"/>
            </w:tcBorders>
            <w:shd w:val="clear" w:color="auto" w:fill="auto"/>
            <w:tcMar>
              <w:top w:w="100" w:type="dxa"/>
              <w:left w:w="100" w:type="dxa"/>
              <w:bottom w:w="100" w:type="dxa"/>
              <w:right w:w="100" w:type="dxa"/>
            </w:tcMar>
          </w:tcPr>
          <w:p w14:paraId="2B3E42A7" w14:textId="77777777" w:rsidR="006D291A" w:rsidRDefault="00BD6F83">
            <w:pPr>
              <w:widowControl w:val="0"/>
            </w:pPr>
            <w:r>
              <w:t>Proportion R-hat&lt;1.01</w:t>
            </w:r>
          </w:p>
        </w:tc>
        <w:tc>
          <w:tcPr>
            <w:tcW w:w="1395" w:type="dxa"/>
            <w:tcBorders>
              <w:top w:val="single" w:sz="8" w:space="0" w:color="000000"/>
              <w:bottom w:val="single" w:sz="4" w:space="0" w:color="auto"/>
              <w:right w:val="nil"/>
            </w:tcBorders>
            <w:shd w:val="clear" w:color="auto" w:fill="auto"/>
            <w:tcMar>
              <w:top w:w="100" w:type="dxa"/>
              <w:left w:w="100" w:type="dxa"/>
              <w:bottom w:w="100" w:type="dxa"/>
              <w:right w:w="100" w:type="dxa"/>
            </w:tcMar>
          </w:tcPr>
          <w:p w14:paraId="2B3E42A8" w14:textId="77777777" w:rsidR="006D291A" w:rsidRDefault="00BD6F83">
            <w:pPr>
              <w:widowControl w:val="0"/>
            </w:pPr>
            <w:r>
              <w:t>Proportion R-hat&lt;1.1</w:t>
            </w:r>
          </w:p>
        </w:tc>
      </w:tr>
      <w:tr w:rsidR="006D291A" w14:paraId="2B3E42B0" w14:textId="77777777" w:rsidTr="009A6DA3">
        <w:tc>
          <w:tcPr>
            <w:tcW w:w="3960" w:type="dxa"/>
            <w:tcBorders>
              <w:top w:val="single" w:sz="4" w:space="0" w:color="auto"/>
              <w:left w:val="nil"/>
            </w:tcBorders>
            <w:shd w:val="clear" w:color="auto" w:fill="auto"/>
            <w:tcMar>
              <w:top w:w="100" w:type="dxa"/>
              <w:left w:w="100" w:type="dxa"/>
              <w:bottom w:w="100" w:type="dxa"/>
              <w:right w:w="100" w:type="dxa"/>
            </w:tcMar>
          </w:tcPr>
          <w:p w14:paraId="2B3E42AA" w14:textId="77777777" w:rsidR="006D291A" w:rsidRDefault="00BD6F83">
            <w:pPr>
              <w:widowControl w:val="0"/>
            </w:pPr>
            <w:r>
              <w:t>All</w:t>
            </w:r>
          </w:p>
        </w:tc>
        <w:tc>
          <w:tcPr>
            <w:tcW w:w="945" w:type="dxa"/>
            <w:tcBorders>
              <w:top w:val="single" w:sz="4" w:space="0" w:color="auto"/>
            </w:tcBorders>
            <w:shd w:val="clear" w:color="auto" w:fill="auto"/>
            <w:tcMar>
              <w:top w:w="100" w:type="dxa"/>
              <w:left w:w="100" w:type="dxa"/>
              <w:bottom w:w="100" w:type="dxa"/>
              <w:right w:w="100" w:type="dxa"/>
            </w:tcMar>
          </w:tcPr>
          <w:p w14:paraId="2B3E42AB" w14:textId="77777777" w:rsidR="006D291A" w:rsidRDefault="00BD6F83">
            <w:pPr>
              <w:widowControl w:val="0"/>
            </w:pPr>
            <w:r>
              <w:t>1.01</w:t>
            </w:r>
          </w:p>
        </w:tc>
        <w:tc>
          <w:tcPr>
            <w:tcW w:w="795" w:type="dxa"/>
            <w:tcBorders>
              <w:top w:val="single" w:sz="4" w:space="0" w:color="auto"/>
            </w:tcBorders>
            <w:shd w:val="clear" w:color="auto" w:fill="auto"/>
            <w:tcMar>
              <w:top w:w="100" w:type="dxa"/>
              <w:left w:w="100" w:type="dxa"/>
              <w:bottom w:w="100" w:type="dxa"/>
              <w:right w:w="100" w:type="dxa"/>
            </w:tcMar>
          </w:tcPr>
          <w:p w14:paraId="2B3E42AC" w14:textId="77777777" w:rsidR="006D291A" w:rsidRDefault="00BD6F83">
            <w:pPr>
              <w:widowControl w:val="0"/>
            </w:pPr>
            <w:r>
              <w:t>1.19</w:t>
            </w:r>
          </w:p>
        </w:tc>
        <w:tc>
          <w:tcPr>
            <w:tcW w:w="900" w:type="dxa"/>
            <w:tcBorders>
              <w:top w:val="single" w:sz="4" w:space="0" w:color="auto"/>
            </w:tcBorders>
            <w:shd w:val="clear" w:color="auto" w:fill="auto"/>
            <w:tcMar>
              <w:top w:w="100" w:type="dxa"/>
              <w:left w:w="100" w:type="dxa"/>
              <w:bottom w:w="100" w:type="dxa"/>
              <w:right w:w="100" w:type="dxa"/>
            </w:tcMar>
          </w:tcPr>
          <w:p w14:paraId="2B3E42AD" w14:textId="77777777" w:rsidR="006D291A" w:rsidRDefault="00BD6F83">
            <w:pPr>
              <w:widowControl w:val="0"/>
            </w:pPr>
            <w:r>
              <w:t>179.58</w:t>
            </w:r>
          </w:p>
        </w:tc>
        <w:tc>
          <w:tcPr>
            <w:tcW w:w="1365" w:type="dxa"/>
            <w:tcBorders>
              <w:top w:val="single" w:sz="4" w:space="0" w:color="auto"/>
            </w:tcBorders>
            <w:shd w:val="clear" w:color="auto" w:fill="auto"/>
            <w:tcMar>
              <w:top w:w="100" w:type="dxa"/>
              <w:left w:w="100" w:type="dxa"/>
              <w:bottom w:w="100" w:type="dxa"/>
              <w:right w:w="100" w:type="dxa"/>
            </w:tcMar>
          </w:tcPr>
          <w:p w14:paraId="2B3E42AE" w14:textId="77777777" w:rsidR="006D291A" w:rsidRDefault="00BD6F83">
            <w:pPr>
              <w:widowControl w:val="0"/>
            </w:pPr>
            <w:r>
              <w:t>0.49</w:t>
            </w:r>
          </w:p>
        </w:tc>
        <w:tc>
          <w:tcPr>
            <w:tcW w:w="1395" w:type="dxa"/>
            <w:tcBorders>
              <w:top w:val="single" w:sz="4" w:space="0" w:color="auto"/>
              <w:right w:val="nil"/>
            </w:tcBorders>
            <w:shd w:val="clear" w:color="auto" w:fill="auto"/>
            <w:tcMar>
              <w:top w:w="100" w:type="dxa"/>
              <w:left w:w="100" w:type="dxa"/>
              <w:bottom w:w="100" w:type="dxa"/>
              <w:right w:w="100" w:type="dxa"/>
            </w:tcMar>
          </w:tcPr>
          <w:p w14:paraId="2B3E42AF" w14:textId="77777777" w:rsidR="006D291A" w:rsidRDefault="00BD6F83">
            <w:pPr>
              <w:widowControl w:val="0"/>
            </w:pPr>
            <w:r>
              <w:t>0.90</w:t>
            </w:r>
          </w:p>
        </w:tc>
      </w:tr>
      <w:tr w:rsidR="006D291A" w14:paraId="2B3E42B7" w14:textId="77777777" w:rsidTr="009A6DA3">
        <w:tc>
          <w:tcPr>
            <w:tcW w:w="3960" w:type="dxa"/>
            <w:tcBorders>
              <w:left w:val="nil"/>
            </w:tcBorders>
            <w:shd w:val="clear" w:color="auto" w:fill="auto"/>
            <w:tcMar>
              <w:top w:w="100" w:type="dxa"/>
              <w:left w:w="100" w:type="dxa"/>
              <w:bottom w:w="100" w:type="dxa"/>
              <w:right w:w="100" w:type="dxa"/>
            </w:tcMar>
          </w:tcPr>
          <w:p w14:paraId="2B3E42B1" w14:textId="77777777" w:rsidR="006D291A" w:rsidRDefault="00BD6F83">
            <w:pPr>
              <w:widowControl w:val="0"/>
            </w:pPr>
            <w:r>
              <w:t>Mortality</w:t>
            </w:r>
          </w:p>
        </w:tc>
        <w:tc>
          <w:tcPr>
            <w:tcW w:w="945" w:type="dxa"/>
            <w:shd w:val="clear" w:color="auto" w:fill="auto"/>
            <w:tcMar>
              <w:top w:w="100" w:type="dxa"/>
              <w:left w:w="100" w:type="dxa"/>
              <w:bottom w:w="100" w:type="dxa"/>
              <w:right w:w="100" w:type="dxa"/>
            </w:tcMar>
          </w:tcPr>
          <w:p w14:paraId="2B3E42B2" w14:textId="77777777" w:rsidR="006D291A" w:rsidRDefault="00BD6F83">
            <w:pPr>
              <w:widowControl w:val="0"/>
            </w:pPr>
            <w:r>
              <w:t>1.01</w:t>
            </w:r>
          </w:p>
        </w:tc>
        <w:tc>
          <w:tcPr>
            <w:tcW w:w="795" w:type="dxa"/>
            <w:shd w:val="clear" w:color="auto" w:fill="auto"/>
            <w:tcMar>
              <w:top w:w="100" w:type="dxa"/>
              <w:left w:w="100" w:type="dxa"/>
              <w:bottom w:w="100" w:type="dxa"/>
              <w:right w:w="100" w:type="dxa"/>
            </w:tcMar>
          </w:tcPr>
          <w:p w14:paraId="2B3E42B3" w14:textId="77777777" w:rsidR="006D291A" w:rsidRDefault="00BD6F83">
            <w:pPr>
              <w:widowControl w:val="0"/>
            </w:pPr>
            <w:r>
              <w:t>1.04</w:t>
            </w:r>
          </w:p>
        </w:tc>
        <w:tc>
          <w:tcPr>
            <w:tcW w:w="900" w:type="dxa"/>
            <w:shd w:val="clear" w:color="auto" w:fill="auto"/>
            <w:tcMar>
              <w:top w:w="100" w:type="dxa"/>
              <w:left w:w="100" w:type="dxa"/>
              <w:bottom w:w="100" w:type="dxa"/>
              <w:right w:w="100" w:type="dxa"/>
            </w:tcMar>
          </w:tcPr>
          <w:p w14:paraId="2B3E42B4" w14:textId="77777777" w:rsidR="006D291A" w:rsidRDefault="00BD6F83">
            <w:pPr>
              <w:widowControl w:val="0"/>
            </w:pPr>
            <w:r>
              <w:t>6.56</w:t>
            </w:r>
          </w:p>
        </w:tc>
        <w:tc>
          <w:tcPr>
            <w:tcW w:w="1365" w:type="dxa"/>
            <w:shd w:val="clear" w:color="auto" w:fill="auto"/>
            <w:tcMar>
              <w:top w:w="100" w:type="dxa"/>
              <w:left w:w="100" w:type="dxa"/>
              <w:bottom w:w="100" w:type="dxa"/>
              <w:right w:w="100" w:type="dxa"/>
            </w:tcMar>
          </w:tcPr>
          <w:p w14:paraId="2B3E42B5" w14:textId="77777777" w:rsidR="006D291A" w:rsidRDefault="00BD6F83">
            <w:pPr>
              <w:widowControl w:val="0"/>
            </w:pPr>
            <w:r>
              <w:t>0.40</w:t>
            </w:r>
          </w:p>
        </w:tc>
        <w:tc>
          <w:tcPr>
            <w:tcW w:w="1395" w:type="dxa"/>
            <w:tcBorders>
              <w:right w:val="nil"/>
            </w:tcBorders>
            <w:shd w:val="clear" w:color="auto" w:fill="auto"/>
            <w:tcMar>
              <w:top w:w="100" w:type="dxa"/>
              <w:left w:w="100" w:type="dxa"/>
              <w:bottom w:w="100" w:type="dxa"/>
              <w:right w:w="100" w:type="dxa"/>
            </w:tcMar>
          </w:tcPr>
          <w:p w14:paraId="2B3E42B6" w14:textId="77777777" w:rsidR="006D291A" w:rsidRDefault="00BD6F83">
            <w:pPr>
              <w:widowControl w:val="0"/>
            </w:pPr>
            <w:r>
              <w:t>0.91</w:t>
            </w:r>
          </w:p>
        </w:tc>
      </w:tr>
      <w:tr w:rsidR="006D291A" w14:paraId="2B3E42BE" w14:textId="77777777" w:rsidTr="009A6DA3">
        <w:tc>
          <w:tcPr>
            <w:tcW w:w="3960" w:type="dxa"/>
            <w:tcBorders>
              <w:left w:val="nil"/>
            </w:tcBorders>
            <w:shd w:val="clear" w:color="auto" w:fill="auto"/>
            <w:tcMar>
              <w:top w:w="100" w:type="dxa"/>
              <w:left w:w="100" w:type="dxa"/>
              <w:bottom w:w="100" w:type="dxa"/>
              <w:right w:w="100" w:type="dxa"/>
            </w:tcMar>
          </w:tcPr>
          <w:p w14:paraId="2B3E42B8" w14:textId="77777777" w:rsidR="006D291A" w:rsidRDefault="00BD6F83">
            <w:pPr>
              <w:widowControl w:val="0"/>
            </w:pPr>
            <w:r>
              <w:t>CWT release group ocean abundances</w:t>
            </w:r>
          </w:p>
        </w:tc>
        <w:tc>
          <w:tcPr>
            <w:tcW w:w="945" w:type="dxa"/>
            <w:shd w:val="clear" w:color="auto" w:fill="auto"/>
            <w:tcMar>
              <w:top w:w="100" w:type="dxa"/>
              <w:left w:w="100" w:type="dxa"/>
              <w:bottom w:w="100" w:type="dxa"/>
              <w:right w:w="100" w:type="dxa"/>
            </w:tcMar>
          </w:tcPr>
          <w:p w14:paraId="2B3E42B9" w14:textId="77777777" w:rsidR="006D291A" w:rsidRDefault="00BD6F83">
            <w:pPr>
              <w:widowControl w:val="0"/>
            </w:pPr>
            <w:r>
              <w:t>1.00</w:t>
            </w:r>
          </w:p>
        </w:tc>
        <w:tc>
          <w:tcPr>
            <w:tcW w:w="795" w:type="dxa"/>
            <w:shd w:val="clear" w:color="auto" w:fill="auto"/>
            <w:tcMar>
              <w:top w:w="100" w:type="dxa"/>
              <w:left w:w="100" w:type="dxa"/>
              <w:bottom w:w="100" w:type="dxa"/>
              <w:right w:w="100" w:type="dxa"/>
            </w:tcMar>
          </w:tcPr>
          <w:p w14:paraId="2B3E42BA" w14:textId="77777777" w:rsidR="006D291A" w:rsidRDefault="00BD6F83">
            <w:pPr>
              <w:widowControl w:val="0"/>
            </w:pPr>
            <w:r>
              <w:t>1.03</w:t>
            </w:r>
          </w:p>
        </w:tc>
        <w:tc>
          <w:tcPr>
            <w:tcW w:w="900" w:type="dxa"/>
            <w:shd w:val="clear" w:color="auto" w:fill="auto"/>
            <w:tcMar>
              <w:top w:w="100" w:type="dxa"/>
              <w:left w:w="100" w:type="dxa"/>
              <w:bottom w:w="100" w:type="dxa"/>
              <w:right w:w="100" w:type="dxa"/>
            </w:tcMar>
          </w:tcPr>
          <w:p w14:paraId="2B3E42BB" w14:textId="77777777" w:rsidR="006D291A" w:rsidRDefault="00BD6F83">
            <w:pPr>
              <w:widowControl w:val="0"/>
            </w:pPr>
            <w:r>
              <w:t>7.19</w:t>
            </w:r>
          </w:p>
        </w:tc>
        <w:tc>
          <w:tcPr>
            <w:tcW w:w="1365" w:type="dxa"/>
            <w:shd w:val="clear" w:color="auto" w:fill="auto"/>
            <w:tcMar>
              <w:top w:w="100" w:type="dxa"/>
              <w:left w:w="100" w:type="dxa"/>
              <w:bottom w:w="100" w:type="dxa"/>
              <w:right w:w="100" w:type="dxa"/>
            </w:tcMar>
          </w:tcPr>
          <w:p w14:paraId="2B3E42BC" w14:textId="77777777" w:rsidR="006D291A" w:rsidRDefault="00BD6F83">
            <w:pPr>
              <w:widowControl w:val="0"/>
            </w:pPr>
            <w:r>
              <w:t>0.77</w:t>
            </w:r>
          </w:p>
        </w:tc>
        <w:tc>
          <w:tcPr>
            <w:tcW w:w="1395" w:type="dxa"/>
            <w:tcBorders>
              <w:right w:val="nil"/>
            </w:tcBorders>
            <w:shd w:val="clear" w:color="auto" w:fill="auto"/>
            <w:tcMar>
              <w:top w:w="100" w:type="dxa"/>
              <w:left w:w="100" w:type="dxa"/>
              <w:bottom w:w="100" w:type="dxa"/>
              <w:right w:w="100" w:type="dxa"/>
            </w:tcMar>
          </w:tcPr>
          <w:p w14:paraId="2B3E42BD" w14:textId="77777777" w:rsidR="006D291A" w:rsidRDefault="00BD6F83">
            <w:pPr>
              <w:widowControl w:val="0"/>
            </w:pPr>
            <w:r>
              <w:t>0.97</w:t>
            </w:r>
          </w:p>
        </w:tc>
      </w:tr>
      <w:tr w:rsidR="006D291A" w14:paraId="2B3E42C5" w14:textId="77777777" w:rsidTr="009A6DA3">
        <w:tc>
          <w:tcPr>
            <w:tcW w:w="3960" w:type="dxa"/>
            <w:tcBorders>
              <w:left w:val="nil"/>
            </w:tcBorders>
            <w:shd w:val="clear" w:color="auto" w:fill="auto"/>
            <w:tcMar>
              <w:top w:w="100" w:type="dxa"/>
              <w:left w:w="100" w:type="dxa"/>
              <w:bottom w:w="100" w:type="dxa"/>
              <w:right w:w="100" w:type="dxa"/>
            </w:tcMar>
          </w:tcPr>
          <w:p w14:paraId="2B3E42BF" w14:textId="77777777" w:rsidR="006D291A" w:rsidRDefault="00BD6F83">
            <w:pPr>
              <w:widowControl w:val="0"/>
            </w:pPr>
            <w:r>
              <w:t>CWT release group spawning abundances</w:t>
            </w:r>
          </w:p>
        </w:tc>
        <w:tc>
          <w:tcPr>
            <w:tcW w:w="945" w:type="dxa"/>
            <w:shd w:val="clear" w:color="auto" w:fill="auto"/>
            <w:tcMar>
              <w:top w:w="100" w:type="dxa"/>
              <w:left w:w="100" w:type="dxa"/>
              <w:bottom w:w="100" w:type="dxa"/>
              <w:right w:w="100" w:type="dxa"/>
            </w:tcMar>
          </w:tcPr>
          <w:p w14:paraId="2B3E42C0" w14:textId="77777777" w:rsidR="006D291A" w:rsidRDefault="00BD6F83">
            <w:pPr>
              <w:widowControl w:val="0"/>
            </w:pPr>
            <w:r>
              <w:t>1.01</w:t>
            </w:r>
          </w:p>
        </w:tc>
        <w:tc>
          <w:tcPr>
            <w:tcW w:w="795" w:type="dxa"/>
            <w:shd w:val="clear" w:color="auto" w:fill="auto"/>
            <w:tcMar>
              <w:top w:w="100" w:type="dxa"/>
              <w:left w:w="100" w:type="dxa"/>
              <w:bottom w:w="100" w:type="dxa"/>
              <w:right w:w="100" w:type="dxa"/>
            </w:tcMar>
          </w:tcPr>
          <w:p w14:paraId="2B3E42C1" w14:textId="77777777" w:rsidR="006D291A" w:rsidRDefault="00BD6F83">
            <w:pPr>
              <w:widowControl w:val="0"/>
            </w:pPr>
            <w:r>
              <w:t>1.02</w:t>
            </w:r>
          </w:p>
        </w:tc>
        <w:tc>
          <w:tcPr>
            <w:tcW w:w="900" w:type="dxa"/>
            <w:shd w:val="clear" w:color="auto" w:fill="auto"/>
            <w:tcMar>
              <w:top w:w="100" w:type="dxa"/>
              <w:left w:w="100" w:type="dxa"/>
              <w:bottom w:w="100" w:type="dxa"/>
              <w:right w:w="100" w:type="dxa"/>
            </w:tcMar>
          </w:tcPr>
          <w:p w14:paraId="2B3E42C2" w14:textId="77777777" w:rsidR="006D291A" w:rsidRDefault="00BD6F83">
            <w:pPr>
              <w:widowControl w:val="0"/>
            </w:pPr>
            <w:r>
              <w:t>1.53</w:t>
            </w:r>
          </w:p>
        </w:tc>
        <w:tc>
          <w:tcPr>
            <w:tcW w:w="1365" w:type="dxa"/>
            <w:shd w:val="clear" w:color="auto" w:fill="auto"/>
            <w:tcMar>
              <w:top w:w="100" w:type="dxa"/>
              <w:left w:w="100" w:type="dxa"/>
              <w:bottom w:w="100" w:type="dxa"/>
              <w:right w:w="100" w:type="dxa"/>
            </w:tcMar>
          </w:tcPr>
          <w:p w14:paraId="2B3E42C3" w14:textId="77777777" w:rsidR="006D291A" w:rsidRDefault="00BD6F83">
            <w:pPr>
              <w:widowControl w:val="0"/>
            </w:pPr>
            <w:r>
              <w:t>0.61</w:t>
            </w:r>
          </w:p>
        </w:tc>
        <w:tc>
          <w:tcPr>
            <w:tcW w:w="1395" w:type="dxa"/>
            <w:tcBorders>
              <w:right w:val="nil"/>
            </w:tcBorders>
            <w:shd w:val="clear" w:color="auto" w:fill="auto"/>
            <w:tcMar>
              <w:top w:w="100" w:type="dxa"/>
              <w:left w:w="100" w:type="dxa"/>
              <w:bottom w:w="100" w:type="dxa"/>
              <w:right w:w="100" w:type="dxa"/>
            </w:tcMar>
          </w:tcPr>
          <w:p w14:paraId="2B3E42C4" w14:textId="77777777" w:rsidR="006D291A" w:rsidRDefault="00BD6F83">
            <w:pPr>
              <w:widowControl w:val="0"/>
            </w:pPr>
            <w:r>
              <w:t>0.97</w:t>
            </w:r>
          </w:p>
        </w:tc>
      </w:tr>
      <w:tr w:rsidR="006D291A" w14:paraId="2B3E42CC" w14:textId="77777777" w:rsidTr="009A6DA3">
        <w:tc>
          <w:tcPr>
            <w:tcW w:w="3960" w:type="dxa"/>
            <w:tcBorders>
              <w:left w:val="nil"/>
            </w:tcBorders>
            <w:shd w:val="clear" w:color="auto" w:fill="auto"/>
            <w:tcMar>
              <w:top w:w="100" w:type="dxa"/>
              <w:left w:w="100" w:type="dxa"/>
              <w:bottom w:w="100" w:type="dxa"/>
              <w:right w:w="100" w:type="dxa"/>
            </w:tcMar>
          </w:tcPr>
          <w:p w14:paraId="2B3E42C6" w14:textId="77777777" w:rsidR="006D291A" w:rsidRDefault="00BD6F83">
            <w:pPr>
              <w:widowControl w:val="0"/>
            </w:pPr>
            <w:r>
              <w:t>CWT observation parameters</w:t>
            </w:r>
          </w:p>
        </w:tc>
        <w:tc>
          <w:tcPr>
            <w:tcW w:w="945" w:type="dxa"/>
            <w:shd w:val="clear" w:color="auto" w:fill="auto"/>
            <w:tcMar>
              <w:top w:w="100" w:type="dxa"/>
              <w:left w:w="100" w:type="dxa"/>
              <w:bottom w:w="100" w:type="dxa"/>
              <w:right w:w="100" w:type="dxa"/>
            </w:tcMar>
          </w:tcPr>
          <w:p w14:paraId="2B3E42C7" w14:textId="77777777" w:rsidR="006D291A" w:rsidRDefault="00BD6F83">
            <w:pPr>
              <w:widowControl w:val="0"/>
            </w:pPr>
            <w:r>
              <w:t>1.07</w:t>
            </w:r>
          </w:p>
        </w:tc>
        <w:tc>
          <w:tcPr>
            <w:tcW w:w="795" w:type="dxa"/>
            <w:shd w:val="clear" w:color="auto" w:fill="auto"/>
            <w:tcMar>
              <w:top w:w="100" w:type="dxa"/>
              <w:left w:w="100" w:type="dxa"/>
              <w:bottom w:w="100" w:type="dxa"/>
              <w:right w:w="100" w:type="dxa"/>
            </w:tcMar>
          </w:tcPr>
          <w:p w14:paraId="2B3E42C8" w14:textId="77777777" w:rsidR="006D291A" w:rsidRDefault="00BD6F83">
            <w:pPr>
              <w:widowControl w:val="0"/>
            </w:pPr>
            <w:r>
              <w:t>1.09</w:t>
            </w:r>
          </w:p>
        </w:tc>
        <w:tc>
          <w:tcPr>
            <w:tcW w:w="900" w:type="dxa"/>
            <w:shd w:val="clear" w:color="auto" w:fill="auto"/>
            <w:tcMar>
              <w:top w:w="100" w:type="dxa"/>
              <w:left w:w="100" w:type="dxa"/>
              <w:bottom w:w="100" w:type="dxa"/>
              <w:right w:w="100" w:type="dxa"/>
            </w:tcMar>
          </w:tcPr>
          <w:p w14:paraId="2B3E42C9" w14:textId="77777777" w:rsidR="006D291A" w:rsidRDefault="00BD6F83">
            <w:pPr>
              <w:widowControl w:val="0"/>
            </w:pPr>
            <w:r>
              <w:t>1.16</w:t>
            </w:r>
          </w:p>
        </w:tc>
        <w:tc>
          <w:tcPr>
            <w:tcW w:w="1365" w:type="dxa"/>
            <w:shd w:val="clear" w:color="auto" w:fill="auto"/>
            <w:tcMar>
              <w:top w:w="100" w:type="dxa"/>
              <w:left w:w="100" w:type="dxa"/>
              <w:bottom w:w="100" w:type="dxa"/>
              <w:right w:w="100" w:type="dxa"/>
            </w:tcMar>
          </w:tcPr>
          <w:p w14:paraId="2B3E42CA" w14:textId="77777777" w:rsidR="006D291A" w:rsidRDefault="00BD6F83">
            <w:pPr>
              <w:widowControl w:val="0"/>
            </w:pPr>
            <w:r>
              <w:t>0</w:t>
            </w:r>
          </w:p>
        </w:tc>
        <w:tc>
          <w:tcPr>
            <w:tcW w:w="1395" w:type="dxa"/>
            <w:tcBorders>
              <w:right w:val="nil"/>
            </w:tcBorders>
            <w:shd w:val="clear" w:color="auto" w:fill="auto"/>
            <w:tcMar>
              <w:top w:w="100" w:type="dxa"/>
              <w:left w:w="100" w:type="dxa"/>
              <w:bottom w:w="100" w:type="dxa"/>
              <w:right w:w="100" w:type="dxa"/>
            </w:tcMar>
          </w:tcPr>
          <w:p w14:paraId="2B3E42CB" w14:textId="77777777" w:rsidR="006D291A" w:rsidRDefault="00BD6F83">
            <w:pPr>
              <w:widowControl w:val="0"/>
            </w:pPr>
            <w:r>
              <w:t>0.625</w:t>
            </w:r>
          </w:p>
        </w:tc>
      </w:tr>
      <w:tr w:rsidR="006D291A" w14:paraId="2B3E42D3" w14:textId="77777777" w:rsidTr="009A6DA3">
        <w:tc>
          <w:tcPr>
            <w:tcW w:w="3960" w:type="dxa"/>
            <w:tcBorders>
              <w:left w:val="nil"/>
            </w:tcBorders>
            <w:shd w:val="clear" w:color="auto" w:fill="auto"/>
            <w:tcMar>
              <w:top w:w="100" w:type="dxa"/>
              <w:left w:w="100" w:type="dxa"/>
              <w:bottom w:w="100" w:type="dxa"/>
              <w:right w:w="100" w:type="dxa"/>
            </w:tcMar>
          </w:tcPr>
          <w:p w14:paraId="2B3E42CD" w14:textId="77777777" w:rsidR="006D291A" w:rsidRDefault="00BD6F83">
            <w:pPr>
              <w:widowControl w:val="0"/>
            </w:pPr>
            <w:r>
              <w:t>Spatial distribution</w:t>
            </w:r>
          </w:p>
        </w:tc>
        <w:tc>
          <w:tcPr>
            <w:tcW w:w="945" w:type="dxa"/>
            <w:shd w:val="clear" w:color="auto" w:fill="auto"/>
            <w:tcMar>
              <w:top w:w="100" w:type="dxa"/>
              <w:left w:w="100" w:type="dxa"/>
              <w:bottom w:w="100" w:type="dxa"/>
              <w:right w:w="100" w:type="dxa"/>
            </w:tcMar>
          </w:tcPr>
          <w:p w14:paraId="2B3E42CE" w14:textId="77777777" w:rsidR="006D291A" w:rsidRDefault="00BD6F83">
            <w:pPr>
              <w:widowControl w:val="0"/>
            </w:pPr>
            <w:r>
              <w:t>1.01</w:t>
            </w:r>
          </w:p>
        </w:tc>
        <w:tc>
          <w:tcPr>
            <w:tcW w:w="795" w:type="dxa"/>
            <w:shd w:val="clear" w:color="auto" w:fill="auto"/>
            <w:tcMar>
              <w:top w:w="100" w:type="dxa"/>
              <w:left w:w="100" w:type="dxa"/>
              <w:bottom w:w="100" w:type="dxa"/>
              <w:right w:w="100" w:type="dxa"/>
            </w:tcMar>
          </w:tcPr>
          <w:p w14:paraId="2B3E42CF" w14:textId="77777777" w:rsidR="006D291A" w:rsidRDefault="00BD6F83">
            <w:pPr>
              <w:widowControl w:val="0"/>
            </w:pPr>
            <w:r>
              <w:t>1.02</w:t>
            </w:r>
          </w:p>
        </w:tc>
        <w:tc>
          <w:tcPr>
            <w:tcW w:w="900" w:type="dxa"/>
            <w:shd w:val="clear" w:color="auto" w:fill="auto"/>
            <w:tcMar>
              <w:top w:w="100" w:type="dxa"/>
              <w:left w:w="100" w:type="dxa"/>
              <w:bottom w:w="100" w:type="dxa"/>
              <w:right w:w="100" w:type="dxa"/>
            </w:tcMar>
          </w:tcPr>
          <w:p w14:paraId="2B3E42D0" w14:textId="77777777" w:rsidR="006D291A" w:rsidRDefault="00BD6F83">
            <w:pPr>
              <w:widowControl w:val="0"/>
            </w:pPr>
            <w:r>
              <w:t>1.12</w:t>
            </w:r>
          </w:p>
        </w:tc>
        <w:tc>
          <w:tcPr>
            <w:tcW w:w="1365" w:type="dxa"/>
            <w:shd w:val="clear" w:color="auto" w:fill="auto"/>
            <w:tcMar>
              <w:top w:w="100" w:type="dxa"/>
              <w:left w:w="100" w:type="dxa"/>
              <w:bottom w:w="100" w:type="dxa"/>
              <w:right w:w="100" w:type="dxa"/>
            </w:tcMar>
          </w:tcPr>
          <w:p w14:paraId="2B3E42D1" w14:textId="77777777" w:rsidR="006D291A" w:rsidRDefault="00BD6F83">
            <w:pPr>
              <w:widowControl w:val="0"/>
            </w:pPr>
            <w:r>
              <w:t>0.41</w:t>
            </w:r>
          </w:p>
        </w:tc>
        <w:tc>
          <w:tcPr>
            <w:tcW w:w="1395" w:type="dxa"/>
            <w:tcBorders>
              <w:right w:val="nil"/>
            </w:tcBorders>
            <w:shd w:val="clear" w:color="auto" w:fill="auto"/>
            <w:tcMar>
              <w:top w:w="100" w:type="dxa"/>
              <w:left w:w="100" w:type="dxa"/>
              <w:bottom w:w="100" w:type="dxa"/>
              <w:right w:w="100" w:type="dxa"/>
            </w:tcMar>
          </w:tcPr>
          <w:p w14:paraId="2B3E42D2" w14:textId="77777777" w:rsidR="006D291A" w:rsidRDefault="00BD6F83">
            <w:pPr>
              <w:widowControl w:val="0"/>
            </w:pPr>
            <w:r>
              <w:t>0.99</w:t>
            </w:r>
          </w:p>
        </w:tc>
      </w:tr>
      <w:tr w:rsidR="006D291A" w14:paraId="2B3E42DA" w14:textId="77777777" w:rsidTr="009A6DA3">
        <w:tc>
          <w:tcPr>
            <w:tcW w:w="3960" w:type="dxa"/>
            <w:tcBorders>
              <w:left w:val="nil"/>
            </w:tcBorders>
            <w:shd w:val="clear" w:color="auto" w:fill="auto"/>
            <w:tcMar>
              <w:top w:w="100" w:type="dxa"/>
              <w:left w:w="100" w:type="dxa"/>
              <w:bottom w:w="100" w:type="dxa"/>
              <w:right w:w="100" w:type="dxa"/>
            </w:tcMar>
          </w:tcPr>
          <w:p w14:paraId="2B3E42D4" w14:textId="77777777" w:rsidR="006D291A" w:rsidRDefault="00BD6F83">
            <w:pPr>
              <w:widowControl w:val="0"/>
            </w:pPr>
            <w:r>
              <w:t>GSI total release group ocean abundances</w:t>
            </w:r>
          </w:p>
        </w:tc>
        <w:tc>
          <w:tcPr>
            <w:tcW w:w="945" w:type="dxa"/>
            <w:shd w:val="clear" w:color="auto" w:fill="auto"/>
            <w:tcMar>
              <w:top w:w="100" w:type="dxa"/>
              <w:left w:w="100" w:type="dxa"/>
              <w:bottom w:w="100" w:type="dxa"/>
              <w:right w:w="100" w:type="dxa"/>
            </w:tcMar>
          </w:tcPr>
          <w:p w14:paraId="2B3E42D5" w14:textId="77777777" w:rsidR="006D291A" w:rsidRDefault="00BD6F83">
            <w:pPr>
              <w:widowControl w:val="0"/>
            </w:pPr>
            <w:r>
              <w:t>1.22</w:t>
            </w:r>
          </w:p>
        </w:tc>
        <w:tc>
          <w:tcPr>
            <w:tcW w:w="795" w:type="dxa"/>
            <w:shd w:val="clear" w:color="auto" w:fill="auto"/>
            <w:tcMar>
              <w:top w:w="100" w:type="dxa"/>
              <w:left w:w="100" w:type="dxa"/>
              <w:bottom w:w="100" w:type="dxa"/>
              <w:right w:w="100" w:type="dxa"/>
            </w:tcMar>
          </w:tcPr>
          <w:p w14:paraId="2B3E42D6" w14:textId="77777777" w:rsidR="006D291A" w:rsidRDefault="00BD6F83">
            <w:pPr>
              <w:widowControl w:val="0"/>
            </w:pPr>
            <w:r>
              <w:t>4.16</w:t>
            </w:r>
          </w:p>
        </w:tc>
        <w:tc>
          <w:tcPr>
            <w:tcW w:w="900" w:type="dxa"/>
            <w:shd w:val="clear" w:color="auto" w:fill="auto"/>
            <w:tcMar>
              <w:top w:w="100" w:type="dxa"/>
              <w:left w:w="100" w:type="dxa"/>
              <w:bottom w:w="100" w:type="dxa"/>
              <w:right w:w="100" w:type="dxa"/>
            </w:tcMar>
          </w:tcPr>
          <w:p w14:paraId="2B3E42D7" w14:textId="77777777" w:rsidR="006D291A" w:rsidRDefault="00BD6F83">
            <w:pPr>
              <w:widowControl w:val="0"/>
            </w:pPr>
            <w:r>
              <w:t>179.49</w:t>
            </w:r>
          </w:p>
        </w:tc>
        <w:tc>
          <w:tcPr>
            <w:tcW w:w="1365" w:type="dxa"/>
            <w:shd w:val="clear" w:color="auto" w:fill="auto"/>
            <w:tcMar>
              <w:top w:w="100" w:type="dxa"/>
              <w:left w:w="100" w:type="dxa"/>
              <w:bottom w:w="100" w:type="dxa"/>
              <w:right w:w="100" w:type="dxa"/>
            </w:tcMar>
          </w:tcPr>
          <w:p w14:paraId="2B3E42D8" w14:textId="77777777" w:rsidR="006D291A" w:rsidRDefault="00BD6F83">
            <w:pPr>
              <w:widowControl w:val="0"/>
            </w:pPr>
            <w:r>
              <w:t>0.01</w:t>
            </w:r>
          </w:p>
        </w:tc>
        <w:tc>
          <w:tcPr>
            <w:tcW w:w="1395" w:type="dxa"/>
            <w:tcBorders>
              <w:right w:val="nil"/>
            </w:tcBorders>
            <w:shd w:val="clear" w:color="auto" w:fill="auto"/>
            <w:tcMar>
              <w:top w:w="100" w:type="dxa"/>
              <w:left w:w="100" w:type="dxa"/>
              <w:bottom w:w="100" w:type="dxa"/>
              <w:right w:w="100" w:type="dxa"/>
            </w:tcMar>
          </w:tcPr>
          <w:p w14:paraId="2B3E42D9" w14:textId="77777777" w:rsidR="006D291A" w:rsidRDefault="00BD6F83">
            <w:pPr>
              <w:widowControl w:val="0"/>
            </w:pPr>
            <w:r>
              <w:t>0.29</w:t>
            </w:r>
          </w:p>
        </w:tc>
      </w:tr>
      <w:tr w:rsidR="006D291A" w14:paraId="2B3E42E1" w14:textId="77777777" w:rsidTr="009A6DA3">
        <w:tc>
          <w:tcPr>
            <w:tcW w:w="3960" w:type="dxa"/>
            <w:tcBorders>
              <w:left w:val="nil"/>
            </w:tcBorders>
            <w:shd w:val="clear" w:color="auto" w:fill="auto"/>
            <w:tcMar>
              <w:top w:w="100" w:type="dxa"/>
              <w:left w:w="100" w:type="dxa"/>
              <w:bottom w:w="100" w:type="dxa"/>
              <w:right w:w="100" w:type="dxa"/>
            </w:tcMar>
          </w:tcPr>
          <w:p w14:paraId="2B3E42DB" w14:textId="77777777" w:rsidR="006D291A" w:rsidRDefault="00BD6F83">
            <w:pPr>
              <w:widowControl w:val="0"/>
              <w:rPr>
                <w:i/>
              </w:rPr>
            </w:pPr>
            <w:r>
              <w:t xml:space="preserve">GSI total release group ocean abundances - </w:t>
            </w:r>
            <w:r>
              <w:rPr>
                <w:i/>
              </w:rPr>
              <w:t>Initial abundance only</w:t>
            </w:r>
          </w:p>
        </w:tc>
        <w:tc>
          <w:tcPr>
            <w:tcW w:w="945" w:type="dxa"/>
            <w:shd w:val="clear" w:color="auto" w:fill="auto"/>
            <w:tcMar>
              <w:top w:w="100" w:type="dxa"/>
              <w:left w:w="100" w:type="dxa"/>
              <w:bottom w:w="100" w:type="dxa"/>
              <w:right w:w="100" w:type="dxa"/>
            </w:tcMar>
          </w:tcPr>
          <w:p w14:paraId="2B3E42DC" w14:textId="77777777" w:rsidR="006D291A" w:rsidRDefault="00BD6F83">
            <w:pPr>
              <w:widowControl w:val="0"/>
            </w:pPr>
            <w:r>
              <w:t>47.65</w:t>
            </w:r>
          </w:p>
        </w:tc>
        <w:tc>
          <w:tcPr>
            <w:tcW w:w="795" w:type="dxa"/>
            <w:shd w:val="clear" w:color="auto" w:fill="auto"/>
            <w:tcMar>
              <w:top w:w="100" w:type="dxa"/>
              <w:left w:w="100" w:type="dxa"/>
              <w:bottom w:w="100" w:type="dxa"/>
              <w:right w:w="100" w:type="dxa"/>
            </w:tcMar>
          </w:tcPr>
          <w:p w14:paraId="2B3E42DD" w14:textId="77777777" w:rsidR="006D291A" w:rsidRDefault="00BD6F83">
            <w:pPr>
              <w:widowControl w:val="0"/>
            </w:pPr>
            <w:r>
              <w:t>55.28</w:t>
            </w:r>
          </w:p>
        </w:tc>
        <w:tc>
          <w:tcPr>
            <w:tcW w:w="900" w:type="dxa"/>
            <w:shd w:val="clear" w:color="auto" w:fill="auto"/>
            <w:tcMar>
              <w:top w:w="100" w:type="dxa"/>
              <w:left w:w="100" w:type="dxa"/>
              <w:bottom w:w="100" w:type="dxa"/>
              <w:right w:w="100" w:type="dxa"/>
            </w:tcMar>
          </w:tcPr>
          <w:p w14:paraId="2B3E42DE" w14:textId="77777777" w:rsidR="006D291A" w:rsidRDefault="00BD6F83">
            <w:pPr>
              <w:widowControl w:val="0"/>
            </w:pPr>
            <w:r>
              <w:t>179.58</w:t>
            </w:r>
          </w:p>
        </w:tc>
        <w:tc>
          <w:tcPr>
            <w:tcW w:w="1365" w:type="dxa"/>
            <w:shd w:val="clear" w:color="auto" w:fill="auto"/>
            <w:tcMar>
              <w:top w:w="100" w:type="dxa"/>
              <w:left w:w="100" w:type="dxa"/>
              <w:bottom w:w="100" w:type="dxa"/>
              <w:right w:w="100" w:type="dxa"/>
            </w:tcMar>
          </w:tcPr>
          <w:p w14:paraId="2B3E42DF" w14:textId="77777777" w:rsidR="006D291A" w:rsidRDefault="00BD6F83">
            <w:pPr>
              <w:widowControl w:val="0"/>
            </w:pPr>
            <w:r>
              <w:t>0</w:t>
            </w:r>
          </w:p>
        </w:tc>
        <w:tc>
          <w:tcPr>
            <w:tcW w:w="1395" w:type="dxa"/>
            <w:tcBorders>
              <w:right w:val="nil"/>
            </w:tcBorders>
            <w:shd w:val="clear" w:color="auto" w:fill="auto"/>
            <w:tcMar>
              <w:top w:w="100" w:type="dxa"/>
              <w:left w:w="100" w:type="dxa"/>
              <w:bottom w:w="100" w:type="dxa"/>
              <w:right w:w="100" w:type="dxa"/>
            </w:tcMar>
          </w:tcPr>
          <w:p w14:paraId="2B3E42E0" w14:textId="77777777" w:rsidR="006D291A" w:rsidRDefault="00BD6F83">
            <w:pPr>
              <w:widowControl w:val="0"/>
            </w:pPr>
            <w:r>
              <w:t>0</w:t>
            </w:r>
          </w:p>
        </w:tc>
      </w:tr>
      <w:tr w:rsidR="006D291A" w14:paraId="2B3E42E8" w14:textId="77777777" w:rsidTr="009A6DA3">
        <w:tc>
          <w:tcPr>
            <w:tcW w:w="3960" w:type="dxa"/>
            <w:tcBorders>
              <w:left w:val="nil"/>
            </w:tcBorders>
            <w:shd w:val="clear" w:color="auto" w:fill="auto"/>
            <w:tcMar>
              <w:top w:w="100" w:type="dxa"/>
              <w:left w:w="100" w:type="dxa"/>
              <w:bottom w:w="100" w:type="dxa"/>
              <w:right w:w="100" w:type="dxa"/>
            </w:tcMar>
          </w:tcPr>
          <w:p w14:paraId="2B3E42E2" w14:textId="77777777" w:rsidR="006D291A" w:rsidRDefault="00BD6F83">
            <w:pPr>
              <w:widowControl w:val="0"/>
            </w:pPr>
            <w:r>
              <w:t>GSI total release group spawning abundances</w:t>
            </w:r>
          </w:p>
        </w:tc>
        <w:tc>
          <w:tcPr>
            <w:tcW w:w="945" w:type="dxa"/>
            <w:shd w:val="clear" w:color="auto" w:fill="auto"/>
            <w:tcMar>
              <w:top w:w="100" w:type="dxa"/>
              <w:left w:w="100" w:type="dxa"/>
              <w:bottom w:w="100" w:type="dxa"/>
              <w:right w:w="100" w:type="dxa"/>
            </w:tcMar>
          </w:tcPr>
          <w:p w14:paraId="2B3E42E3" w14:textId="77777777" w:rsidR="006D291A" w:rsidRDefault="00BD6F83">
            <w:pPr>
              <w:widowControl w:val="0"/>
            </w:pPr>
            <w:r>
              <w:t>1.08</w:t>
            </w:r>
          </w:p>
        </w:tc>
        <w:tc>
          <w:tcPr>
            <w:tcW w:w="795" w:type="dxa"/>
            <w:shd w:val="clear" w:color="auto" w:fill="auto"/>
            <w:tcMar>
              <w:top w:w="100" w:type="dxa"/>
              <w:left w:w="100" w:type="dxa"/>
              <w:bottom w:w="100" w:type="dxa"/>
              <w:right w:w="100" w:type="dxa"/>
            </w:tcMar>
          </w:tcPr>
          <w:p w14:paraId="2B3E42E4" w14:textId="77777777" w:rsidR="006D291A" w:rsidRDefault="00BD6F83">
            <w:pPr>
              <w:widowControl w:val="0"/>
            </w:pPr>
            <w:r>
              <w:t>1.18</w:t>
            </w:r>
          </w:p>
        </w:tc>
        <w:tc>
          <w:tcPr>
            <w:tcW w:w="900" w:type="dxa"/>
            <w:shd w:val="clear" w:color="auto" w:fill="auto"/>
            <w:tcMar>
              <w:top w:w="100" w:type="dxa"/>
              <w:left w:w="100" w:type="dxa"/>
              <w:bottom w:w="100" w:type="dxa"/>
              <w:right w:w="100" w:type="dxa"/>
            </w:tcMar>
          </w:tcPr>
          <w:p w14:paraId="2B3E42E5" w14:textId="77777777" w:rsidR="006D291A" w:rsidRDefault="00BD6F83">
            <w:pPr>
              <w:widowControl w:val="0"/>
            </w:pPr>
            <w:r>
              <w:t>2.96</w:t>
            </w:r>
          </w:p>
        </w:tc>
        <w:tc>
          <w:tcPr>
            <w:tcW w:w="1365" w:type="dxa"/>
            <w:shd w:val="clear" w:color="auto" w:fill="auto"/>
            <w:tcMar>
              <w:top w:w="100" w:type="dxa"/>
              <w:left w:w="100" w:type="dxa"/>
              <w:bottom w:w="100" w:type="dxa"/>
              <w:right w:w="100" w:type="dxa"/>
            </w:tcMar>
          </w:tcPr>
          <w:p w14:paraId="2B3E42E6" w14:textId="77777777" w:rsidR="006D291A" w:rsidRDefault="00BD6F83">
            <w:pPr>
              <w:widowControl w:val="0"/>
            </w:pPr>
            <w:r>
              <w:t>0.13</w:t>
            </w:r>
          </w:p>
        </w:tc>
        <w:tc>
          <w:tcPr>
            <w:tcW w:w="1395" w:type="dxa"/>
            <w:tcBorders>
              <w:right w:val="nil"/>
            </w:tcBorders>
            <w:shd w:val="clear" w:color="auto" w:fill="auto"/>
            <w:tcMar>
              <w:top w:w="100" w:type="dxa"/>
              <w:left w:w="100" w:type="dxa"/>
              <w:bottom w:w="100" w:type="dxa"/>
              <w:right w:w="100" w:type="dxa"/>
            </w:tcMar>
          </w:tcPr>
          <w:p w14:paraId="2B3E42E7" w14:textId="77777777" w:rsidR="006D291A" w:rsidRDefault="00BD6F83">
            <w:pPr>
              <w:widowControl w:val="0"/>
            </w:pPr>
            <w:r>
              <w:t>0.55</w:t>
            </w:r>
          </w:p>
        </w:tc>
      </w:tr>
      <w:tr w:rsidR="006D291A" w14:paraId="2B3E42EF" w14:textId="77777777" w:rsidTr="009A6DA3">
        <w:tc>
          <w:tcPr>
            <w:tcW w:w="3960" w:type="dxa"/>
            <w:tcBorders>
              <w:left w:val="nil"/>
              <w:bottom w:val="single" w:sz="8" w:space="0" w:color="000000"/>
            </w:tcBorders>
            <w:shd w:val="clear" w:color="auto" w:fill="auto"/>
            <w:tcMar>
              <w:top w:w="100" w:type="dxa"/>
              <w:left w:w="100" w:type="dxa"/>
              <w:bottom w:w="100" w:type="dxa"/>
              <w:right w:w="100" w:type="dxa"/>
            </w:tcMar>
          </w:tcPr>
          <w:p w14:paraId="2B3E42E9" w14:textId="77777777" w:rsidR="006D291A" w:rsidRDefault="00BD6F83">
            <w:pPr>
              <w:widowControl w:val="0"/>
            </w:pPr>
            <w:r>
              <w:t>GSI observation parameters</w:t>
            </w:r>
          </w:p>
        </w:tc>
        <w:tc>
          <w:tcPr>
            <w:tcW w:w="945" w:type="dxa"/>
            <w:tcBorders>
              <w:bottom w:val="single" w:sz="8" w:space="0" w:color="000000"/>
            </w:tcBorders>
            <w:shd w:val="clear" w:color="auto" w:fill="auto"/>
            <w:tcMar>
              <w:top w:w="100" w:type="dxa"/>
              <w:left w:w="100" w:type="dxa"/>
              <w:bottom w:w="100" w:type="dxa"/>
              <w:right w:w="100" w:type="dxa"/>
            </w:tcMar>
          </w:tcPr>
          <w:p w14:paraId="2B3E42EA" w14:textId="77777777" w:rsidR="006D291A" w:rsidRDefault="00BD6F83">
            <w:pPr>
              <w:widowControl w:val="0"/>
            </w:pPr>
            <w:r>
              <w:t>1.01</w:t>
            </w:r>
          </w:p>
        </w:tc>
        <w:tc>
          <w:tcPr>
            <w:tcW w:w="795" w:type="dxa"/>
            <w:tcBorders>
              <w:bottom w:val="single" w:sz="8" w:space="0" w:color="000000"/>
            </w:tcBorders>
            <w:shd w:val="clear" w:color="auto" w:fill="auto"/>
            <w:tcMar>
              <w:top w:w="100" w:type="dxa"/>
              <w:left w:w="100" w:type="dxa"/>
              <w:bottom w:w="100" w:type="dxa"/>
              <w:right w:w="100" w:type="dxa"/>
            </w:tcMar>
          </w:tcPr>
          <w:p w14:paraId="2B3E42EB" w14:textId="77777777" w:rsidR="006D291A" w:rsidRDefault="00BD6F83">
            <w:pPr>
              <w:widowControl w:val="0"/>
            </w:pPr>
            <w:r>
              <w:t>1.02</w:t>
            </w:r>
          </w:p>
        </w:tc>
        <w:tc>
          <w:tcPr>
            <w:tcW w:w="900" w:type="dxa"/>
            <w:tcBorders>
              <w:bottom w:val="single" w:sz="8" w:space="0" w:color="000000"/>
            </w:tcBorders>
            <w:shd w:val="clear" w:color="auto" w:fill="auto"/>
            <w:tcMar>
              <w:top w:w="100" w:type="dxa"/>
              <w:left w:w="100" w:type="dxa"/>
              <w:bottom w:w="100" w:type="dxa"/>
              <w:right w:w="100" w:type="dxa"/>
            </w:tcMar>
          </w:tcPr>
          <w:p w14:paraId="2B3E42EC" w14:textId="77777777" w:rsidR="006D291A" w:rsidRDefault="00BD6F83">
            <w:pPr>
              <w:widowControl w:val="0"/>
            </w:pPr>
            <w:r>
              <w:t>2.03</w:t>
            </w:r>
          </w:p>
        </w:tc>
        <w:tc>
          <w:tcPr>
            <w:tcW w:w="1365" w:type="dxa"/>
            <w:tcBorders>
              <w:bottom w:val="single" w:sz="8" w:space="0" w:color="000000"/>
            </w:tcBorders>
            <w:shd w:val="clear" w:color="auto" w:fill="auto"/>
            <w:tcMar>
              <w:top w:w="100" w:type="dxa"/>
              <w:left w:w="100" w:type="dxa"/>
              <w:bottom w:w="100" w:type="dxa"/>
              <w:right w:w="100" w:type="dxa"/>
            </w:tcMar>
          </w:tcPr>
          <w:p w14:paraId="2B3E42ED" w14:textId="77777777" w:rsidR="006D291A" w:rsidRDefault="00BD6F83">
            <w:pPr>
              <w:widowControl w:val="0"/>
            </w:pPr>
            <w:r>
              <w:t>0.42</w:t>
            </w:r>
          </w:p>
        </w:tc>
        <w:tc>
          <w:tcPr>
            <w:tcW w:w="1395" w:type="dxa"/>
            <w:tcBorders>
              <w:bottom w:val="single" w:sz="8" w:space="0" w:color="000000"/>
              <w:right w:val="nil"/>
            </w:tcBorders>
            <w:shd w:val="clear" w:color="auto" w:fill="auto"/>
            <w:tcMar>
              <w:top w:w="100" w:type="dxa"/>
              <w:left w:w="100" w:type="dxa"/>
              <w:bottom w:w="100" w:type="dxa"/>
              <w:right w:w="100" w:type="dxa"/>
            </w:tcMar>
          </w:tcPr>
          <w:p w14:paraId="2B3E42EE" w14:textId="77777777" w:rsidR="006D291A" w:rsidRDefault="00BD6F83">
            <w:pPr>
              <w:widowControl w:val="0"/>
            </w:pPr>
            <w:r>
              <w:t>0.97</w:t>
            </w:r>
          </w:p>
        </w:tc>
      </w:tr>
    </w:tbl>
    <w:p w14:paraId="2B3E42F0" w14:textId="77777777" w:rsidR="006D291A" w:rsidRDefault="006D291A">
      <w:pPr>
        <w:spacing w:line="360" w:lineRule="auto"/>
      </w:pPr>
    </w:p>
    <w:p w14:paraId="2B3E42F1" w14:textId="77777777" w:rsidR="006D291A" w:rsidRDefault="006D291A">
      <w:pPr>
        <w:spacing w:line="360" w:lineRule="auto"/>
      </w:pPr>
    </w:p>
    <w:p w14:paraId="2B3E42F2" w14:textId="77777777" w:rsidR="006D291A" w:rsidRDefault="00BD6F83">
      <w:pPr>
        <w:rPr>
          <w:sz w:val="28"/>
          <w:szCs w:val="28"/>
        </w:rPr>
      </w:pPr>
      <w:r>
        <w:rPr>
          <w:sz w:val="28"/>
          <w:szCs w:val="28"/>
        </w:rPr>
        <w:t>Visual Diagnostics</w:t>
      </w:r>
    </w:p>
    <w:p w14:paraId="2B3E42F3" w14:textId="77777777" w:rsidR="006D291A" w:rsidRDefault="006D291A">
      <w:pPr>
        <w:rPr>
          <w:sz w:val="28"/>
          <w:szCs w:val="28"/>
        </w:rPr>
      </w:pPr>
    </w:p>
    <w:p w14:paraId="2B3E42F4" w14:textId="77777777" w:rsidR="006D291A" w:rsidRDefault="00BD6F83">
      <w:pPr>
        <w:spacing w:line="360" w:lineRule="auto"/>
      </w:pPr>
      <w:r>
        <w:t xml:space="preserve">We examined visual diagnostics, as well as analysis of juvenile mortality rates, spawning age distributions, vulnerability by age, and catchability, following the report structure from the CWT+GSI model with no synthetic age structure. We did not observe any obvious differences between the two sets of assessments, with the exception of the estimated overdispersion term, and therefore do not repeat redundant results again here. </w:t>
      </w:r>
    </w:p>
    <w:p w14:paraId="2B3E42F5" w14:textId="77777777" w:rsidR="006D291A" w:rsidRDefault="006D291A">
      <w:pPr>
        <w:spacing w:line="360" w:lineRule="auto"/>
      </w:pPr>
    </w:p>
    <w:p w14:paraId="2B3E42F6" w14:textId="77777777" w:rsidR="006D291A" w:rsidRDefault="00BD6F83">
      <w:pPr>
        <w:spacing w:line="360" w:lineRule="auto"/>
      </w:pPr>
      <w:r>
        <w:t xml:space="preserve">Wo do present, however, visual diagnostics comparing the pre-specified age proportions to those estimated in model fitting (Fig. S3.22). Model estimates of age structure largely matched specified age proportions. We do note the model tended to under-estimate the contribution of </w:t>
      </w:r>
      <w:r>
        <w:lastRenderedPageBreak/>
        <w:t>younger age classes and over-estimate the contribution of older age classes, relative to our somewhat empirically informed, pre-specified age proportions.</w:t>
      </w:r>
    </w:p>
    <w:p w14:paraId="2B3E42F7" w14:textId="77777777" w:rsidR="006D291A" w:rsidRDefault="00BD6F83">
      <w:pPr>
        <w:spacing w:line="360" w:lineRule="auto"/>
      </w:pPr>
      <w:r>
        <w:rPr>
          <w:noProof/>
        </w:rPr>
        <w:drawing>
          <wp:inline distT="114300" distB="114300" distL="114300" distR="114300" wp14:anchorId="2B3E4343" wp14:editId="2B3E4344">
            <wp:extent cx="5943600" cy="4559300"/>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5943600" cy="4559300"/>
                    </a:xfrm>
                    <a:prstGeom prst="rect">
                      <a:avLst/>
                    </a:prstGeom>
                    <a:ln/>
                  </pic:spPr>
                </pic:pic>
              </a:graphicData>
            </a:graphic>
          </wp:inline>
        </w:drawing>
      </w:r>
    </w:p>
    <w:p w14:paraId="2B3E42F8" w14:textId="77777777" w:rsidR="006D291A" w:rsidRDefault="00BD6F83">
      <w:r>
        <w:t>Figure S3.22. Model predictions for the estimated proportions of different age classes plotted against specified age proportions. There are multiple specified proportions for a given age because we assigned the SFB stock a different age structure than other stocks and compared different numbers of age classes depending on the season (ages 2-5 in spring/summer, 3-5 in fall/winter). The red dashed line shows the 1:1 line.</w:t>
      </w:r>
    </w:p>
    <w:p w14:paraId="2B3E42F9" w14:textId="77777777" w:rsidR="006D291A" w:rsidRDefault="00BD6F83">
      <w:r>
        <w:br w:type="page"/>
      </w:r>
    </w:p>
    <w:p w14:paraId="2B3E42FA" w14:textId="77777777" w:rsidR="006D291A" w:rsidRDefault="00BD6F83">
      <w:pPr>
        <w:rPr>
          <w:sz w:val="28"/>
          <w:szCs w:val="28"/>
        </w:rPr>
      </w:pPr>
      <w:r>
        <w:rPr>
          <w:sz w:val="28"/>
          <w:szCs w:val="28"/>
        </w:rPr>
        <w:lastRenderedPageBreak/>
        <w:t>GSI Overdispersion Parameter</w:t>
      </w:r>
    </w:p>
    <w:p w14:paraId="2B3E42FB" w14:textId="77777777" w:rsidR="006D291A" w:rsidRDefault="006D291A"/>
    <w:p w14:paraId="2B3E42FC" w14:textId="77777777" w:rsidR="006D291A" w:rsidRDefault="00BD6F83">
      <w:pPr>
        <w:spacing w:line="360" w:lineRule="auto"/>
      </w:pPr>
      <w:r>
        <w:t>We estimated the mean overdispersion parameter for GSI mixture observations to be 0.029 (95% credible interval: 0.027 - 0.032) (Fig. S3.23). The overall distribution of parameter estimates is slightly less in this model with synthetic age structure, compared to the model without it, suggesting slightly less weight is applied to GSI observations in this model.</w:t>
      </w:r>
    </w:p>
    <w:p w14:paraId="2B3E42FD" w14:textId="77777777" w:rsidR="006D291A" w:rsidRDefault="006D291A"/>
    <w:p w14:paraId="2B3E42FE" w14:textId="77777777" w:rsidR="006D291A" w:rsidRDefault="00BD6F83">
      <w:r>
        <w:rPr>
          <w:noProof/>
        </w:rPr>
        <w:drawing>
          <wp:inline distT="114300" distB="114300" distL="114300" distR="114300" wp14:anchorId="2B3E4345" wp14:editId="2B3E4346">
            <wp:extent cx="5943600" cy="5943600"/>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5943600" cy="5943600"/>
                    </a:xfrm>
                    <a:prstGeom prst="rect">
                      <a:avLst/>
                    </a:prstGeom>
                    <a:ln/>
                  </pic:spPr>
                </pic:pic>
              </a:graphicData>
            </a:graphic>
          </wp:inline>
        </w:drawing>
      </w:r>
    </w:p>
    <w:p w14:paraId="2B3E42FF" w14:textId="77777777" w:rsidR="006D291A" w:rsidRDefault="00BD6F83">
      <w:pPr>
        <w:rPr>
          <w:sz w:val="28"/>
          <w:szCs w:val="28"/>
        </w:rPr>
      </w:pPr>
      <w:r>
        <w:t>Figure S3.23. Parameter estimates for the GSI overdispersion term. Dashed blue, purple, and red lines indicate the median, mean, and 95% credible intervals, respectively.</w:t>
      </w:r>
      <w:r>
        <w:br w:type="page"/>
      </w:r>
    </w:p>
    <w:p w14:paraId="2B3E4300" w14:textId="77777777" w:rsidR="006D291A" w:rsidRDefault="00BD6F83">
      <w:pPr>
        <w:rPr>
          <w:sz w:val="28"/>
          <w:szCs w:val="28"/>
        </w:rPr>
      </w:pPr>
      <w:r>
        <w:rPr>
          <w:sz w:val="28"/>
          <w:szCs w:val="28"/>
        </w:rPr>
        <w:lastRenderedPageBreak/>
        <w:t>Direct Comparison of Convergence for GSI+CWT Models With and Without Synthetic Age Structure</w:t>
      </w:r>
    </w:p>
    <w:p w14:paraId="2B3E4301" w14:textId="77777777" w:rsidR="006D291A" w:rsidRDefault="006D291A">
      <w:pPr>
        <w:rPr>
          <w:sz w:val="28"/>
          <w:szCs w:val="28"/>
        </w:rPr>
      </w:pPr>
    </w:p>
    <w:p w14:paraId="2B3E4302" w14:textId="77777777" w:rsidR="006D291A" w:rsidRDefault="00BD6F83">
      <w:pPr>
        <w:spacing w:line="360" w:lineRule="auto"/>
      </w:pPr>
      <w:r>
        <w:t>We present a comparison of model convergence, as indicated by R-hat values, for estimates of total release group abundances for the CWT+GSI models with and without synthetic age structure. We observed that adding the synthetic age structure improved model convergence for estimates of post-season abundances of total release groups (i.e., after natural and fishing mortality are applied), but the observed improvement does not in result in satisfactory convergence based on an upper R-hat threshold of 1.01 (Figure S3.24). Adding synthetic age structure did not improve model convergence for estimates of initial abundance of total release groups (i.e., abundance at the start of the first tracked season, before any fishing or natural mortality has been applied) (Figure S3.25). The extreme R-hat values for these parameters suggests our lack of information on starting release group abundance is particularly problematic for these initial estimates of abundance.</w:t>
      </w:r>
    </w:p>
    <w:p w14:paraId="2B3E4303" w14:textId="77777777" w:rsidR="006D291A" w:rsidRDefault="006D291A">
      <w:pPr>
        <w:spacing w:line="360" w:lineRule="auto"/>
      </w:pPr>
    </w:p>
    <w:p w14:paraId="2B3E4304" w14:textId="77777777" w:rsidR="006D291A" w:rsidRDefault="006D291A">
      <w:pPr>
        <w:spacing w:line="360" w:lineRule="auto"/>
        <w:rPr>
          <w:sz w:val="28"/>
          <w:szCs w:val="28"/>
        </w:rPr>
      </w:pPr>
    </w:p>
    <w:p w14:paraId="2B3E4305" w14:textId="77777777" w:rsidR="006D291A" w:rsidRDefault="006D291A"/>
    <w:p w14:paraId="2B3E4306" w14:textId="77777777" w:rsidR="006D291A" w:rsidRDefault="00BD6F83">
      <w:r>
        <w:rPr>
          <w:noProof/>
        </w:rPr>
        <w:lastRenderedPageBreak/>
        <w:drawing>
          <wp:inline distT="114300" distB="114300" distL="114300" distR="114300" wp14:anchorId="2B3E4347" wp14:editId="2B3E4348">
            <wp:extent cx="5753100" cy="5686425"/>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5753100" cy="5686425"/>
                    </a:xfrm>
                    <a:prstGeom prst="rect">
                      <a:avLst/>
                    </a:prstGeom>
                    <a:ln/>
                  </pic:spPr>
                </pic:pic>
              </a:graphicData>
            </a:graphic>
          </wp:inline>
        </w:drawing>
      </w:r>
    </w:p>
    <w:p w14:paraId="2B3E4307" w14:textId="77777777" w:rsidR="006D291A" w:rsidRDefault="00BD6F83">
      <w:r>
        <w:t>Figure S3.24. Summary of R-hat values for all log-transformed abundance estimates for total release groups at the end of each season, after natural and fishing mortality have been applied, for the CWT+GSI models with and without synthetic age structure.</w:t>
      </w:r>
    </w:p>
    <w:p w14:paraId="2B3E4308" w14:textId="77777777" w:rsidR="006D291A" w:rsidRDefault="006D291A"/>
    <w:p w14:paraId="2B3E4309" w14:textId="77777777" w:rsidR="006D291A" w:rsidRDefault="00BD6F83">
      <w:r>
        <w:rPr>
          <w:noProof/>
        </w:rPr>
        <w:lastRenderedPageBreak/>
        <w:drawing>
          <wp:inline distT="114300" distB="114300" distL="114300" distR="114300" wp14:anchorId="2B3E4349" wp14:editId="2B3E434A">
            <wp:extent cx="5753100" cy="5686425"/>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5753100" cy="5686425"/>
                    </a:xfrm>
                    <a:prstGeom prst="rect">
                      <a:avLst/>
                    </a:prstGeom>
                    <a:ln/>
                  </pic:spPr>
                </pic:pic>
              </a:graphicData>
            </a:graphic>
          </wp:inline>
        </w:drawing>
      </w:r>
    </w:p>
    <w:p w14:paraId="2B3E430A" w14:textId="77777777" w:rsidR="006D291A" w:rsidRDefault="00BD6F83">
      <w:r>
        <w:t>Figure S3.25. Summary of R-hat values for log-transformed estimates of initial abundance for total release groups, at the beginning of the first tracked season, for the CWT+GSI models with and without synthetic age structure.</w:t>
      </w:r>
      <w:r>
        <w:br w:type="page"/>
      </w:r>
    </w:p>
    <w:p w14:paraId="2B3E430B" w14:textId="77777777" w:rsidR="006D291A" w:rsidRDefault="00BD6F83">
      <w:pPr>
        <w:spacing w:line="360" w:lineRule="auto"/>
        <w:rPr>
          <w:sz w:val="28"/>
          <w:szCs w:val="28"/>
        </w:rPr>
      </w:pPr>
      <w:r>
        <w:rPr>
          <w:sz w:val="28"/>
          <w:szCs w:val="28"/>
        </w:rPr>
        <w:lastRenderedPageBreak/>
        <w:t>Comparison of Estimated Spatial Distribution for GSI+CWT Models With and Without Synthetic Age Structure</w:t>
      </w:r>
    </w:p>
    <w:p w14:paraId="2B3E430C" w14:textId="77777777" w:rsidR="006D291A" w:rsidRDefault="006D291A">
      <w:pPr>
        <w:spacing w:line="360" w:lineRule="auto"/>
      </w:pPr>
    </w:p>
    <w:p w14:paraId="2B3E430D" w14:textId="77777777" w:rsidR="006D291A" w:rsidRDefault="00BD6F83">
      <w:pPr>
        <w:spacing w:line="360" w:lineRule="auto"/>
      </w:pPr>
      <w:r>
        <w:t>We compare estimated seasonal spatial distributions of the four stocks for the GSI+CWT models with and without synthetic age structure (Figure S3.26). We observe little to no difference in spatial distribution between models, indicating that convergence (or lack thereof) of abundance parameters does not affect our estimates of spatial distribution in the GSI+CWT models.</w:t>
      </w:r>
    </w:p>
    <w:p w14:paraId="2B3E430E" w14:textId="77777777" w:rsidR="006D291A" w:rsidRDefault="00BD6F83">
      <w:r>
        <w:rPr>
          <w:noProof/>
        </w:rPr>
        <w:drawing>
          <wp:inline distT="114300" distB="114300" distL="114300" distR="114300" wp14:anchorId="2B3E434B" wp14:editId="2B3E434C">
            <wp:extent cx="5943600" cy="552450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5943600" cy="5524500"/>
                    </a:xfrm>
                    <a:prstGeom prst="rect">
                      <a:avLst/>
                    </a:prstGeom>
                    <a:ln/>
                  </pic:spPr>
                </pic:pic>
              </a:graphicData>
            </a:graphic>
          </wp:inline>
        </w:drawing>
      </w:r>
    </w:p>
    <w:p w14:paraId="2B3E430F" w14:textId="77777777" w:rsidR="006D291A" w:rsidRDefault="00BD6F83">
      <w:r>
        <w:t>Figure S3.26. Estimated spatial distributions of the four tracked stocks by season. Shades of gray in each facet represent the total number of recovered CWTs that contributed to estimates of spatial distribution. Error bars represent 95% credible intervals.</w:t>
      </w:r>
      <w:r>
        <w:br w:type="page"/>
      </w:r>
    </w:p>
    <w:p w14:paraId="2B3E4310" w14:textId="77777777" w:rsidR="006D291A" w:rsidRDefault="00BD6F83">
      <w:pPr>
        <w:spacing w:line="360" w:lineRule="auto"/>
      </w:pPr>
      <w:r>
        <w:rPr>
          <w:sz w:val="28"/>
          <w:szCs w:val="28"/>
        </w:rPr>
        <w:lastRenderedPageBreak/>
        <w:t>Comparison of Estimated Stock Abundances for GSI+CWT Models With and Without Synthetic Age Structure</w:t>
      </w:r>
    </w:p>
    <w:p w14:paraId="2B3E4311" w14:textId="77777777" w:rsidR="006D291A" w:rsidRDefault="00BD6F83">
      <w:pPr>
        <w:spacing w:line="360" w:lineRule="auto"/>
      </w:pPr>
      <w:r>
        <w:t xml:space="preserve">We present estimated regional and seasonal stock abundances for 2002 and 2009 stocks for the </w:t>
      </w:r>
      <w:proofErr w:type="spellStart"/>
      <w:r>
        <w:rPr>
          <w:i/>
        </w:rPr>
        <w:t>GSI+CWT+Age</w:t>
      </w:r>
      <w:proofErr w:type="spellEnd"/>
      <w:r>
        <w:t xml:space="preserve"> model, for comparison to estimated stock abundances for the </w:t>
      </w:r>
      <w:r>
        <w:rPr>
          <w:i/>
        </w:rPr>
        <w:t>GSI+CWT</w:t>
      </w:r>
      <w:r>
        <w:t xml:space="preserve"> model in Figure 5 (Figure S3.27). We observe little to no difference in estimated stock abundances between models.</w:t>
      </w:r>
    </w:p>
    <w:p w14:paraId="2B3E4312" w14:textId="77777777" w:rsidR="006D291A" w:rsidRDefault="006D291A">
      <w:pPr>
        <w:spacing w:line="360" w:lineRule="auto"/>
      </w:pPr>
    </w:p>
    <w:p w14:paraId="2B3E4313" w14:textId="77777777" w:rsidR="006D291A" w:rsidRDefault="00BD6F83">
      <w:pPr>
        <w:spacing w:line="360" w:lineRule="auto"/>
      </w:pPr>
      <w:r>
        <w:rPr>
          <w:noProof/>
        </w:rPr>
        <w:drawing>
          <wp:inline distT="114300" distB="114300" distL="114300" distR="114300" wp14:anchorId="2B3E434D" wp14:editId="2B3E434E">
            <wp:extent cx="5297016" cy="5297016"/>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5297016" cy="5297016"/>
                    </a:xfrm>
                    <a:prstGeom prst="rect">
                      <a:avLst/>
                    </a:prstGeom>
                    <a:ln/>
                  </pic:spPr>
                </pic:pic>
              </a:graphicData>
            </a:graphic>
          </wp:inline>
        </w:drawing>
      </w:r>
    </w:p>
    <w:p w14:paraId="2B3E4314" w14:textId="77777777" w:rsidR="006D291A" w:rsidRDefault="00BD6F83">
      <w:pPr>
        <w:spacing w:line="360" w:lineRule="auto"/>
      </w:pPr>
      <w:r>
        <w:t xml:space="preserve">Figure S3.27. Estimated stock abundances and proportional contributions by season, year, and region for the </w:t>
      </w:r>
      <w:proofErr w:type="spellStart"/>
      <w:r>
        <w:rPr>
          <w:i/>
        </w:rPr>
        <w:t>CWT+GSI+Age</w:t>
      </w:r>
      <w:proofErr w:type="spellEnd"/>
      <w:r>
        <w:t xml:space="preserve"> model. We selected 2002 and 2009 to highlight contrast in total abundance and stock-specific proportional contributions to abundance.</w:t>
      </w:r>
      <w:r>
        <w:br w:type="page"/>
      </w:r>
    </w:p>
    <w:p w14:paraId="2B3E4315" w14:textId="77777777" w:rsidR="006D291A" w:rsidRPr="008C05CD" w:rsidRDefault="00BD6F83">
      <w:pPr>
        <w:rPr>
          <w:b/>
          <w:bCs/>
        </w:rPr>
      </w:pPr>
      <w:r w:rsidRPr="008C05CD">
        <w:rPr>
          <w:b/>
          <w:bCs/>
        </w:rPr>
        <w:lastRenderedPageBreak/>
        <w:t>Citations</w:t>
      </w:r>
    </w:p>
    <w:p w14:paraId="2B3E4316" w14:textId="77777777" w:rsidR="006D291A" w:rsidRDefault="006D291A"/>
    <w:p w14:paraId="2B3E4317" w14:textId="3365820F" w:rsidR="006D291A" w:rsidRDefault="00BD6F83">
      <w:pPr>
        <w:rPr>
          <w:rFonts w:ascii="Times" w:eastAsia="Times" w:hAnsi="Times" w:cs="Times"/>
          <w:color w:val="000000"/>
        </w:rPr>
      </w:pPr>
      <w:r>
        <w:t>Stan Development Team (2022). “</w:t>
      </w:r>
      <w:proofErr w:type="spellStart"/>
      <w:r>
        <w:t>RStan</w:t>
      </w:r>
      <w:proofErr w:type="spellEnd"/>
      <w:r>
        <w:t>: the R interface to Stan.” R package version 2.21.2, https://mc-stan.org/</w:t>
      </w:r>
    </w:p>
    <w:p w14:paraId="2B3E4318" w14:textId="77777777" w:rsidR="006D291A" w:rsidRDefault="006D291A"/>
    <w:sectPr w:rsidR="006D291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91A"/>
    <w:rsid w:val="000A67EB"/>
    <w:rsid w:val="0017127E"/>
    <w:rsid w:val="00197E0B"/>
    <w:rsid w:val="001C6CBD"/>
    <w:rsid w:val="001D16D5"/>
    <w:rsid w:val="002800AA"/>
    <w:rsid w:val="002A0D9A"/>
    <w:rsid w:val="002F1204"/>
    <w:rsid w:val="00325A45"/>
    <w:rsid w:val="0035226D"/>
    <w:rsid w:val="00352886"/>
    <w:rsid w:val="003F554E"/>
    <w:rsid w:val="00401162"/>
    <w:rsid w:val="00461D4B"/>
    <w:rsid w:val="004E1EF7"/>
    <w:rsid w:val="00593048"/>
    <w:rsid w:val="005F0B56"/>
    <w:rsid w:val="006618AD"/>
    <w:rsid w:val="006C7507"/>
    <w:rsid w:val="006D291A"/>
    <w:rsid w:val="00740B73"/>
    <w:rsid w:val="007615BB"/>
    <w:rsid w:val="008C05CD"/>
    <w:rsid w:val="009A6DA3"/>
    <w:rsid w:val="00A67377"/>
    <w:rsid w:val="00AB0E55"/>
    <w:rsid w:val="00B717CF"/>
    <w:rsid w:val="00B927E0"/>
    <w:rsid w:val="00BC3189"/>
    <w:rsid w:val="00BD6F83"/>
    <w:rsid w:val="00BE381A"/>
    <w:rsid w:val="00C65F3F"/>
    <w:rsid w:val="00CA3997"/>
    <w:rsid w:val="00CE5A3F"/>
    <w:rsid w:val="00D30B05"/>
    <w:rsid w:val="00D463B2"/>
    <w:rsid w:val="00D565F9"/>
    <w:rsid w:val="00DD6980"/>
    <w:rsid w:val="00E556ED"/>
    <w:rsid w:val="00EA5FEB"/>
    <w:rsid w:val="00EC141A"/>
    <w:rsid w:val="00EE70C3"/>
    <w:rsid w:val="00F637B9"/>
    <w:rsid w:val="00F71A41"/>
    <w:rsid w:val="00F760D6"/>
    <w:rsid w:val="00FF13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E41C5"/>
  <w15:docId w15:val="{3B8D43EE-845B-4470-AE92-07C6013A0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DF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974DF4"/>
    <w:rPr>
      <w:sz w:val="16"/>
      <w:szCs w:val="16"/>
    </w:rPr>
  </w:style>
  <w:style w:type="paragraph" w:styleId="CommentText">
    <w:name w:val="annotation text"/>
    <w:basedOn w:val="Normal"/>
    <w:link w:val="CommentTextChar"/>
    <w:uiPriority w:val="99"/>
    <w:unhideWhenUsed/>
    <w:rsid w:val="00974DF4"/>
    <w:rPr>
      <w:sz w:val="20"/>
      <w:szCs w:val="20"/>
    </w:rPr>
  </w:style>
  <w:style w:type="character" w:customStyle="1" w:styleId="CommentTextChar">
    <w:name w:val="Comment Text Char"/>
    <w:basedOn w:val="DefaultParagraphFont"/>
    <w:link w:val="CommentText"/>
    <w:uiPriority w:val="99"/>
    <w:rsid w:val="00974DF4"/>
    <w:rPr>
      <w:sz w:val="20"/>
      <w:szCs w:val="20"/>
    </w:rPr>
  </w:style>
  <w:style w:type="paragraph" w:styleId="CommentSubject">
    <w:name w:val="annotation subject"/>
    <w:basedOn w:val="CommentText"/>
    <w:next w:val="CommentText"/>
    <w:link w:val="CommentSubjectChar"/>
    <w:uiPriority w:val="99"/>
    <w:semiHidden/>
    <w:unhideWhenUsed/>
    <w:rsid w:val="00974DF4"/>
    <w:rPr>
      <w:b/>
      <w:bCs/>
    </w:rPr>
  </w:style>
  <w:style w:type="character" w:customStyle="1" w:styleId="CommentSubjectChar">
    <w:name w:val="Comment Subject Char"/>
    <w:basedOn w:val="CommentTextChar"/>
    <w:link w:val="CommentSubject"/>
    <w:uiPriority w:val="99"/>
    <w:semiHidden/>
    <w:rsid w:val="00974DF4"/>
    <w:rPr>
      <w:b/>
      <w:bCs/>
      <w:sz w:val="20"/>
      <w:szCs w:val="20"/>
    </w:rPr>
  </w:style>
  <w:style w:type="paragraph" w:styleId="ListParagraph">
    <w:name w:val="List Paragraph"/>
    <w:basedOn w:val="Normal"/>
    <w:uiPriority w:val="34"/>
    <w:qFormat/>
    <w:rsid w:val="002F5DAF"/>
    <w:pPr>
      <w:ind w:left="720"/>
      <w:contextualSpacing/>
    </w:pPr>
  </w:style>
  <w:style w:type="table" w:styleId="TableGrid">
    <w:name w:val="Table Grid"/>
    <w:basedOn w:val="TableNormal"/>
    <w:uiPriority w:val="59"/>
    <w:rsid w:val="002F5DAF"/>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0A67EB"/>
  </w:style>
  <w:style w:type="character" w:styleId="PlaceholderText">
    <w:name w:val="Placeholder Text"/>
    <w:basedOn w:val="DefaultParagraphFont"/>
    <w:uiPriority w:val="99"/>
    <w:semiHidden/>
    <w:rsid w:val="00F71A4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bVMEiSE2VUMovCP2ZIbpeKQ2I6Q==">AMUW2mVou38oreQz76E+5NritStfUJUbc2Fj2ISAjc0dexcRMLtOvEspz6e0ZZeE7X2AA42BHfTpIgiqiCVlolhKj90+rmYmuiNm3A3iX0Pd5BnZugo58DrExVJC33K/tWo08LvujrMIBSVpp7MLHPeT5ESBI1qo7WfPWBfnqLlNoghfATn9OwO2IBASw6K83hGUpOYku6zYSeiGg2vkp65EWDTUajslVYvLR7/xtXT7LaplorYGpmnbVLkKCYWMAI3rgWIrkKJ5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3630</Words>
  <Characters>20693</Characters>
  <Application>Microsoft Office Word</Application>
  <DocSecurity>0</DocSecurity>
  <Lines>172</Lines>
  <Paragraphs>48</Paragraphs>
  <ScaleCrop>false</ScaleCrop>
  <Company/>
  <LinksUpToDate>false</LinksUpToDate>
  <CharactersWithSpaces>24275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jensena1</dc:creator>
  <cp:lastModifiedBy>Alexander Jensen</cp:lastModifiedBy>
  <cp:revision>4</cp:revision>
  <dcterms:created xsi:type="dcterms:W3CDTF">2023-10-03T18:53:00Z</dcterms:created>
  <dcterms:modified xsi:type="dcterms:W3CDTF">2023-10-03T18:59:00Z</dcterms:modified>
</cp:coreProperties>
</file>