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pPr w:leftFromText="180" w:rightFromText="180" w:vertAnchor="page" w:horzAnchor="margin" w:tblpXSpec="center" w:tblpY="1"/>
        <w:tblW w:w="15021" w:type="dxa"/>
        <w:tblLook w:val="04A0" w:firstRow="1" w:lastRow="0" w:firstColumn="1" w:lastColumn="0" w:noHBand="0" w:noVBand="1"/>
      </w:tblPr>
      <w:tblGrid>
        <w:gridCol w:w="5242"/>
        <w:gridCol w:w="8021"/>
        <w:gridCol w:w="1758"/>
      </w:tblGrid>
      <w:tr w:rsidR="003E23D3" w:rsidRPr="00E9571B" w14:paraId="5A9226C6" w14:textId="77777777">
        <w:trPr>
          <w:trHeight w:val="2836"/>
        </w:trPr>
        <w:tc>
          <w:tcPr>
            <w:tcW w:w="15021" w:type="dxa"/>
            <w:gridSpan w:val="3"/>
            <w:tcBorders>
              <w:top w:val="nil"/>
              <w:left w:val="nil"/>
              <w:bottom w:val="single" w:sz="4" w:space="0" w:color="auto"/>
              <w:right w:val="nil"/>
            </w:tcBorders>
            <w:vAlign w:val="center"/>
          </w:tcPr>
          <w:p w14:paraId="40FCDAD0" w14:textId="77777777" w:rsidR="003E23D3" w:rsidRPr="00E9571B" w:rsidRDefault="003E23D3">
            <w:pPr>
              <w:jc w:val="center"/>
              <w:rPr>
                <w:rFonts w:ascii="Times New Roman" w:hAnsi="Times New Roman" w:cs="Times New Roman"/>
                <w:b/>
                <w:bCs/>
                <w:sz w:val="24"/>
                <w:szCs w:val="24"/>
              </w:rPr>
            </w:pPr>
          </w:p>
          <w:p w14:paraId="3F632EB6" w14:textId="77777777" w:rsidR="003E23D3" w:rsidRPr="00E9571B" w:rsidRDefault="003E23D3">
            <w:pPr>
              <w:jc w:val="center"/>
              <w:rPr>
                <w:rFonts w:ascii="Times New Roman" w:hAnsi="Times New Roman" w:cs="Times New Roman"/>
                <w:b/>
                <w:bCs/>
                <w:sz w:val="24"/>
                <w:szCs w:val="24"/>
              </w:rPr>
            </w:pPr>
          </w:p>
          <w:p w14:paraId="5B03CB17" w14:textId="77777777" w:rsidR="003E23D3" w:rsidRPr="00E9571B" w:rsidRDefault="003E23D3">
            <w:pPr>
              <w:jc w:val="center"/>
              <w:rPr>
                <w:rFonts w:ascii="Times New Roman" w:hAnsi="Times New Roman" w:cs="Times New Roman"/>
                <w:b/>
                <w:bCs/>
                <w:sz w:val="24"/>
                <w:szCs w:val="24"/>
              </w:rPr>
            </w:pPr>
          </w:p>
          <w:p w14:paraId="15B67118" w14:textId="77777777" w:rsidR="003E23D3" w:rsidRPr="00E9571B" w:rsidRDefault="003E23D3" w:rsidP="005843A6">
            <w:pPr>
              <w:rPr>
                <w:rFonts w:ascii="Times New Roman" w:hAnsi="Times New Roman" w:cs="Times New Roman"/>
                <w:b/>
                <w:bCs/>
                <w:sz w:val="24"/>
                <w:szCs w:val="24"/>
              </w:rPr>
            </w:pPr>
          </w:p>
          <w:p w14:paraId="69919236" w14:textId="77777777" w:rsidR="003E23D3" w:rsidRPr="00E9571B" w:rsidRDefault="003E23D3">
            <w:pPr>
              <w:jc w:val="center"/>
              <w:rPr>
                <w:rFonts w:ascii="Times New Roman" w:hAnsi="Times New Roman" w:cs="Times New Roman"/>
                <w:b/>
                <w:bCs/>
                <w:sz w:val="24"/>
                <w:szCs w:val="24"/>
              </w:rPr>
            </w:pPr>
          </w:p>
          <w:p w14:paraId="10A30F64" w14:textId="11867967" w:rsidR="003E23D3" w:rsidRPr="00E9571B" w:rsidRDefault="00000000">
            <w:pPr>
              <w:tabs>
                <w:tab w:val="left" w:pos="6840"/>
              </w:tabs>
              <w:jc w:val="center"/>
              <w:rPr>
                <w:rFonts w:ascii="Times New Roman" w:hAnsi="Times New Roman" w:cs="Times New Roman"/>
                <w:b/>
                <w:bCs/>
                <w:sz w:val="24"/>
                <w:szCs w:val="24"/>
              </w:rPr>
            </w:pPr>
            <w:r>
              <w:rPr>
                <w:rFonts w:ascii="Times New Roman" w:hAnsi="Times New Roman" w:cs="Times New Roman"/>
                <w:b/>
                <w:bCs/>
                <w:sz w:val="24"/>
                <w:szCs w:val="24"/>
              </w:rPr>
              <w:t xml:space="preserve">The explanations of the </w:t>
            </w:r>
            <w:r w:rsidRPr="00E9571B">
              <w:rPr>
                <w:rFonts w:ascii="Times New Roman" w:hAnsi="Times New Roman" w:cs="Times New Roman"/>
                <w:b/>
                <w:bCs/>
                <w:sz w:val="24"/>
                <w:szCs w:val="24"/>
              </w:rPr>
              <w:t xml:space="preserve">technical terms and jargons in </w:t>
            </w:r>
            <w:bookmarkStart w:id="0" w:name="_Hlk147868386"/>
            <w:r w:rsidR="00E9571B" w:rsidRPr="00E9571B">
              <w:rPr>
                <w:rFonts w:ascii="Times New Roman" w:hAnsi="Times New Roman" w:cs="Times New Roman"/>
                <w:b/>
                <w:bCs/>
                <w:sz w:val="24"/>
                <w:szCs w:val="24"/>
              </w:rPr>
              <w:t>“Digital PBL-CBL teaching method improves students’ performance in learning complex implant cases at atrophic anterior maxilla</w:t>
            </w:r>
            <w:bookmarkEnd w:id="0"/>
            <w:r w:rsidRPr="00E9571B">
              <w:rPr>
                <w:rFonts w:ascii="Times New Roman" w:hAnsi="Times New Roman" w:cs="Times New Roman"/>
                <w:b/>
                <w:bCs/>
                <w:sz w:val="24"/>
                <w:szCs w:val="24"/>
              </w:rPr>
              <w:t>”</w:t>
            </w:r>
          </w:p>
        </w:tc>
      </w:tr>
      <w:tr w:rsidR="003E23D3" w14:paraId="4DB0316F" w14:textId="77777777">
        <w:trPr>
          <w:trHeight w:val="698"/>
        </w:trPr>
        <w:tc>
          <w:tcPr>
            <w:tcW w:w="5242" w:type="dxa"/>
            <w:tcBorders>
              <w:top w:val="single" w:sz="4" w:space="0" w:color="auto"/>
            </w:tcBorders>
            <w:vAlign w:val="center"/>
          </w:tcPr>
          <w:p w14:paraId="33E663A8" w14:textId="77777777" w:rsidR="003E23D3" w:rsidRDefault="0000000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Item</w:t>
            </w:r>
          </w:p>
        </w:tc>
        <w:tc>
          <w:tcPr>
            <w:tcW w:w="8021" w:type="dxa"/>
            <w:tcBorders>
              <w:top w:val="single" w:sz="4" w:space="0" w:color="auto"/>
            </w:tcBorders>
            <w:vAlign w:val="center"/>
          </w:tcPr>
          <w:p w14:paraId="2889E2D3" w14:textId="77777777" w:rsidR="003E23D3" w:rsidRDefault="0000000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explanation</w:t>
            </w:r>
          </w:p>
        </w:tc>
        <w:tc>
          <w:tcPr>
            <w:tcW w:w="1758" w:type="dxa"/>
            <w:tcBorders>
              <w:top w:val="single" w:sz="4" w:space="0" w:color="auto"/>
            </w:tcBorders>
            <w:vAlign w:val="center"/>
          </w:tcPr>
          <w:p w14:paraId="4CCF745F" w14:textId="77777777" w:rsidR="003E23D3" w:rsidRDefault="0000000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Line number</w:t>
            </w:r>
          </w:p>
        </w:tc>
      </w:tr>
      <w:tr w:rsidR="003E23D3" w14:paraId="482FCB14" w14:textId="77777777">
        <w:tc>
          <w:tcPr>
            <w:tcW w:w="5242" w:type="dxa"/>
            <w:vAlign w:val="center"/>
          </w:tcPr>
          <w:p w14:paraId="7B654FC1" w14:textId="77777777" w:rsidR="003E23D3" w:rsidRDefault="00000000">
            <w:pPr>
              <w:jc w:val="center"/>
              <w:rPr>
                <w:rFonts w:ascii="Times New Roman" w:hAnsi="Times New Roman" w:cs="Times New Roman"/>
                <w:color w:val="000000" w:themeColor="text1"/>
                <w:sz w:val="24"/>
                <w:szCs w:val="24"/>
              </w:rPr>
            </w:pPr>
            <w:bookmarkStart w:id="1" w:name="OLE_LINK13"/>
            <w:bookmarkStart w:id="2" w:name="_Hlk147934803"/>
            <w:r>
              <w:rPr>
                <w:rFonts w:ascii="Times New Roman" w:eastAsia="宋体" w:hAnsi="Times New Roman" w:cs="Times New Roman"/>
                <w:color w:val="000000" w:themeColor="text1"/>
                <w:kern w:val="0"/>
                <w:sz w:val="24"/>
                <w:szCs w:val="24"/>
                <w:shd w:val="clear" w:color="auto" w:fill="FEFEFE"/>
              </w:rPr>
              <w:t>Prosthetically-oriented placement of dental implants</w:t>
            </w:r>
            <w:bookmarkEnd w:id="1"/>
          </w:p>
        </w:tc>
        <w:tc>
          <w:tcPr>
            <w:tcW w:w="8021" w:type="dxa"/>
          </w:tcPr>
          <w:p w14:paraId="78B1968C" w14:textId="77777777" w:rsidR="003E23D3" w:rsidRDefault="00000000">
            <w:pPr>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The concept of " </w:t>
            </w:r>
            <w:r>
              <w:rPr>
                <w:rFonts w:ascii="Times New Roman" w:eastAsia="宋体" w:hAnsi="Times New Roman" w:cs="Times New Roman"/>
                <w:color w:val="000000" w:themeColor="text1"/>
                <w:kern w:val="0"/>
                <w:sz w:val="24"/>
                <w:szCs w:val="24"/>
                <w:shd w:val="clear" w:color="auto" w:fill="FEFEFE"/>
              </w:rPr>
              <w:t>Prosthetically-oriented placement of dental implants</w:t>
            </w:r>
            <w:r>
              <w:rPr>
                <w:rFonts w:ascii="Times New Roman" w:hAnsi="Times New Roman" w:cs="Times New Roman"/>
                <w:color w:val="000000" w:themeColor="text1"/>
                <w:sz w:val="24"/>
                <w:szCs w:val="24"/>
              </w:rPr>
              <w:t xml:space="preserve"> " has become the consensus of implantation therapy. The ideal shape and position of the prosthesis are designed according to the facial shape and tooth shape of the patient, and the implant is placed according to the ideal position of the prosthesis to ensure its accurate position and axial orientation.</w:t>
            </w:r>
          </w:p>
        </w:tc>
        <w:tc>
          <w:tcPr>
            <w:tcW w:w="1758" w:type="dxa"/>
            <w:vAlign w:val="center"/>
          </w:tcPr>
          <w:p w14:paraId="4FE96761" w14:textId="333FF697"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ine </w:t>
            </w:r>
            <w:r w:rsidR="00CF172F">
              <w:rPr>
                <w:rFonts w:ascii="Times New Roman" w:hAnsi="Times New Roman" w:cs="Times New Roman"/>
                <w:color w:val="000000" w:themeColor="text1"/>
                <w:sz w:val="24"/>
                <w:szCs w:val="24"/>
              </w:rPr>
              <w:t>56</w:t>
            </w:r>
          </w:p>
        </w:tc>
      </w:tr>
      <w:bookmarkEnd w:id="2"/>
      <w:tr w:rsidR="003E23D3" w14:paraId="6EA6D222" w14:textId="77777777">
        <w:tc>
          <w:tcPr>
            <w:tcW w:w="5242" w:type="dxa"/>
            <w:vAlign w:val="center"/>
          </w:tcPr>
          <w:p w14:paraId="6C8EAC1C" w14:textId="53C0E865" w:rsidR="003E23D3" w:rsidRPr="00E9571B" w:rsidRDefault="00000000">
            <w:pPr>
              <w:jc w:val="center"/>
              <w:rPr>
                <w:rFonts w:ascii="Times New Roman" w:eastAsia="宋体" w:hAnsi="Times New Roman" w:cs="Times New Roman"/>
                <w:color w:val="000000" w:themeColor="text1"/>
                <w:kern w:val="0"/>
                <w:sz w:val="24"/>
                <w:szCs w:val="24"/>
                <w:shd w:val="clear" w:color="auto" w:fill="FEFEFE"/>
              </w:rPr>
            </w:pPr>
            <w:r>
              <w:rPr>
                <w:rFonts w:ascii="Times New Roman" w:eastAsia="宋体" w:hAnsi="Times New Roman" w:cs="Times New Roman"/>
                <w:color w:val="000000" w:themeColor="text1"/>
                <w:kern w:val="0"/>
                <w:sz w:val="24"/>
                <w:szCs w:val="24"/>
                <w:shd w:val="clear" w:color="auto" w:fill="FEFEFE"/>
              </w:rPr>
              <w:t xml:space="preserve">Soft </w:t>
            </w:r>
            <w:r>
              <w:rPr>
                <w:rFonts w:ascii="Times New Roman" w:eastAsia="宋体" w:hAnsi="Times New Roman" w:cs="Times New Roman" w:hint="eastAsia"/>
                <w:color w:val="000000" w:themeColor="text1"/>
                <w:kern w:val="0"/>
                <w:sz w:val="24"/>
                <w:szCs w:val="24"/>
                <w:shd w:val="clear" w:color="auto" w:fill="FEFEFE"/>
              </w:rPr>
              <w:t xml:space="preserve">tissue </w:t>
            </w:r>
            <w:r>
              <w:rPr>
                <w:rFonts w:ascii="Times New Roman" w:eastAsia="宋体" w:hAnsi="Times New Roman" w:cs="Times New Roman"/>
                <w:color w:val="000000" w:themeColor="text1"/>
                <w:kern w:val="0"/>
                <w:sz w:val="24"/>
                <w:szCs w:val="24"/>
                <w:shd w:val="clear" w:color="auto" w:fill="FEFEFE"/>
              </w:rPr>
              <w:t>management</w:t>
            </w:r>
          </w:p>
        </w:tc>
        <w:tc>
          <w:tcPr>
            <w:tcW w:w="8021" w:type="dxa"/>
          </w:tcPr>
          <w:p w14:paraId="386D92F4" w14:textId="77777777" w:rsidR="003E23D3" w:rsidRPr="00E9571B" w:rsidRDefault="00000000">
            <w:pPr>
              <w:widowControl/>
              <w:rPr>
                <w:rFonts w:ascii="Times New Roman" w:eastAsia="宋体" w:hAnsi="Times New Roman" w:cs="Times New Roman"/>
                <w:color w:val="000000" w:themeColor="text1"/>
                <w:kern w:val="0"/>
                <w:sz w:val="24"/>
                <w:szCs w:val="24"/>
                <w:shd w:val="clear" w:color="auto" w:fill="FEFEFE"/>
              </w:rPr>
            </w:pPr>
            <w:r>
              <w:rPr>
                <w:rFonts w:ascii="Times New Roman" w:eastAsia="宋体" w:hAnsi="Times New Roman" w:cs="Times New Roman"/>
                <w:color w:val="000000" w:themeColor="text1"/>
                <w:kern w:val="0"/>
                <w:sz w:val="24"/>
                <w:szCs w:val="24"/>
                <w:shd w:val="clear" w:color="auto" w:fill="FEFEFE"/>
              </w:rPr>
              <w:t>Soft management</w:t>
            </w:r>
            <w:r w:rsidRPr="00E9571B">
              <w:rPr>
                <w:rFonts w:ascii="Times New Roman" w:eastAsia="宋体" w:hAnsi="Times New Roman" w:cs="Times New Roman"/>
                <w:color w:val="000000" w:themeColor="text1"/>
                <w:kern w:val="0"/>
                <w:sz w:val="24"/>
                <w:szCs w:val="24"/>
                <w:shd w:val="clear" w:color="auto" w:fill="FEFEFE"/>
              </w:rPr>
              <w:t xml:space="preserve"> is a step in the dental implant restoration process. </w:t>
            </w:r>
            <w:proofErr w:type="gramStart"/>
            <w:r w:rsidRPr="00E9571B">
              <w:rPr>
                <w:rFonts w:ascii="Times New Roman" w:eastAsia="宋体" w:hAnsi="Times New Roman" w:cs="Times New Roman"/>
                <w:color w:val="000000" w:themeColor="text1"/>
                <w:kern w:val="0"/>
                <w:sz w:val="24"/>
                <w:szCs w:val="24"/>
                <w:shd w:val="clear" w:color="auto" w:fill="FEFEFE"/>
              </w:rPr>
              <w:t>In order to</w:t>
            </w:r>
            <w:proofErr w:type="gramEnd"/>
            <w:r w:rsidRPr="00E9571B">
              <w:rPr>
                <w:rFonts w:ascii="Times New Roman" w:eastAsia="宋体" w:hAnsi="Times New Roman" w:cs="Times New Roman"/>
                <w:color w:val="000000" w:themeColor="text1"/>
                <w:kern w:val="0"/>
                <w:sz w:val="24"/>
                <w:szCs w:val="24"/>
                <w:shd w:val="clear" w:color="auto" w:fill="FEFEFE"/>
              </w:rPr>
              <w:t xml:space="preserve"> achieve better aesthetic results, the soft tissue around the implant should be shaped before the final restoration to form a soft tissue shape similar to the natural gingiva and get a well aesthetic effect.</w:t>
            </w:r>
          </w:p>
        </w:tc>
        <w:tc>
          <w:tcPr>
            <w:tcW w:w="1758" w:type="dxa"/>
            <w:vAlign w:val="center"/>
          </w:tcPr>
          <w:p w14:paraId="5EAB59F4" w14:textId="40D01152"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ine </w:t>
            </w:r>
            <w:r w:rsidR="00CF172F">
              <w:rPr>
                <w:rFonts w:ascii="Times New Roman" w:hAnsi="Times New Roman" w:cs="Times New Roman"/>
                <w:color w:val="000000" w:themeColor="text1"/>
                <w:sz w:val="24"/>
                <w:szCs w:val="24"/>
              </w:rPr>
              <w:t>57</w:t>
            </w:r>
          </w:p>
        </w:tc>
      </w:tr>
      <w:tr w:rsidR="003E23D3" w14:paraId="231903E3" w14:textId="77777777">
        <w:tc>
          <w:tcPr>
            <w:tcW w:w="5242" w:type="dxa"/>
            <w:vAlign w:val="center"/>
          </w:tcPr>
          <w:p w14:paraId="10D86328" w14:textId="77777777" w:rsidR="003E23D3" w:rsidRDefault="00000000">
            <w:pPr>
              <w:jc w:val="center"/>
              <w:rPr>
                <w:rFonts w:ascii="Times New Roman" w:hAnsi="Times New Roman" w:cs="Times New Roman"/>
                <w:color w:val="000000" w:themeColor="text1"/>
                <w:sz w:val="24"/>
                <w:szCs w:val="24"/>
              </w:rPr>
            </w:pPr>
            <w:r>
              <w:rPr>
                <w:rFonts w:ascii="Times New Roman" w:eastAsia="宋体" w:hAnsi="Times New Roman" w:cs="Times New Roman"/>
                <w:color w:val="000000" w:themeColor="text1"/>
                <w:kern w:val="0"/>
                <w:sz w:val="24"/>
                <w:szCs w:val="24"/>
                <w:shd w:val="clear" w:color="auto" w:fill="FEFEFE"/>
              </w:rPr>
              <w:t>Provisional restoration</w:t>
            </w:r>
          </w:p>
        </w:tc>
        <w:tc>
          <w:tcPr>
            <w:tcW w:w="8021" w:type="dxa"/>
          </w:tcPr>
          <w:p w14:paraId="5860B24C" w14:textId="77777777" w:rsidR="003E23D3" w:rsidRDefault="00000000">
            <w:pPr>
              <w:widowControl/>
              <w:rPr>
                <w:rFonts w:ascii="Times New Roman" w:eastAsia="宋体" w:hAnsi="Times New Roman" w:cs="Times New Roman"/>
                <w:color w:val="000000" w:themeColor="text1"/>
                <w:kern w:val="0"/>
                <w:sz w:val="24"/>
                <w:szCs w:val="24"/>
                <w14:ligatures w14:val="none"/>
              </w:rPr>
            </w:pPr>
            <w:r>
              <w:rPr>
                <w:rFonts w:ascii="Times New Roman" w:eastAsia="宋体" w:hAnsi="Times New Roman" w:cs="Times New Roman"/>
                <w:color w:val="000000" w:themeColor="text1"/>
                <w:kern w:val="0"/>
                <w:sz w:val="24"/>
                <w:szCs w:val="24"/>
                <w:shd w:val="clear" w:color="auto" w:fill="FEFEFE"/>
              </w:rPr>
              <w:t>Provisional restoration</w:t>
            </w:r>
            <w:r>
              <w:rPr>
                <w:rFonts w:ascii="Times New Roman" w:eastAsia="宋体" w:hAnsi="Times New Roman" w:cs="Times New Roman"/>
                <w:color w:val="000000" w:themeColor="text1"/>
                <w:kern w:val="0"/>
                <w:sz w:val="24"/>
                <w:szCs w:val="24"/>
                <w14:ligatures w14:val="none"/>
              </w:rPr>
              <w:t xml:space="preserve"> is a type of denture used temporarily before final restoration to improve the contours of the gingival perforation of the implant denture and obtain a more satisfactory esthetic outcome.</w:t>
            </w:r>
          </w:p>
        </w:tc>
        <w:tc>
          <w:tcPr>
            <w:tcW w:w="1758" w:type="dxa"/>
            <w:vAlign w:val="center"/>
          </w:tcPr>
          <w:p w14:paraId="10A4F35D" w14:textId="667C694B"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ine </w:t>
            </w:r>
            <w:r w:rsidR="00CF172F">
              <w:rPr>
                <w:rFonts w:ascii="Times New Roman" w:hAnsi="Times New Roman" w:cs="Times New Roman"/>
                <w:color w:val="000000" w:themeColor="text1"/>
                <w:sz w:val="24"/>
                <w:szCs w:val="24"/>
              </w:rPr>
              <w:t>57</w:t>
            </w:r>
          </w:p>
        </w:tc>
      </w:tr>
      <w:tr w:rsidR="003E23D3" w14:paraId="0EB7159B" w14:textId="77777777">
        <w:trPr>
          <w:trHeight w:val="980"/>
        </w:trPr>
        <w:tc>
          <w:tcPr>
            <w:tcW w:w="5242" w:type="dxa"/>
            <w:vAlign w:val="center"/>
          </w:tcPr>
          <w:p w14:paraId="11B6F1C9" w14:textId="77777777" w:rsidR="003E23D3" w:rsidRDefault="00000000">
            <w:pPr>
              <w:jc w:val="center"/>
              <w:rPr>
                <w:rFonts w:ascii="Times New Roman" w:hAnsi="Times New Roman" w:cs="Times New Roman"/>
                <w:color w:val="000000" w:themeColor="text1"/>
                <w:sz w:val="24"/>
                <w:szCs w:val="24"/>
              </w:rPr>
            </w:pPr>
            <w:bookmarkStart w:id="3" w:name="OLE_LINK5"/>
            <w:r>
              <w:rPr>
                <w:rFonts w:ascii="Times New Roman" w:eastAsia="宋体" w:hAnsi="Times New Roman" w:cs="Times New Roman"/>
                <w:color w:val="000000" w:themeColor="text1"/>
                <w:kern w:val="0"/>
                <w:sz w:val="24"/>
                <w:szCs w:val="24"/>
                <w:shd w:val="clear" w:color="auto" w:fill="FEFEFE"/>
              </w:rPr>
              <w:t>Final restoration</w:t>
            </w:r>
            <w:bookmarkEnd w:id="3"/>
          </w:p>
        </w:tc>
        <w:tc>
          <w:tcPr>
            <w:tcW w:w="8021" w:type="dxa"/>
          </w:tcPr>
          <w:p w14:paraId="32666916" w14:textId="77777777" w:rsidR="003E23D3" w:rsidRDefault="00000000">
            <w:pPr>
              <w:widowControl/>
              <w:shd w:val="clear" w:color="auto" w:fill="FFFFFF"/>
              <w:spacing w:line="495" w:lineRule="atLeas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restoration is the final step in the dental implant restoration process.</w:t>
            </w:r>
          </w:p>
          <w:p w14:paraId="1DDA4C42" w14:textId="77777777" w:rsidR="003E23D3"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After the abutment is firmly attached to the implant, a final restoration, such as a</w:t>
            </w:r>
          </w:p>
          <w:p w14:paraId="5AAC3C98" w14:textId="77777777" w:rsidR="003E23D3"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crown, </w:t>
            </w:r>
            <w:proofErr w:type="gramStart"/>
            <w:r>
              <w:rPr>
                <w:rFonts w:ascii="Times New Roman" w:hAnsi="Times New Roman" w:cs="Times New Roman"/>
                <w:color w:val="000000" w:themeColor="text1"/>
                <w:sz w:val="24"/>
                <w:szCs w:val="24"/>
              </w:rPr>
              <w:t>bridge</w:t>
            </w:r>
            <w:proofErr w:type="gramEnd"/>
            <w:r>
              <w:rPr>
                <w:rFonts w:ascii="Times New Roman" w:hAnsi="Times New Roman" w:cs="Times New Roman"/>
                <w:color w:val="000000" w:themeColor="text1"/>
                <w:sz w:val="24"/>
                <w:szCs w:val="24"/>
              </w:rPr>
              <w:t> or denture, can be placed on top. Restoration is customized </w:t>
            </w:r>
            <w:proofErr w:type="gramStart"/>
            <w:r>
              <w:rPr>
                <w:rFonts w:ascii="Times New Roman" w:hAnsi="Times New Roman" w:cs="Times New Roman"/>
                <w:color w:val="000000" w:themeColor="text1"/>
                <w:sz w:val="24"/>
                <w:szCs w:val="24"/>
              </w:rPr>
              <w:t>to</w:t>
            </w:r>
            <w:proofErr w:type="gramEnd"/>
          </w:p>
          <w:p w14:paraId="1C9D6B0A" w14:textId="77777777" w:rsidR="003E23D3" w:rsidRDefault="000000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fit the patient’s teeth and gums and is designed to look like a natural tooth.</w:t>
            </w:r>
          </w:p>
        </w:tc>
        <w:tc>
          <w:tcPr>
            <w:tcW w:w="1758" w:type="dxa"/>
            <w:vAlign w:val="center"/>
          </w:tcPr>
          <w:p w14:paraId="5E200D9D" w14:textId="4F206A20"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ine </w:t>
            </w:r>
            <w:r w:rsidR="00CF172F">
              <w:rPr>
                <w:rFonts w:ascii="Times New Roman" w:hAnsi="Times New Roman" w:cs="Times New Roman"/>
                <w:color w:val="000000" w:themeColor="text1"/>
                <w:sz w:val="24"/>
                <w:szCs w:val="24"/>
              </w:rPr>
              <w:t>57</w:t>
            </w:r>
          </w:p>
        </w:tc>
      </w:tr>
      <w:tr w:rsidR="003E23D3" w14:paraId="01699A8B" w14:textId="77777777">
        <w:tc>
          <w:tcPr>
            <w:tcW w:w="5242" w:type="dxa"/>
            <w:vAlign w:val="center"/>
          </w:tcPr>
          <w:p w14:paraId="20C49F6C" w14:textId="77777777" w:rsidR="003E23D3" w:rsidRDefault="00000000">
            <w:pPr>
              <w:jc w:val="center"/>
              <w:rPr>
                <w:rFonts w:ascii="Times New Roman" w:hAnsi="Times New Roman" w:cs="Times New Roman"/>
                <w:color w:val="000000" w:themeColor="text1"/>
                <w:sz w:val="24"/>
                <w:szCs w:val="24"/>
              </w:rPr>
            </w:pPr>
            <w:r>
              <w:rPr>
                <w:rFonts w:ascii="Times New Roman" w:eastAsia="宋体" w:hAnsi="Times New Roman" w:cs="Times New Roman"/>
                <w:color w:val="000000" w:themeColor="text1"/>
                <w:kern w:val="0"/>
                <w:sz w:val="24"/>
                <w:szCs w:val="24"/>
                <w:shd w:val="clear" w:color="auto" w:fill="FEFEFE"/>
              </w:rPr>
              <w:lastRenderedPageBreak/>
              <w:t>Bone augmentation</w:t>
            </w:r>
          </w:p>
        </w:tc>
        <w:tc>
          <w:tcPr>
            <w:tcW w:w="8021" w:type="dxa"/>
          </w:tcPr>
          <w:p w14:paraId="3224A9FB" w14:textId="77777777" w:rsidR="003E23D3" w:rsidRDefault="00000000">
            <w:pPr>
              <w:pStyle w:val="a7"/>
              <w:shd w:val="clear" w:color="auto" w:fill="FFFFFF"/>
              <w:spacing w:before="0" w:beforeAutospacing="0" w:after="150" w:afterAutospacing="0"/>
              <w:jc w:val="both"/>
              <w:rPr>
                <w:rFonts w:ascii="Times New Roman" w:hAnsi="Times New Roman" w:cs="Times New Roman"/>
                <w:color w:val="000000" w:themeColor="text1"/>
              </w:rPr>
            </w:pPr>
            <w:r>
              <w:rPr>
                <w:rFonts w:ascii="Times New Roman" w:hAnsi="Times New Roman" w:cs="Times New Roman"/>
                <w:color w:val="000000" w:themeColor="text1"/>
              </w:rPr>
              <w:t>Bone augmentation, a surgical procedure to increase bone mass, when an implant cannot be done without a certain amount of bone available, it becomes necessary for a periodontal surgeon to stimulate the patient to grow more bone in the area, or to remove bone from one area and place it in the area where the implant will be done.</w:t>
            </w:r>
          </w:p>
        </w:tc>
        <w:tc>
          <w:tcPr>
            <w:tcW w:w="1758" w:type="dxa"/>
            <w:vAlign w:val="center"/>
          </w:tcPr>
          <w:p w14:paraId="4399E16B" w14:textId="24436B28"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ine </w:t>
            </w:r>
            <w:r w:rsidR="00CF172F">
              <w:rPr>
                <w:rFonts w:ascii="Times New Roman" w:hAnsi="Times New Roman" w:cs="Times New Roman"/>
                <w:color w:val="000000" w:themeColor="text1"/>
                <w:sz w:val="24"/>
                <w:szCs w:val="24"/>
              </w:rPr>
              <w:t>74</w:t>
            </w:r>
          </w:p>
        </w:tc>
      </w:tr>
      <w:tr w:rsidR="003E23D3" w14:paraId="60EFAC09" w14:textId="77777777">
        <w:tc>
          <w:tcPr>
            <w:tcW w:w="5242" w:type="dxa"/>
            <w:vAlign w:val="center"/>
          </w:tcPr>
          <w:p w14:paraId="4B5A83B6" w14:textId="77777777" w:rsidR="003E23D3" w:rsidRDefault="00000000">
            <w:pPr>
              <w:jc w:val="center"/>
              <w:rPr>
                <w:rFonts w:ascii="Times New Roman" w:hAnsi="Times New Roman" w:cs="Times New Roman"/>
                <w:color w:val="000000" w:themeColor="text1"/>
                <w:sz w:val="24"/>
                <w:szCs w:val="24"/>
              </w:rPr>
            </w:pPr>
            <w:r>
              <w:rPr>
                <w:rFonts w:ascii="Times New Roman" w:eastAsia="宋体" w:hAnsi="Times New Roman" w:cs="Times New Roman"/>
                <w:color w:val="000000" w:themeColor="text1"/>
                <w:kern w:val="0"/>
                <w:sz w:val="24"/>
                <w:szCs w:val="24"/>
                <w:shd w:val="clear" w:color="auto" w:fill="FEFEFE"/>
              </w:rPr>
              <w:t>GBR</w:t>
            </w:r>
          </w:p>
        </w:tc>
        <w:tc>
          <w:tcPr>
            <w:tcW w:w="8021" w:type="dxa"/>
          </w:tcPr>
          <w:p w14:paraId="6A7BC651" w14:textId="77777777" w:rsidR="003E23D3" w:rsidRDefault="00000000">
            <w:pPr>
              <w:rPr>
                <w:rFonts w:ascii="Times New Roman" w:hAnsi="Times New Roman" w:cs="Times New Roman"/>
                <w:color w:val="000000" w:themeColor="text1"/>
                <w:sz w:val="24"/>
                <w:szCs w:val="24"/>
              </w:rPr>
            </w:pPr>
            <w:r>
              <w:rPr>
                <w:rFonts w:ascii="Times New Roman" w:eastAsia="宋体" w:hAnsi="Times New Roman" w:cs="Times New Roman"/>
                <w:color w:val="000000" w:themeColor="text1"/>
                <w:kern w:val="0"/>
                <w:sz w:val="24"/>
                <w:szCs w:val="24"/>
                <w14:ligatures w14:val="none"/>
              </w:rPr>
              <w:t xml:space="preserve">Guided bone regeneration (GBR) is </w:t>
            </w:r>
            <w:r>
              <w:rPr>
                <w:rFonts w:ascii="Times New Roman" w:eastAsia="宋体" w:hAnsi="Times New Roman" w:cs="Times New Roman" w:hint="eastAsia"/>
                <w:color w:val="000000" w:themeColor="text1"/>
                <w:kern w:val="0"/>
                <w:sz w:val="24"/>
                <w:szCs w:val="24"/>
                <w14:ligatures w14:val="none"/>
              </w:rPr>
              <w:t>a</w:t>
            </w:r>
            <w:r>
              <w:rPr>
                <w:rFonts w:ascii="Times New Roman" w:eastAsia="宋体" w:hAnsi="Times New Roman" w:cs="Times New Roman"/>
                <w:color w:val="000000" w:themeColor="text1"/>
                <w:kern w:val="0"/>
                <w:sz w:val="24"/>
                <w:szCs w:val="24"/>
                <w14:ligatures w14:val="none"/>
              </w:rPr>
              <w:t xml:space="preserve"> bone augmentation method. The theory of GBR technology is to selectively prevent epithelial cells and connective tissue cells from bone defect area through barrier membrane based on different migration rate of various cells, allowing osteoblasts preferentially enter the bone defect area to complete bone induction and regeneration. Meanwhile, bone graft materials are placed in the bone defect area as scaffolds, and guiding osteoblasts and osteocyte to form new bone.</w:t>
            </w:r>
          </w:p>
        </w:tc>
        <w:tc>
          <w:tcPr>
            <w:tcW w:w="1758" w:type="dxa"/>
            <w:vAlign w:val="center"/>
          </w:tcPr>
          <w:p w14:paraId="2973F7A1" w14:textId="313820F4"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ine </w:t>
            </w:r>
            <w:r w:rsidR="00CF172F">
              <w:rPr>
                <w:rFonts w:ascii="Times New Roman" w:hAnsi="Times New Roman" w:cs="Times New Roman"/>
                <w:color w:val="000000" w:themeColor="text1"/>
                <w:sz w:val="24"/>
                <w:szCs w:val="24"/>
              </w:rPr>
              <w:t>86</w:t>
            </w:r>
          </w:p>
        </w:tc>
      </w:tr>
      <w:tr w:rsidR="003E23D3" w14:paraId="3493D286" w14:textId="77777777">
        <w:tc>
          <w:tcPr>
            <w:tcW w:w="5242" w:type="dxa"/>
            <w:vAlign w:val="center"/>
          </w:tcPr>
          <w:p w14:paraId="65A7B939" w14:textId="77777777" w:rsidR="003E23D3" w:rsidRDefault="00000000">
            <w:pPr>
              <w:jc w:val="center"/>
              <w:rPr>
                <w:rFonts w:ascii="Times New Roman" w:eastAsia="宋体" w:hAnsi="Times New Roman" w:cs="Times New Roman"/>
                <w:color w:val="000000" w:themeColor="text1"/>
                <w:kern w:val="0"/>
                <w:sz w:val="24"/>
                <w:szCs w:val="24"/>
                <w:shd w:val="clear" w:color="auto" w:fill="FEFEFE"/>
              </w:rPr>
            </w:pPr>
            <w:r>
              <w:rPr>
                <w:rFonts w:ascii="Times New Roman" w:eastAsia="宋体" w:hAnsi="Times New Roman" w:cs="Times New Roman"/>
                <w:color w:val="000000" w:themeColor="text1"/>
                <w:kern w:val="0"/>
                <w:sz w:val="24"/>
                <w:szCs w:val="24"/>
                <w:shd w:val="clear" w:color="auto" w:fill="FEFEFE"/>
              </w:rPr>
              <w:t>Removable teeth-supported prosthetic</w:t>
            </w:r>
          </w:p>
        </w:tc>
        <w:tc>
          <w:tcPr>
            <w:tcW w:w="8021" w:type="dxa"/>
          </w:tcPr>
          <w:p w14:paraId="6E79A562" w14:textId="77777777" w:rsidR="003E23D3" w:rsidRDefault="00000000">
            <w:pPr>
              <w:rPr>
                <w:rFonts w:ascii="Times New Roman" w:hAnsi="Times New Roman" w:cs="Times New Roman"/>
                <w:color w:val="000000" w:themeColor="text1"/>
                <w:sz w:val="24"/>
                <w:szCs w:val="24"/>
              </w:rPr>
            </w:pPr>
            <w:r>
              <w:rPr>
                <w:rFonts w:ascii="Times New Roman" w:eastAsia="宋体" w:hAnsi="Times New Roman" w:cs="Times New Roman"/>
                <w:color w:val="000000" w:themeColor="text1"/>
                <w:kern w:val="0"/>
                <w:sz w:val="24"/>
                <w:szCs w:val="24"/>
                <w:shd w:val="clear" w:color="auto" w:fill="FEFEFE"/>
              </w:rPr>
              <w:t>Removable teeth-supported prosthetic</w:t>
            </w:r>
            <w:r>
              <w:rPr>
                <w:rFonts w:ascii="Times New Roman" w:eastAsia="宋体" w:hAnsi="Times New Roman" w:cs="Times New Roman"/>
                <w:color w:val="000000" w:themeColor="text1"/>
                <w:kern w:val="0"/>
                <w:sz w:val="24"/>
                <w:szCs w:val="24"/>
                <w14:ligatures w14:val="none"/>
              </w:rPr>
              <w:t>,</w:t>
            </w:r>
            <w:r>
              <w:rPr>
                <w:rFonts w:ascii="Times New Roman" w:eastAsia="宋体" w:hAnsi="Times New Roman" w:cs="Times New Roman" w:hint="eastAsia"/>
                <w:color w:val="000000" w:themeColor="text1"/>
                <w:kern w:val="0"/>
                <w:sz w:val="24"/>
                <w:szCs w:val="24"/>
                <w14:ligatures w14:val="none"/>
              </w:rPr>
              <w:t xml:space="preserve"> </w:t>
            </w:r>
            <w:r>
              <w:rPr>
                <w:rFonts w:ascii="Times New Roman" w:eastAsia="宋体" w:hAnsi="Times New Roman" w:cs="Times New Roman"/>
                <w:color w:val="000000" w:themeColor="text1"/>
                <w:kern w:val="0"/>
                <w:sz w:val="24"/>
                <w:szCs w:val="24"/>
                <w14:ligatures w14:val="none"/>
              </w:rPr>
              <w:t>which is not fixed permanently in the patient’s oral cavity and can be easily removed by the patient,</w:t>
            </w:r>
            <w:r>
              <w:rPr>
                <w:rFonts w:ascii="Times New Roman" w:eastAsia="宋体" w:hAnsi="Times New Roman" w:cs="Times New Roman" w:hint="eastAsia"/>
                <w:color w:val="000000" w:themeColor="text1"/>
                <w:kern w:val="0"/>
                <w:sz w:val="24"/>
                <w:szCs w:val="24"/>
                <w14:ligatures w14:val="none"/>
              </w:rPr>
              <w:t xml:space="preserve"> </w:t>
            </w:r>
            <w:r>
              <w:rPr>
                <w:rFonts w:ascii="Times New Roman" w:eastAsia="宋体" w:hAnsi="Times New Roman" w:cs="Times New Roman"/>
                <w:color w:val="000000" w:themeColor="text1"/>
                <w:kern w:val="0"/>
                <w:sz w:val="24"/>
                <w:szCs w:val="24"/>
                <w14:ligatures w14:val="none"/>
              </w:rPr>
              <w:t xml:space="preserve">is a </w:t>
            </w:r>
            <w:hyperlink r:id="rId9" w:tooltip="Learn more about dental restoration from ScienceDirect's AI-generated Topic Pages" w:history="1">
              <w:r>
                <w:rPr>
                  <w:rFonts w:ascii="Times New Roman" w:eastAsia="宋体" w:hAnsi="Times New Roman" w:cs="Times New Roman"/>
                  <w:color w:val="000000" w:themeColor="text1"/>
                  <w:kern w:val="0"/>
                  <w:sz w:val="24"/>
                  <w:szCs w:val="24"/>
                  <w14:ligatures w14:val="none"/>
                </w:rPr>
                <w:t>dental restoration</w:t>
              </w:r>
            </w:hyperlink>
            <w:r>
              <w:rPr>
                <w:rFonts w:ascii="Times New Roman" w:eastAsia="宋体" w:hAnsi="Times New Roman" w:cs="Times New Roman"/>
                <w:color w:val="000000" w:themeColor="text1"/>
                <w:kern w:val="0"/>
                <w:sz w:val="24"/>
                <w:szCs w:val="24"/>
                <w14:ligatures w14:val="none"/>
              </w:rPr>
              <w:t xml:space="preserve"> </w:t>
            </w:r>
            <w:r>
              <w:rPr>
                <w:rFonts w:ascii="Times New Roman" w:eastAsia="宋体" w:hAnsi="Times New Roman" w:cs="Times New Roman" w:hint="eastAsia"/>
                <w:color w:val="000000" w:themeColor="text1"/>
                <w:kern w:val="0"/>
                <w:sz w:val="24"/>
                <w:szCs w:val="24"/>
                <w14:ligatures w14:val="none"/>
              </w:rPr>
              <w:t>helps restore the function and shape of the jaw by replacing one or more missing teeth.</w:t>
            </w:r>
          </w:p>
        </w:tc>
        <w:tc>
          <w:tcPr>
            <w:tcW w:w="1758" w:type="dxa"/>
            <w:vAlign w:val="center"/>
          </w:tcPr>
          <w:p w14:paraId="4BCA8D19" w14:textId="562588D5"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ine </w:t>
            </w:r>
            <w:r w:rsidR="00CF172F">
              <w:rPr>
                <w:rFonts w:ascii="Times New Roman" w:hAnsi="Times New Roman" w:cs="Times New Roman"/>
                <w:color w:val="000000" w:themeColor="text1"/>
                <w:sz w:val="24"/>
                <w:szCs w:val="24"/>
              </w:rPr>
              <w:t>144</w:t>
            </w:r>
          </w:p>
        </w:tc>
      </w:tr>
      <w:tr w:rsidR="003E23D3" w14:paraId="0EFF5F53" w14:textId="77777777">
        <w:tc>
          <w:tcPr>
            <w:tcW w:w="5242" w:type="dxa"/>
            <w:vAlign w:val="center"/>
          </w:tcPr>
          <w:p w14:paraId="26001B60" w14:textId="77777777" w:rsidR="003E23D3" w:rsidRDefault="00000000">
            <w:pPr>
              <w:jc w:val="center"/>
              <w:rPr>
                <w:rFonts w:ascii="Times New Roman" w:eastAsia="宋体" w:hAnsi="Times New Roman" w:cs="Times New Roman"/>
                <w:color w:val="000000" w:themeColor="text1"/>
                <w:kern w:val="0"/>
                <w:sz w:val="24"/>
                <w:szCs w:val="24"/>
                <w:shd w:val="clear" w:color="auto" w:fill="FEFEFE"/>
              </w:rPr>
            </w:pPr>
            <w:r>
              <w:rPr>
                <w:rFonts w:ascii="Times New Roman" w:eastAsia="宋体" w:hAnsi="Times New Roman" w:cs="Times New Roman"/>
                <w:color w:val="000000" w:themeColor="text1"/>
                <w:kern w:val="0"/>
                <w:sz w:val="24"/>
                <w:szCs w:val="24"/>
                <w:shd w:val="clear" w:color="auto" w:fill="FEFEFE"/>
              </w:rPr>
              <w:t>Fixed teeth-supported prosthetic</w:t>
            </w:r>
          </w:p>
        </w:tc>
        <w:tc>
          <w:tcPr>
            <w:tcW w:w="8021" w:type="dxa"/>
          </w:tcPr>
          <w:p w14:paraId="6D26EA4B" w14:textId="77777777" w:rsidR="003E23D3" w:rsidRDefault="00000000">
            <w:pPr>
              <w:rPr>
                <w:rFonts w:ascii="Times New Roman" w:hAnsi="Times New Roman" w:cs="Times New Roman"/>
                <w:color w:val="000000" w:themeColor="text1"/>
                <w:sz w:val="24"/>
                <w:szCs w:val="24"/>
              </w:rPr>
            </w:pPr>
            <w:r>
              <w:rPr>
                <w:rFonts w:ascii="Times New Roman" w:eastAsia="宋体" w:hAnsi="Times New Roman" w:cs="Times New Roman"/>
                <w:color w:val="000000" w:themeColor="text1"/>
                <w:kern w:val="0"/>
                <w:sz w:val="24"/>
                <w:szCs w:val="24"/>
                <w14:ligatures w14:val="none"/>
              </w:rPr>
              <w:t>Fixed teeth-supported prosthetic, which can’t be removed or worn by the patient, is a </w:t>
            </w:r>
            <w:hyperlink r:id="rId10" w:tooltip="Learn more about dental restoration from ScienceDirect's AI-generated Topic Pages" w:history="1">
              <w:r>
                <w:rPr>
                  <w:rFonts w:ascii="Times New Roman" w:eastAsia="宋体" w:hAnsi="Times New Roman" w:cs="Times New Roman"/>
                  <w:color w:val="000000" w:themeColor="text1"/>
                  <w:kern w:val="0"/>
                  <w:sz w:val="24"/>
                  <w:szCs w:val="24"/>
                  <w14:ligatures w14:val="none"/>
                </w:rPr>
                <w:t>dental restoration</w:t>
              </w:r>
            </w:hyperlink>
            <w:r>
              <w:rPr>
                <w:rFonts w:ascii="Times New Roman" w:eastAsia="宋体" w:hAnsi="Times New Roman" w:cs="Times New Roman"/>
                <w:color w:val="000000" w:themeColor="text1"/>
                <w:kern w:val="0"/>
                <w:sz w:val="24"/>
                <w:szCs w:val="24"/>
                <w14:ligatures w14:val="none"/>
              </w:rPr>
              <w:t> used to replace missing teeth and that is permanently attached to adjacent teeth.</w:t>
            </w:r>
          </w:p>
        </w:tc>
        <w:tc>
          <w:tcPr>
            <w:tcW w:w="1758" w:type="dxa"/>
            <w:vAlign w:val="center"/>
          </w:tcPr>
          <w:p w14:paraId="08F736D6" w14:textId="708D8DFA"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ine 1</w:t>
            </w:r>
            <w:r w:rsidR="00BE10F4">
              <w:rPr>
                <w:rFonts w:ascii="Times New Roman" w:hAnsi="Times New Roman" w:cs="Times New Roman"/>
                <w:color w:val="000000" w:themeColor="text1"/>
                <w:sz w:val="24"/>
                <w:szCs w:val="24"/>
              </w:rPr>
              <w:t>4</w:t>
            </w:r>
            <w:r w:rsidR="00CF172F">
              <w:rPr>
                <w:rFonts w:ascii="Times New Roman" w:hAnsi="Times New Roman" w:cs="Times New Roman"/>
                <w:color w:val="000000" w:themeColor="text1"/>
                <w:sz w:val="24"/>
                <w:szCs w:val="24"/>
              </w:rPr>
              <w:t>4</w:t>
            </w:r>
          </w:p>
        </w:tc>
      </w:tr>
      <w:tr w:rsidR="003E23D3" w14:paraId="0A16F81A" w14:textId="77777777">
        <w:tc>
          <w:tcPr>
            <w:tcW w:w="5242" w:type="dxa"/>
            <w:vAlign w:val="center"/>
          </w:tcPr>
          <w:p w14:paraId="75F8B3BD" w14:textId="77777777" w:rsidR="003E23D3" w:rsidRDefault="00000000">
            <w:pPr>
              <w:jc w:val="center"/>
              <w:rPr>
                <w:rFonts w:ascii="Times New Roman" w:eastAsia="宋体" w:hAnsi="Times New Roman" w:cs="Times New Roman"/>
                <w:color w:val="000000" w:themeColor="text1"/>
                <w:kern w:val="0"/>
                <w:sz w:val="24"/>
                <w:szCs w:val="24"/>
                <w:shd w:val="clear" w:color="auto" w:fill="FEFEFE"/>
              </w:rPr>
            </w:pPr>
            <w:r>
              <w:rPr>
                <w:rFonts w:ascii="Times New Roman" w:hAnsi="Times New Roman" w:cs="Times New Roman"/>
                <w:iCs/>
                <w:color w:val="000000" w:themeColor="text1"/>
                <w:sz w:val="24"/>
                <w:szCs w:val="24"/>
              </w:rPr>
              <w:t>Soft tissue augmentation</w:t>
            </w:r>
          </w:p>
        </w:tc>
        <w:tc>
          <w:tcPr>
            <w:tcW w:w="8021" w:type="dxa"/>
          </w:tcPr>
          <w:p w14:paraId="61144987" w14:textId="77777777" w:rsidR="003E23D3" w:rsidRDefault="00000000">
            <w:pPr>
              <w:rPr>
                <w:rFonts w:ascii="Times New Roman" w:eastAsia="宋体" w:hAnsi="Times New Roman" w:cs="Times New Roman"/>
                <w:color w:val="000000" w:themeColor="text1"/>
                <w:kern w:val="0"/>
                <w:sz w:val="24"/>
                <w:szCs w:val="24"/>
                <w14:ligatures w14:val="none"/>
              </w:rPr>
            </w:pPr>
            <w:r>
              <w:rPr>
                <w:rFonts w:ascii="Times New Roman" w:eastAsia="宋体" w:hAnsi="Times New Roman" w:cs="Times New Roman" w:hint="eastAsia"/>
                <w:color w:val="000000" w:themeColor="text1"/>
                <w:kern w:val="0"/>
                <w:sz w:val="24"/>
                <w:szCs w:val="24"/>
                <w14:ligatures w14:val="none"/>
              </w:rPr>
              <w:t>It is a procedure to improve the aesthetic abnormality of the gum and surrounding mucosa and enhance the height and thickness of the soft tissue around the prosthesis or implant.</w:t>
            </w:r>
          </w:p>
        </w:tc>
        <w:tc>
          <w:tcPr>
            <w:tcW w:w="1758" w:type="dxa"/>
            <w:vAlign w:val="center"/>
          </w:tcPr>
          <w:p w14:paraId="6255A139" w14:textId="28703006"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ine 1</w:t>
            </w:r>
            <w:r w:rsidR="00CF172F">
              <w:rPr>
                <w:rFonts w:ascii="Times New Roman" w:hAnsi="Times New Roman" w:cs="Times New Roman"/>
                <w:color w:val="000000" w:themeColor="text1"/>
                <w:sz w:val="24"/>
                <w:szCs w:val="24"/>
              </w:rPr>
              <w:t>46</w:t>
            </w:r>
          </w:p>
        </w:tc>
      </w:tr>
      <w:tr w:rsidR="003E23D3" w14:paraId="745F000F" w14:textId="77777777">
        <w:tc>
          <w:tcPr>
            <w:tcW w:w="5242" w:type="dxa"/>
            <w:vAlign w:val="center"/>
          </w:tcPr>
          <w:p w14:paraId="2E38C29B" w14:textId="77777777" w:rsidR="003E23D3" w:rsidRDefault="00000000">
            <w:pPr>
              <w:jc w:val="center"/>
              <w:rPr>
                <w:rFonts w:ascii="Times New Roman" w:eastAsia="宋体" w:hAnsi="Times New Roman" w:cs="Times New Roman"/>
                <w:color w:val="000000" w:themeColor="text1"/>
                <w:kern w:val="0"/>
                <w:sz w:val="24"/>
                <w:szCs w:val="24"/>
                <w14:ligatures w14:val="none"/>
              </w:rPr>
            </w:pPr>
            <w:r>
              <w:rPr>
                <w:rFonts w:ascii="Times New Roman" w:eastAsia="宋体" w:hAnsi="Times New Roman" w:cs="Times New Roman"/>
                <w:color w:val="000000" w:themeColor="text1"/>
                <w:kern w:val="0"/>
                <w:sz w:val="24"/>
                <w:szCs w:val="24"/>
                <w14:ligatures w14:val="none"/>
              </w:rPr>
              <w:t>Surgical guide</w:t>
            </w:r>
          </w:p>
        </w:tc>
        <w:tc>
          <w:tcPr>
            <w:tcW w:w="8021" w:type="dxa"/>
          </w:tcPr>
          <w:p w14:paraId="528E80E2" w14:textId="77777777" w:rsidR="003E23D3" w:rsidRDefault="00000000">
            <w:pPr>
              <w:rPr>
                <w:rFonts w:ascii="Times New Roman" w:eastAsia="宋体" w:hAnsi="Times New Roman" w:cs="Times New Roman"/>
                <w:color w:val="000000" w:themeColor="text1"/>
                <w:kern w:val="0"/>
                <w:sz w:val="24"/>
                <w:szCs w:val="24"/>
                <w14:ligatures w14:val="none"/>
              </w:rPr>
            </w:pPr>
            <w:r>
              <w:rPr>
                <w:rFonts w:ascii="Times New Roman" w:eastAsia="宋体" w:hAnsi="Times New Roman" w:cs="Times New Roman"/>
                <w:color w:val="000000" w:themeColor="text1"/>
                <w:kern w:val="0"/>
                <w:sz w:val="24"/>
                <w:szCs w:val="24"/>
                <w14:ligatures w14:val="none"/>
              </w:rPr>
              <w:t>The surgical guide is a tool to guide the operation based on preoperative 3D simulated diagnostic analysis and surgical planning</w:t>
            </w:r>
            <w:r>
              <w:rPr>
                <w:rFonts w:ascii="Times New Roman" w:eastAsia="宋体" w:hAnsi="Times New Roman" w:cs="Times New Roman" w:hint="eastAsia"/>
                <w:color w:val="000000" w:themeColor="text1"/>
                <w:kern w:val="0"/>
                <w:sz w:val="24"/>
                <w:szCs w:val="24"/>
                <w14:ligatures w14:val="none"/>
              </w:rPr>
              <w:t>.</w:t>
            </w:r>
          </w:p>
        </w:tc>
        <w:tc>
          <w:tcPr>
            <w:tcW w:w="1758" w:type="dxa"/>
            <w:vAlign w:val="center"/>
          </w:tcPr>
          <w:p w14:paraId="3FF3505E" w14:textId="28F66DD3"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ine </w:t>
            </w:r>
            <w:r w:rsidR="00BE10F4">
              <w:rPr>
                <w:rFonts w:ascii="Times New Roman" w:hAnsi="Times New Roman" w:cs="Times New Roman"/>
                <w:color w:val="000000" w:themeColor="text1"/>
                <w:sz w:val="24"/>
                <w:szCs w:val="24"/>
              </w:rPr>
              <w:t>1</w:t>
            </w:r>
            <w:r w:rsidR="00CF172F">
              <w:rPr>
                <w:rFonts w:ascii="Times New Roman" w:hAnsi="Times New Roman" w:cs="Times New Roman"/>
                <w:color w:val="000000" w:themeColor="text1"/>
                <w:sz w:val="24"/>
                <w:szCs w:val="24"/>
              </w:rPr>
              <w:t>58</w:t>
            </w:r>
          </w:p>
        </w:tc>
      </w:tr>
      <w:tr w:rsidR="003E23D3" w14:paraId="05EC3862" w14:textId="77777777">
        <w:tc>
          <w:tcPr>
            <w:tcW w:w="5242" w:type="dxa"/>
            <w:vAlign w:val="center"/>
          </w:tcPr>
          <w:p w14:paraId="7B923E73" w14:textId="77777777" w:rsidR="003E23D3" w:rsidRDefault="00000000">
            <w:pPr>
              <w:jc w:val="center"/>
              <w:rPr>
                <w:rFonts w:ascii="Times New Roman" w:eastAsia="宋体" w:hAnsi="Times New Roman" w:cs="Times New Roman"/>
                <w:color w:val="000000" w:themeColor="text1"/>
                <w:kern w:val="0"/>
                <w:sz w:val="24"/>
                <w:szCs w:val="24"/>
                <w:shd w:val="clear" w:color="auto" w:fill="FEFEFE"/>
              </w:rPr>
            </w:pPr>
            <w:bookmarkStart w:id="4" w:name="OLE_LINK11"/>
            <w:r>
              <w:rPr>
                <w:rFonts w:ascii="Times New Roman" w:eastAsia="宋体" w:hAnsi="Times New Roman" w:cs="Times New Roman"/>
                <w:color w:val="000000" w:themeColor="text1"/>
                <w:kern w:val="0"/>
                <w:sz w:val="24"/>
                <w:szCs w:val="24"/>
                <w:shd w:val="clear" w:color="auto" w:fill="FEFEFE"/>
              </w:rPr>
              <w:t>3D titanium mesh</w:t>
            </w:r>
            <w:bookmarkEnd w:id="4"/>
          </w:p>
        </w:tc>
        <w:tc>
          <w:tcPr>
            <w:tcW w:w="8021" w:type="dxa"/>
          </w:tcPr>
          <w:p w14:paraId="3472BD7C" w14:textId="77777777" w:rsidR="003E23D3" w:rsidRDefault="00000000">
            <w:pPr>
              <w:rPr>
                <w:rFonts w:ascii="Times New Roman" w:eastAsia="宋体" w:hAnsi="Times New Roman" w:cs="Times New Roman"/>
                <w:color w:val="000000" w:themeColor="text1"/>
                <w:kern w:val="0"/>
                <w:sz w:val="24"/>
                <w:szCs w:val="24"/>
                <w14:ligatures w14:val="none"/>
              </w:rPr>
            </w:pPr>
            <w:r>
              <w:rPr>
                <w:rFonts w:ascii="Times New Roman" w:eastAsia="宋体" w:hAnsi="Times New Roman" w:cs="Times New Roman"/>
                <w:color w:val="000000" w:themeColor="text1"/>
                <w:kern w:val="0"/>
                <w:sz w:val="24"/>
                <w:szCs w:val="24"/>
                <w14:ligatures w14:val="none"/>
              </w:rPr>
              <w:t>Three-dimensional (3D) printing titanium mesh</w:t>
            </w:r>
            <w:r>
              <w:rPr>
                <w:rFonts w:ascii="Times New Roman" w:hAnsi="Times New Roman" w:cs="Times New Roman"/>
                <w:color w:val="000000" w:themeColor="text1"/>
                <w:sz w:val="24"/>
                <w:szCs w:val="24"/>
                <w:shd w:val="clear" w:color="auto" w:fill="FFFFFF"/>
              </w:rPr>
              <w:t>, which is different from the traditional barrier membrane, can provide good mechanical support and sufficient space for bone regeneration, allowing for the growth and development of new bone.</w:t>
            </w:r>
          </w:p>
        </w:tc>
        <w:tc>
          <w:tcPr>
            <w:tcW w:w="1758" w:type="dxa"/>
            <w:vAlign w:val="center"/>
          </w:tcPr>
          <w:p w14:paraId="30DC13B1" w14:textId="76D4859C"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L</w:t>
            </w:r>
            <w:r>
              <w:rPr>
                <w:rFonts w:ascii="Times New Roman" w:hAnsi="Times New Roman" w:cs="Times New Roman"/>
                <w:color w:val="000000" w:themeColor="text1"/>
                <w:sz w:val="24"/>
                <w:szCs w:val="24"/>
              </w:rPr>
              <w:t xml:space="preserve">ine </w:t>
            </w:r>
            <w:r w:rsidR="00BE10F4">
              <w:rPr>
                <w:rFonts w:ascii="Times New Roman" w:hAnsi="Times New Roman" w:cs="Times New Roman"/>
                <w:color w:val="000000" w:themeColor="text1"/>
                <w:sz w:val="24"/>
                <w:szCs w:val="24"/>
              </w:rPr>
              <w:t>1</w:t>
            </w:r>
            <w:r w:rsidR="00CF172F">
              <w:rPr>
                <w:rFonts w:ascii="Times New Roman" w:hAnsi="Times New Roman" w:cs="Times New Roman"/>
                <w:color w:val="000000" w:themeColor="text1"/>
                <w:sz w:val="24"/>
                <w:szCs w:val="24"/>
              </w:rPr>
              <w:t>58</w:t>
            </w:r>
          </w:p>
        </w:tc>
      </w:tr>
      <w:tr w:rsidR="003E23D3" w14:paraId="43942365" w14:textId="77777777">
        <w:tc>
          <w:tcPr>
            <w:tcW w:w="5242" w:type="dxa"/>
            <w:vAlign w:val="center"/>
          </w:tcPr>
          <w:p w14:paraId="523BBB3A" w14:textId="77777777" w:rsidR="003E23D3" w:rsidRDefault="00000000">
            <w:pPr>
              <w:jc w:val="center"/>
              <w:rPr>
                <w:rFonts w:ascii="Times New Roman" w:eastAsia="宋体" w:hAnsi="Times New Roman" w:cs="Times New Roman"/>
                <w:color w:val="000000" w:themeColor="text1"/>
                <w:kern w:val="0"/>
                <w:sz w:val="24"/>
                <w:szCs w:val="24"/>
                <w:shd w:val="clear" w:color="auto" w:fill="FEFEFE"/>
              </w:rPr>
            </w:pPr>
            <w:bookmarkStart w:id="5" w:name="OLE_LINK12"/>
            <w:proofErr w:type="spellStart"/>
            <w:r>
              <w:rPr>
                <w:rFonts w:ascii="Times New Roman" w:eastAsia="宋体" w:hAnsi="Times New Roman" w:cs="Times New Roman"/>
                <w:color w:val="000000" w:themeColor="text1"/>
                <w:kern w:val="0"/>
                <w:sz w:val="24"/>
                <w:szCs w:val="24"/>
                <w:shd w:val="clear" w:color="auto" w:fill="FEFEFE"/>
              </w:rPr>
              <w:t>Onlay</w:t>
            </w:r>
            <w:proofErr w:type="spellEnd"/>
            <w:r>
              <w:rPr>
                <w:rFonts w:ascii="Times New Roman" w:eastAsia="宋体" w:hAnsi="Times New Roman" w:cs="Times New Roman"/>
                <w:color w:val="000000" w:themeColor="text1"/>
                <w:kern w:val="0"/>
                <w:sz w:val="24"/>
                <w:szCs w:val="24"/>
                <w:shd w:val="clear" w:color="auto" w:fill="FEFEFE"/>
              </w:rPr>
              <w:t xml:space="preserve"> bone block grafting</w:t>
            </w:r>
            <w:bookmarkEnd w:id="5"/>
          </w:p>
        </w:tc>
        <w:tc>
          <w:tcPr>
            <w:tcW w:w="8021" w:type="dxa"/>
          </w:tcPr>
          <w:p w14:paraId="588A7FAD" w14:textId="77777777" w:rsidR="003E23D3" w:rsidRDefault="00000000">
            <w:pPr>
              <w:rPr>
                <w:rFonts w:ascii="Times New Roman" w:hAnsi="Times New Roman" w:cs="Times New Roman"/>
                <w:color w:val="000000" w:themeColor="text1"/>
                <w:sz w:val="24"/>
                <w:szCs w:val="24"/>
              </w:rPr>
            </w:pPr>
            <w:proofErr w:type="spellStart"/>
            <w:r>
              <w:rPr>
                <w:rFonts w:ascii="Times New Roman" w:eastAsia="宋体" w:hAnsi="Times New Roman" w:cs="Times New Roman"/>
                <w:color w:val="000000" w:themeColor="text1"/>
                <w:kern w:val="0"/>
                <w:sz w:val="24"/>
                <w:szCs w:val="24"/>
                <w:shd w:val="clear" w:color="auto" w:fill="FEFEFE"/>
              </w:rPr>
              <w:t>Onlay</w:t>
            </w:r>
            <w:proofErr w:type="spellEnd"/>
            <w:r>
              <w:rPr>
                <w:rFonts w:ascii="Times New Roman" w:eastAsia="宋体" w:hAnsi="Times New Roman" w:cs="Times New Roman"/>
                <w:color w:val="000000" w:themeColor="text1"/>
                <w:kern w:val="0"/>
                <w:sz w:val="24"/>
                <w:szCs w:val="24"/>
                <w:shd w:val="clear" w:color="auto" w:fill="FEFEFE"/>
              </w:rPr>
              <w:t xml:space="preserve"> bone block grafting is a bone </w:t>
            </w:r>
            <w:r>
              <w:rPr>
                <w:rFonts w:ascii="Times New Roman" w:eastAsia="宋体" w:hAnsi="Times New Roman" w:cs="Times New Roman"/>
                <w:color w:val="000000" w:themeColor="text1"/>
                <w:kern w:val="0"/>
                <w:sz w:val="24"/>
                <w:szCs w:val="24"/>
                <w14:ligatures w14:val="none"/>
              </w:rPr>
              <w:t>augmentation</w:t>
            </w:r>
            <w:r>
              <w:rPr>
                <w:rFonts w:ascii="Times New Roman" w:eastAsia="宋体" w:hAnsi="Times New Roman" w:cs="Times New Roman"/>
                <w:color w:val="000000" w:themeColor="text1"/>
                <w:kern w:val="0"/>
                <w:sz w:val="24"/>
                <w:szCs w:val="24"/>
                <w:shd w:val="clear" w:color="auto" w:fill="FEFEFE"/>
              </w:rPr>
              <w:t xml:space="preserve"> method in which the free bone </w:t>
            </w:r>
            <w:r>
              <w:rPr>
                <w:rFonts w:ascii="Times New Roman" w:eastAsia="宋体" w:hAnsi="Times New Roman" w:cs="Times New Roman"/>
                <w:color w:val="000000" w:themeColor="text1"/>
                <w:kern w:val="0"/>
                <w:sz w:val="24"/>
                <w:szCs w:val="24"/>
                <w:shd w:val="clear" w:color="auto" w:fill="FEFEFE"/>
              </w:rPr>
              <w:lastRenderedPageBreak/>
              <w:t xml:space="preserve">pieces obtained from different parts of the autologous body are fixed under the periosteal of the bone </w:t>
            </w:r>
            <w:r>
              <w:rPr>
                <w:rFonts w:ascii="Times New Roman" w:eastAsia="宋体" w:hAnsi="Times New Roman" w:cs="Times New Roman"/>
                <w:color w:val="000000" w:themeColor="text1"/>
                <w:kern w:val="0"/>
                <w:sz w:val="24"/>
                <w:szCs w:val="24"/>
                <w14:ligatures w14:val="none"/>
              </w:rPr>
              <w:t>augmentation</w:t>
            </w:r>
            <w:r>
              <w:rPr>
                <w:rFonts w:ascii="Times New Roman" w:eastAsia="宋体" w:hAnsi="Times New Roman" w:cs="Times New Roman"/>
                <w:color w:val="000000" w:themeColor="text1"/>
                <w:kern w:val="0"/>
                <w:sz w:val="24"/>
                <w:szCs w:val="24"/>
                <w:shd w:val="clear" w:color="auto" w:fill="FEFEFE"/>
              </w:rPr>
              <w:t xml:space="preserve"> site, and the mucoperiosteal flap is tightly sutured to promote the healing of the transplanted bone pieces with the original alveolar bone.</w:t>
            </w:r>
          </w:p>
        </w:tc>
        <w:tc>
          <w:tcPr>
            <w:tcW w:w="1758" w:type="dxa"/>
            <w:vAlign w:val="center"/>
          </w:tcPr>
          <w:p w14:paraId="5451075B" w14:textId="46115CA4" w:rsidR="003E23D3" w:rsidRDefault="00000000">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lastRenderedPageBreak/>
              <w:t>L</w:t>
            </w:r>
            <w:r>
              <w:rPr>
                <w:rFonts w:ascii="Times New Roman" w:hAnsi="Times New Roman" w:cs="Times New Roman"/>
                <w:color w:val="000000" w:themeColor="text1"/>
                <w:sz w:val="24"/>
                <w:szCs w:val="24"/>
              </w:rPr>
              <w:t>ine</w:t>
            </w:r>
            <w:r w:rsidR="00F603CB">
              <w:rPr>
                <w:rFonts w:ascii="Times New Roman" w:hAnsi="Times New Roman" w:cs="Times New Roman"/>
                <w:color w:val="000000" w:themeColor="text1"/>
                <w:sz w:val="24"/>
                <w:szCs w:val="24"/>
              </w:rPr>
              <w:t>2</w:t>
            </w:r>
            <w:r w:rsidR="00CF172F">
              <w:rPr>
                <w:rFonts w:ascii="Times New Roman" w:hAnsi="Times New Roman" w:cs="Times New Roman"/>
                <w:color w:val="000000" w:themeColor="text1"/>
                <w:sz w:val="24"/>
                <w:szCs w:val="24"/>
              </w:rPr>
              <w:t>2</w:t>
            </w:r>
            <w:r w:rsidR="00253ED3">
              <w:rPr>
                <w:rFonts w:ascii="Times New Roman" w:hAnsi="Times New Roman" w:cs="Times New Roman"/>
                <w:color w:val="000000" w:themeColor="text1"/>
                <w:sz w:val="24"/>
                <w:szCs w:val="24"/>
              </w:rPr>
              <w:t>6</w:t>
            </w:r>
          </w:p>
        </w:tc>
      </w:tr>
    </w:tbl>
    <w:p w14:paraId="251EC4C4" w14:textId="77777777" w:rsidR="003E23D3" w:rsidRDefault="003E23D3">
      <w:pPr>
        <w:jc w:val="center"/>
        <w:rPr>
          <w:rFonts w:ascii="Times New Roman" w:hAnsi="Times New Roman" w:cs="Times New Roman"/>
          <w:b/>
          <w:bCs/>
          <w:color w:val="000000" w:themeColor="text1"/>
          <w:sz w:val="24"/>
          <w:szCs w:val="24"/>
        </w:rPr>
      </w:pPr>
    </w:p>
    <w:sectPr w:rsidR="003E23D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A131" w14:textId="77777777" w:rsidR="004179C0" w:rsidRDefault="004179C0" w:rsidP="00E9571B">
      <w:r>
        <w:separator/>
      </w:r>
    </w:p>
  </w:endnote>
  <w:endnote w:type="continuationSeparator" w:id="0">
    <w:p w14:paraId="44E056DA" w14:textId="77777777" w:rsidR="004179C0" w:rsidRDefault="004179C0" w:rsidP="00E9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9359" w14:textId="77777777" w:rsidR="004179C0" w:rsidRDefault="004179C0" w:rsidP="00E9571B">
      <w:r>
        <w:separator/>
      </w:r>
    </w:p>
  </w:footnote>
  <w:footnote w:type="continuationSeparator" w:id="0">
    <w:p w14:paraId="5C0BB693" w14:textId="77777777" w:rsidR="004179C0" w:rsidRDefault="004179C0" w:rsidP="00E95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jYzZGZhYWViZjUzMjUwMTg5YmIwMjMxMDNkNDkxNDIifQ=="/>
  </w:docVars>
  <w:rsids>
    <w:rsidRoot w:val="00805236"/>
    <w:rsid w:val="000D6549"/>
    <w:rsid w:val="00253ED3"/>
    <w:rsid w:val="003D3EFA"/>
    <w:rsid w:val="003E23D3"/>
    <w:rsid w:val="00400DC2"/>
    <w:rsid w:val="0041591B"/>
    <w:rsid w:val="004179C0"/>
    <w:rsid w:val="00437C96"/>
    <w:rsid w:val="00441571"/>
    <w:rsid w:val="00445049"/>
    <w:rsid w:val="004572F1"/>
    <w:rsid w:val="00537840"/>
    <w:rsid w:val="00561815"/>
    <w:rsid w:val="005843A6"/>
    <w:rsid w:val="005E7BC8"/>
    <w:rsid w:val="00620B2B"/>
    <w:rsid w:val="006F786F"/>
    <w:rsid w:val="00784B22"/>
    <w:rsid w:val="00805236"/>
    <w:rsid w:val="00845CDD"/>
    <w:rsid w:val="008C6D98"/>
    <w:rsid w:val="00907E27"/>
    <w:rsid w:val="009C5B23"/>
    <w:rsid w:val="00A90A78"/>
    <w:rsid w:val="00AE67D7"/>
    <w:rsid w:val="00B47525"/>
    <w:rsid w:val="00BE10F4"/>
    <w:rsid w:val="00CD1B2D"/>
    <w:rsid w:val="00CF172F"/>
    <w:rsid w:val="00D0067D"/>
    <w:rsid w:val="00D77AB1"/>
    <w:rsid w:val="00E9571B"/>
    <w:rsid w:val="00EF54F6"/>
    <w:rsid w:val="00F02614"/>
    <w:rsid w:val="00F12850"/>
    <w:rsid w:val="00F249FB"/>
    <w:rsid w:val="00F603CB"/>
    <w:rsid w:val="25427089"/>
    <w:rsid w:val="3F8A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60D82"/>
  <w15:docId w15:val="{3A48A858-CD7A-45F0-A63A-615C44EB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14:ligatures w14: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ciencedirect.com/topics/medicine-and-dentistry/dental-restoration" TargetMode="External"/><Relationship Id="rId4" Type="http://schemas.openxmlformats.org/officeDocument/2006/relationships/styles" Target="styles.xml"/><Relationship Id="rId9" Type="http://schemas.openxmlformats.org/officeDocument/2006/relationships/hyperlink" Target="https://www.sciencedirect.com/topics/medicine-and-dentistry/dental-resto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52F2F7E8A1C46A37A6FC1F2E43D79" ma:contentTypeVersion="3" ma:contentTypeDescription="Create a new document." ma:contentTypeScope="" ma:versionID="5c5036b333288b0a82048fa1305b4a78">
  <xsd:schema xmlns:xsd="http://www.w3.org/2001/XMLSchema" xmlns:xs="http://www.w3.org/2001/XMLSchema" xmlns:p="http://schemas.microsoft.com/office/2006/metadata/properties" xmlns:ns3="31c0ff33-10ad-4d4b-b65e-b626ea4725fd" targetNamespace="http://schemas.microsoft.com/office/2006/metadata/properties" ma:root="true" ma:fieldsID="103dcbd79a449905c400851d5918acb2" ns3:_="">
    <xsd:import namespace="31c0ff33-10ad-4d4b-b65e-b626ea4725f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ff33-10ad-4d4b-b65e-b626ea472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336F-AEA9-46C7-8E43-D933429EA4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52314-DD65-4261-919F-C62CA7B40963}">
  <ds:schemaRefs>
    <ds:schemaRef ds:uri="http://schemas.microsoft.com/sharepoint/v3/contenttype/forms"/>
  </ds:schemaRefs>
</ds:datastoreItem>
</file>

<file path=customXml/itemProps3.xml><?xml version="1.0" encoding="utf-8"?>
<ds:datastoreItem xmlns:ds="http://schemas.openxmlformats.org/officeDocument/2006/customXml" ds:itemID="{F2721425-3B27-475E-9C36-63A6D1195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ff33-10ad-4d4b-b65e-b626ea472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Ricketts</dc:creator>
  <cp:keywords/>
  <dc:description/>
  <cp:lastModifiedBy>Sue Ricketts</cp:lastModifiedBy>
  <cp:revision>4</cp:revision>
  <dcterms:created xsi:type="dcterms:W3CDTF">2023-10-09T16:47:00Z</dcterms:created>
  <dcterms:modified xsi:type="dcterms:W3CDTF">2023-10-24T06:52:00Z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0x010100AB952F2F7E8A1C46A37A6FC1F2E43D79</vt:lpwstr>
  </property>
  <property fmtid="{D5CDD505-2E9C-101B-9397-08002B2CF9AE}" pid="3" name="KSOProductBuildVer">
    <vt:lpwstr>2052-12.1.0.15712</vt:lpwstr>
  </property>
  <property fmtid="{D5CDD505-2E9C-101B-9397-08002B2CF9AE}" pid="4" name="ICV">
    <vt:lpwstr>35EFE41696894E41B06432746B1FCEAE_13</vt:lpwstr>
  </property>
</Properties>
</file>