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Times New Roman"/>
          <w:b/>
          <w:bCs/>
          <w:sz w:val="24"/>
          <w:szCs w:val="24"/>
          <w:lang w:val="en-GB"/>
        </w:rPr>
      </w:pP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 xml:space="preserve">The Questionnaire </w:t>
      </w:r>
      <w:r>
        <w:rPr>
          <w:rFonts w:ascii="Times New Roman" w:hAnsi="Times New Roman" w:eastAsia="Times New Roman"/>
          <w:b/>
          <w:bCs/>
          <w:sz w:val="24"/>
          <w:szCs w:val="24"/>
          <w:lang w:val="en-GB"/>
        </w:rPr>
        <w:t>Form</w:t>
      </w:r>
    </w:p>
    <w:tbl>
      <w:tblPr>
        <w:tblStyle w:val="4"/>
        <w:tblpPr w:leftFromText="180" w:rightFromText="180" w:vertAnchor="text" w:horzAnchor="page" w:tblpXSpec="center" w:tblpY="208"/>
        <w:tblW w:w="8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6"/>
        <w:gridCol w:w="2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286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tem</w:t>
            </w:r>
          </w:p>
        </w:tc>
        <w:tc>
          <w:tcPr>
            <w:tcW w:w="290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" w:afterAutospacing="0" w:line="210" w:lineRule="atLeast"/>
              <w:ind w:left="0" w:right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zh-CN" w:bidi="ar-SA"/>
              </w:rPr>
              <w:t>Opinion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 w:bidi="ar-SA"/>
              </w:rPr>
              <w:t xml:space="preserve"> of 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zh-CN" w:bidi="ar-SA"/>
              </w:rPr>
              <w:t xml:space="preserve">the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 w:bidi="ar-SA"/>
              </w:rPr>
              <w:t>teaching method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286" w:type="dxa"/>
            <w:vAlign w:val="bottom"/>
          </w:tcPr>
          <w:p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1.I like this approach</w:t>
            </w:r>
          </w:p>
        </w:tc>
        <w:tc>
          <w:tcPr>
            <w:tcW w:w="2909" w:type="dxa"/>
            <w:vAlign w:val="bottom"/>
          </w:tcPr>
          <w:p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Yes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5286" w:type="dxa"/>
            <w:vAlign w:val="bottom"/>
          </w:tcPr>
          <w:p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2.This approach is efficient</w:t>
            </w:r>
          </w:p>
        </w:tc>
        <w:tc>
          <w:tcPr>
            <w:tcW w:w="2909" w:type="dxa"/>
            <w:vAlign w:val="bottom"/>
          </w:tcPr>
          <w:p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Yes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5286" w:type="dxa"/>
            <w:vAlign w:val="bottom"/>
          </w:tcPr>
          <w:p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3.This approach decreases extracurricular work</w:t>
            </w:r>
          </w:p>
        </w:tc>
        <w:tc>
          <w:tcPr>
            <w:tcW w:w="2909" w:type="dxa"/>
            <w:vAlign w:val="bottom"/>
          </w:tcPr>
          <w:p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Yes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86" w:type="dxa"/>
            <w:vAlign w:val="bottom"/>
          </w:tcPr>
          <w:p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4.This approach makes learning more targeted and more interesting</w:t>
            </w:r>
          </w:p>
        </w:tc>
        <w:tc>
          <w:tcPr>
            <w:tcW w:w="2909" w:type="dxa"/>
            <w:vAlign w:val="bottom"/>
          </w:tcPr>
          <w:p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Yes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6" w:type="dxa"/>
            <w:vAlign w:val="bottom"/>
          </w:tcPr>
          <w:p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5.This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approach enhances my ability to analyze and solve problems</w:t>
            </w:r>
          </w:p>
        </w:tc>
        <w:tc>
          <w:tcPr>
            <w:tcW w:w="2909" w:type="dxa"/>
            <w:vAlign w:val="bottom"/>
          </w:tcPr>
          <w:p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Yes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286" w:type="dxa"/>
            <w:vAlign w:val="bottom"/>
          </w:tcPr>
          <w:p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6.This approach helps me master theoretical knowledge</w:t>
            </w:r>
          </w:p>
        </w:tc>
        <w:tc>
          <w:tcPr>
            <w:tcW w:w="2909" w:type="dxa"/>
            <w:vAlign w:val="bottom"/>
          </w:tcPr>
          <w:p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Yes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5286" w:type="dxa"/>
            <w:vAlign w:val="bottom"/>
          </w:tcPr>
          <w:p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7.This approach helps me improve clinical skills</w:t>
            </w:r>
          </w:p>
        </w:tc>
        <w:tc>
          <w:tcPr>
            <w:tcW w:w="2909" w:type="dxa"/>
            <w:vAlign w:val="bottom"/>
          </w:tcPr>
          <w:p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Yes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5286" w:type="dxa"/>
            <w:vAlign w:val="bottom"/>
          </w:tcPr>
          <w:p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8.This approach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facilitates clinician-patient communication</w:t>
            </w:r>
          </w:p>
        </w:tc>
        <w:tc>
          <w:tcPr>
            <w:tcW w:w="2909" w:type="dxa"/>
            <w:vAlign w:val="bottom"/>
          </w:tcPr>
          <w:p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Yes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ym w:font="Wingdings 2" w:char="00A3"/>
            </w:r>
          </w:p>
        </w:tc>
      </w:tr>
    </w:tbl>
    <w:p>
      <w:pPr>
        <w:ind w:firstLine="220" w:firstLineChars="100"/>
        <w:rPr>
          <w:rFonts w:ascii="Times New Roman" w:hAnsi="Times New Roman"/>
        </w:rPr>
      </w:pPr>
      <w:bookmarkStart w:id="0" w:name="_GoBack"/>
      <w:bookmarkEnd w:id="0"/>
    </w:p>
    <w:sectPr>
      <w:pgSz w:w="12240" w:h="15840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jZjA2YmZjOTk2MWUxOWQzNzkzNWVlOWYyNTk4ZGEifQ=="/>
  </w:docVars>
  <w:rsids>
    <w:rsidRoot w:val="008B0FD0"/>
    <w:rsid w:val="003C528A"/>
    <w:rsid w:val="004A4913"/>
    <w:rsid w:val="00560426"/>
    <w:rsid w:val="005B741F"/>
    <w:rsid w:val="007B609D"/>
    <w:rsid w:val="00860E1C"/>
    <w:rsid w:val="008B0FD0"/>
    <w:rsid w:val="00970247"/>
    <w:rsid w:val="00C8084B"/>
    <w:rsid w:val="00D47333"/>
    <w:rsid w:val="149E7FAF"/>
    <w:rsid w:val="274973FB"/>
    <w:rsid w:val="4AB55BCC"/>
    <w:rsid w:val="4B761389"/>
    <w:rsid w:val="4D1034D0"/>
    <w:rsid w:val="5F7379D3"/>
    <w:rsid w:val="60FC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60" w:line="25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rPr>
      <w:sz w:val="24"/>
    </w:rPr>
  </w:style>
  <w:style w:type="table" w:styleId="4">
    <w:name w:val="Table Grid"/>
    <w:basedOn w:val="3"/>
    <w:qFormat/>
    <w:uiPriority w:val="9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685</Characters>
  <Lines>6</Lines>
  <Paragraphs>1</Paragraphs>
  <TotalTime>1</TotalTime>
  <ScaleCrop>false</ScaleCrop>
  <LinksUpToDate>false</LinksUpToDate>
  <CharactersWithSpaces>820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2023-07-25T04:26:00Z</dcterms:created>
  <dc:creator>Sue Ricketts</dc:creator>
  <cp:lastModifiedBy>望思，无邪</cp:lastModifiedBy>
  <dcterms:modified xsi:type="dcterms:W3CDTF">2023-07-27T12:14:51Z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2E08E66C099B4179A2ABE41D443B1078_12</vt:lpwstr>
  </property>
</Properties>
</file>