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5B0F7" w14:textId="77777777" w:rsidR="00D46C79" w:rsidRDefault="00000000">
      <w:pPr>
        <w:spacing w:afterLines="50" w:after="156"/>
        <w:rPr>
          <w:rFonts w:ascii="Palatino Linotype" w:hAnsi="Palatino Linotype" w:cs="Palatino Linotype"/>
          <w:sz w:val="24"/>
          <w:szCs w:val="24"/>
        </w:rPr>
      </w:pPr>
      <w:r>
        <w:rPr>
          <w:rFonts w:ascii="Palatino Linotype" w:hAnsi="Palatino Linotype" w:cs="Palatino Linotype"/>
          <w:b/>
          <w:bCs/>
          <w:sz w:val="24"/>
          <w:szCs w:val="24"/>
        </w:rPr>
        <w:t xml:space="preserve">Supplementary Table 2. </w:t>
      </w:r>
      <w:r>
        <w:rPr>
          <w:rFonts w:ascii="Palatino Linotype" w:hAnsi="Palatino Linotype" w:cs="Palatino Linotype"/>
          <w:sz w:val="24"/>
          <w:szCs w:val="24"/>
        </w:rPr>
        <w:t>Top GO items for differentially expressed genes.</w:t>
      </w:r>
    </w:p>
    <w:tbl>
      <w:tblPr>
        <w:tblStyle w:val="a7"/>
        <w:tblW w:w="8647" w:type="dxa"/>
        <w:jc w:val="center"/>
        <w:tblBorders>
          <w:top w:val="single" w:sz="8" w:space="0" w:color="auto"/>
          <w:left w:val="none" w:sz="0" w:space="0" w:color="auto"/>
          <w:bottom w:val="single" w:sz="8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551"/>
        <w:gridCol w:w="1367"/>
        <w:gridCol w:w="986"/>
        <w:gridCol w:w="1475"/>
        <w:gridCol w:w="850"/>
      </w:tblGrid>
      <w:tr w:rsidR="00D46C79" w14:paraId="6E60098F" w14:textId="77777777" w:rsidTr="00296EF0">
        <w:trPr>
          <w:trHeight w:val="280"/>
          <w:jc w:val="center"/>
        </w:trPr>
        <w:tc>
          <w:tcPr>
            <w:tcW w:w="1418" w:type="dxa"/>
            <w:tcBorders>
              <w:bottom w:val="single" w:sz="4" w:space="0" w:color="auto"/>
            </w:tcBorders>
            <w:noWrap/>
          </w:tcPr>
          <w:p w14:paraId="17E2A81C" w14:textId="77777777" w:rsidR="00D46C79" w:rsidRDefault="00000000">
            <w:pPr>
              <w:pStyle w:val="a8"/>
              <w:jc w:val="center"/>
              <w:rPr>
                <w:rFonts w:ascii="Palatino Linotype" w:hAnsi="Palatino Linotype" w:cs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b/>
                <w:bCs/>
                <w:sz w:val="20"/>
                <w:szCs w:val="20"/>
              </w:rPr>
              <w:t>Term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noWrap/>
          </w:tcPr>
          <w:p w14:paraId="6D57F7DE" w14:textId="77777777" w:rsidR="00D46C79" w:rsidRDefault="00000000">
            <w:pPr>
              <w:pStyle w:val="a8"/>
              <w:jc w:val="center"/>
              <w:rPr>
                <w:rFonts w:ascii="Palatino Linotype" w:hAnsi="Palatino Linotype" w:cs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b/>
                <w:bCs/>
                <w:sz w:val="20"/>
                <w:szCs w:val="20"/>
              </w:rPr>
              <w:t>Description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noWrap/>
          </w:tcPr>
          <w:p w14:paraId="62CCFB56" w14:textId="40D69A43" w:rsidR="00D46C79" w:rsidRDefault="00000000">
            <w:pPr>
              <w:pStyle w:val="a8"/>
              <w:jc w:val="center"/>
              <w:rPr>
                <w:rFonts w:ascii="Palatino Linotype" w:hAnsi="Palatino Linotype" w:cs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b/>
                <w:bCs/>
                <w:sz w:val="20"/>
                <w:szCs w:val="20"/>
              </w:rPr>
              <w:t>Gene</w:t>
            </w:r>
            <w:r w:rsidR="00296EF0">
              <w:rPr>
                <w:rFonts w:ascii="Palatino Linotype" w:hAnsi="Palatino Linotype" w:cs="Palatino Linotype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Palatino Linotype" w:hAnsi="Palatino Linotype" w:cs="Palatino Linotype"/>
                <w:b/>
                <w:bCs/>
                <w:sz w:val="20"/>
                <w:szCs w:val="20"/>
              </w:rPr>
              <w:t>Ratio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noWrap/>
          </w:tcPr>
          <w:p w14:paraId="6CD2EFAD" w14:textId="03E8CD91" w:rsidR="00D46C79" w:rsidRDefault="00000000">
            <w:pPr>
              <w:pStyle w:val="a8"/>
              <w:jc w:val="center"/>
              <w:rPr>
                <w:rFonts w:ascii="Palatino Linotype" w:hAnsi="Palatino Linotype" w:cs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b/>
                <w:bCs/>
                <w:sz w:val="20"/>
                <w:szCs w:val="20"/>
              </w:rPr>
              <w:t>p</w:t>
            </w:r>
            <w:r w:rsidR="00296EF0">
              <w:rPr>
                <w:rFonts w:ascii="Palatino Linotype" w:hAnsi="Palatino Linotype" w:cs="Palatino Linotype" w:hint="eastAsia"/>
                <w:b/>
                <w:bCs/>
                <w:sz w:val="20"/>
                <w:szCs w:val="20"/>
                <w:lang w:eastAsia="zh-CN"/>
              </w:rPr>
              <w:t>-</w:t>
            </w:r>
            <w:r>
              <w:rPr>
                <w:rFonts w:ascii="Palatino Linotype" w:hAnsi="Palatino Linotype" w:cs="Palatino Linotype"/>
                <w:b/>
                <w:bCs/>
                <w:sz w:val="20"/>
                <w:szCs w:val="20"/>
              </w:rPr>
              <w:t>value</w:t>
            </w:r>
          </w:p>
        </w:tc>
        <w:tc>
          <w:tcPr>
            <w:tcW w:w="1475" w:type="dxa"/>
            <w:tcBorders>
              <w:bottom w:val="single" w:sz="4" w:space="0" w:color="auto"/>
            </w:tcBorders>
            <w:noWrap/>
          </w:tcPr>
          <w:p w14:paraId="7341AD17" w14:textId="1522E342" w:rsidR="00D46C79" w:rsidRDefault="00000000">
            <w:pPr>
              <w:pStyle w:val="a8"/>
              <w:jc w:val="center"/>
              <w:rPr>
                <w:rFonts w:ascii="Palatino Linotype" w:hAnsi="Palatino Linotype" w:cs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b/>
                <w:bCs/>
                <w:sz w:val="20"/>
                <w:szCs w:val="20"/>
              </w:rPr>
              <w:t>q</w:t>
            </w:r>
            <w:r w:rsidR="00296EF0">
              <w:rPr>
                <w:rFonts w:ascii="Palatino Linotype" w:hAnsi="Palatino Linotype" w:cs="Palatino Linotype" w:hint="eastAsia"/>
                <w:b/>
                <w:bCs/>
                <w:sz w:val="20"/>
                <w:szCs w:val="20"/>
                <w:lang w:eastAsia="zh-CN"/>
              </w:rPr>
              <w:t>-</w:t>
            </w:r>
            <w:r>
              <w:rPr>
                <w:rFonts w:ascii="Palatino Linotype" w:hAnsi="Palatino Linotype" w:cs="Palatino Linotype"/>
                <w:b/>
                <w:bCs/>
                <w:sz w:val="20"/>
                <w:szCs w:val="20"/>
              </w:rPr>
              <w:t>value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noWrap/>
          </w:tcPr>
          <w:p w14:paraId="399A4544" w14:textId="77777777" w:rsidR="00D46C79" w:rsidRDefault="00000000">
            <w:pPr>
              <w:pStyle w:val="a8"/>
              <w:jc w:val="center"/>
              <w:rPr>
                <w:rFonts w:ascii="Palatino Linotype" w:hAnsi="Palatino Linotype" w:cs="Palatino Linotype"/>
                <w:b/>
                <w:bCs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b/>
                <w:bCs/>
                <w:sz w:val="20"/>
                <w:szCs w:val="20"/>
              </w:rPr>
              <w:t>Count</w:t>
            </w:r>
          </w:p>
        </w:tc>
      </w:tr>
      <w:tr w:rsidR="00D46C79" w14:paraId="518D9472" w14:textId="77777777" w:rsidTr="00296EF0">
        <w:trPr>
          <w:trHeight w:val="280"/>
          <w:jc w:val="center"/>
        </w:trPr>
        <w:tc>
          <w:tcPr>
            <w:tcW w:w="1418" w:type="dxa"/>
            <w:tcBorders>
              <w:top w:val="single" w:sz="4" w:space="0" w:color="auto"/>
              <w:tl2br w:val="nil"/>
              <w:tr2bl w:val="nil"/>
            </w:tcBorders>
            <w:noWrap/>
          </w:tcPr>
          <w:p w14:paraId="755B9434" w14:textId="77777777" w:rsidR="00D46C79" w:rsidRDefault="00000000">
            <w:pPr>
              <w:pStyle w:val="a8"/>
              <w:jc w:val="center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GO:0002449</w:t>
            </w:r>
          </w:p>
        </w:tc>
        <w:tc>
          <w:tcPr>
            <w:tcW w:w="2551" w:type="dxa"/>
            <w:tcBorders>
              <w:top w:val="single" w:sz="4" w:space="0" w:color="auto"/>
              <w:tl2br w:val="nil"/>
              <w:tr2bl w:val="nil"/>
            </w:tcBorders>
            <w:noWrap/>
          </w:tcPr>
          <w:p w14:paraId="55518666" w14:textId="77777777" w:rsidR="00D46C79" w:rsidRDefault="00000000">
            <w:pPr>
              <w:pStyle w:val="a8"/>
              <w:jc w:val="center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lymphocyte mediated immunity</w:t>
            </w:r>
          </w:p>
        </w:tc>
        <w:tc>
          <w:tcPr>
            <w:tcW w:w="1367" w:type="dxa"/>
            <w:tcBorders>
              <w:top w:val="single" w:sz="4" w:space="0" w:color="auto"/>
              <w:tl2br w:val="nil"/>
              <w:tr2bl w:val="nil"/>
            </w:tcBorders>
            <w:noWrap/>
          </w:tcPr>
          <w:p w14:paraId="339DEC78" w14:textId="77777777" w:rsidR="00D46C79" w:rsidRDefault="00000000">
            <w:pPr>
              <w:pStyle w:val="a8"/>
              <w:jc w:val="center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9/42</w:t>
            </w:r>
          </w:p>
        </w:tc>
        <w:tc>
          <w:tcPr>
            <w:tcW w:w="986" w:type="dxa"/>
            <w:tcBorders>
              <w:top w:val="single" w:sz="4" w:space="0" w:color="auto"/>
              <w:tl2br w:val="nil"/>
              <w:tr2bl w:val="nil"/>
            </w:tcBorders>
            <w:noWrap/>
          </w:tcPr>
          <w:p w14:paraId="4C858345" w14:textId="77777777" w:rsidR="00D46C79" w:rsidRDefault="00000000">
            <w:pPr>
              <w:pStyle w:val="a8"/>
              <w:jc w:val="center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8.94E-08</w:t>
            </w:r>
          </w:p>
        </w:tc>
        <w:tc>
          <w:tcPr>
            <w:tcW w:w="1475" w:type="dxa"/>
            <w:tcBorders>
              <w:top w:val="single" w:sz="4" w:space="0" w:color="auto"/>
              <w:tl2br w:val="nil"/>
              <w:tr2bl w:val="nil"/>
            </w:tcBorders>
            <w:noWrap/>
          </w:tcPr>
          <w:p w14:paraId="3909D970" w14:textId="77777777" w:rsidR="00D46C79" w:rsidRDefault="00000000">
            <w:pPr>
              <w:pStyle w:val="a8"/>
              <w:jc w:val="center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3.96E-05</w:t>
            </w:r>
          </w:p>
        </w:tc>
        <w:tc>
          <w:tcPr>
            <w:tcW w:w="850" w:type="dxa"/>
            <w:tcBorders>
              <w:top w:val="single" w:sz="4" w:space="0" w:color="auto"/>
              <w:tl2br w:val="nil"/>
              <w:tr2bl w:val="nil"/>
            </w:tcBorders>
            <w:noWrap/>
          </w:tcPr>
          <w:p w14:paraId="49E782B1" w14:textId="77777777" w:rsidR="00D46C79" w:rsidRDefault="00000000">
            <w:pPr>
              <w:pStyle w:val="a8"/>
              <w:jc w:val="center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9</w:t>
            </w:r>
          </w:p>
        </w:tc>
      </w:tr>
      <w:tr w:rsidR="00D46C79" w14:paraId="4A7D57F2" w14:textId="77777777" w:rsidTr="00296EF0">
        <w:trPr>
          <w:trHeight w:val="280"/>
          <w:jc w:val="center"/>
        </w:trPr>
        <w:tc>
          <w:tcPr>
            <w:tcW w:w="1418" w:type="dxa"/>
            <w:tcBorders>
              <w:tl2br w:val="nil"/>
              <w:tr2bl w:val="nil"/>
            </w:tcBorders>
            <w:noWrap/>
          </w:tcPr>
          <w:p w14:paraId="3F84B294" w14:textId="77777777" w:rsidR="00D46C79" w:rsidRDefault="00000000">
            <w:pPr>
              <w:pStyle w:val="a8"/>
              <w:jc w:val="center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GO:0002460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noWrap/>
          </w:tcPr>
          <w:p w14:paraId="60C3B773" w14:textId="77777777" w:rsidR="00D46C79" w:rsidRDefault="00000000">
            <w:pPr>
              <w:pStyle w:val="a8"/>
              <w:jc w:val="center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adaptive immune response based on somatic recombination of immune receptors built from immunoglobulin superfamily domains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noWrap/>
          </w:tcPr>
          <w:p w14:paraId="4F618EE4" w14:textId="77777777" w:rsidR="00D46C79" w:rsidRDefault="00000000">
            <w:pPr>
              <w:pStyle w:val="a8"/>
              <w:jc w:val="center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9/42</w:t>
            </w:r>
          </w:p>
        </w:tc>
        <w:tc>
          <w:tcPr>
            <w:tcW w:w="986" w:type="dxa"/>
            <w:tcBorders>
              <w:tl2br w:val="nil"/>
              <w:tr2bl w:val="nil"/>
            </w:tcBorders>
            <w:noWrap/>
          </w:tcPr>
          <w:p w14:paraId="6CB3B20B" w14:textId="77777777" w:rsidR="00D46C79" w:rsidRDefault="00000000">
            <w:pPr>
              <w:pStyle w:val="a8"/>
              <w:jc w:val="center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9.81E-08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noWrap/>
          </w:tcPr>
          <w:p w14:paraId="44C23B71" w14:textId="77777777" w:rsidR="00D46C79" w:rsidRDefault="00000000">
            <w:pPr>
              <w:pStyle w:val="a8"/>
              <w:jc w:val="center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3.96E-05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/>
          </w:tcPr>
          <w:p w14:paraId="6A6F4A2C" w14:textId="77777777" w:rsidR="00D46C79" w:rsidRDefault="00000000">
            <w:pPr>
              <w:pStyle w:val="a8"/>
              <w:jc w:val="center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9</w:t>
            </w:r>
          </w:p>
        </w:tc>
      </w:tr>
      <w:tr w:rsidR="00D46C79" w14:paraId="77F7316D" w14:textId="77777777" w:rsidTr="00296EF0">
        <w:trPr>
          <w:trHeight w:val="280"/>
          <w:jc w:val="center"/>
        </w:trPr>
        <w:tc>
          <w:tcPr>
            <w:tcW w:w="1418" w:type="dxa"/>
            <w:tcBorders>
              <w:tl2br w:val="nil"/>
              <w:tr2bl w:val="nil"/>
            </w:tcBorders>
            <w:noWrap/>
          </w:tcPr>
          <w:p w14:paraId="45A3B036" w14:textId="77777777" w:rsidR="00D46C79" w:rsidRDefault="00000000">
            <w:pPr>
              <w:pStyle w:val="a8"/>
              <w:jc w:val="center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GO:0016064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noWrap/>
          </w:tcPr>
          <w:p w14:paraId="33ABE488" w14:textId="77777777" w:rsidR="00D46C79" w:rsidRDefault="00000000">
            <w:pPr>
              <w:pStyle w:val="a8"/>
              <w:jc w:val="center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immunoglobulin mediated immune response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noWrap/>
          </w:tcPr>
          <w:p w14:paraId="646AF1DF" w14:textId="77777777" w:rsidR="00D46C79" w:rsidRDefault="00000000">
            <w:pPr>
              <w:pStyle w:val="a8"/>
              <w:jc w:val="center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7/42</w:t>
            </w:r>
          </w:p>
        </w:tc>
        <w:tc>
          <w:tcPr>
            <w:tcW w:w="986" w:type="dxa"/>
            <w:tcBorders>
              <w:tl2br w:val="nil"/>
              <w:tr2bl w:val="nil"/>
            </w:tcBorders>
            <w:noWrap/>
          </w:tcPr>
          <w:p w14:paraId="75CDE840" w14:textId="77777777" w:rsidR="00D46C79" w:rsidRDefault="00000000">
            <w:pPr>
              <w:pStyle w:val="a8"/>
              <w:jc w:val="center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6.28E-07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noWrap/>
          </w:tcPr>
          <w:p w14:paraId="7753E332" w14:textId="77777777" w:rsidR="00D46C79" w:rsidRDefault="00000000">
            <w:pPr>
              <w:pStyle w:val="a8"/>
              <w:jc w:val="center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0.000110844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/>
          </w:tcPr>
          <w:p w14:paraId="683FF06B" w14:textId="77777777" w:rsidR="00D46C79" w:rsidRDefault="00000000">
            <w:pPr>
              <w:pStyle w:val="a8"/>
              <w:jc w:val="center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7</w:t>
            </w:r>
          </w:p>
        </w:tc>
      </w:tr>
      <w:tr w:rsidR="00D46C79" w14:paraId="165C3CB4" w14:textId="77777777" w:rsidTr="00296EF0">
        <w:trPr>
          <w:trHeight w:val="280"/>
          <w:jc w:val="center"/>
        </w:trPr>
        <w:tc>
          <w:tcPr>
            <w:tcW w:w="1418" w:type="dxa"/>
            <w:tcBorders>
              <w:tl2br w:val="nil"/>
              <w:tr2bl w:val="nil"/>
            </w:tcBorders>
            <w:noWrap/>
          </w:tcPr>
          <w:p w14:paraId="61302CC4" w14:textId="77777777" w:rsidR="00D46C79" w:rsidRDefault="00000000">
            <w:pPr>
              <w:pStyle w:val="a8"/>
              <w:jc w:val="center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GO:0006958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noWrap/>
          </w:tcPr>
          <w:p w14:paraId="103232F3" w14:textId="77777777" w:rsidR="00D46C79" w:rsidRDefault="00000000">
            <w:pPr>
              <w:pStyle w:val="a8"/>
              <w:jc w:val="center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complement activation, classical pathway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noWrap/>
          </w:tcPr>
          <w:p w14:paraId="70D93C49" w14:textId="77777777" w:rsidR="00D46C79" w:rsidRDefault="00000000">
            <w:pPr>
              <w:pStyle w:val="a8"/>
              <w:jc w:val="center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6/42</w:t>
            </w:r>
          </w:p>
        </w:tc>
        <w:tc>
          <w:tcPr>
            <w:tcW w:w="986" w:type="dxa"/>
            <w:tcBorders>
              <w:tl2br w:val="nil"/>
              <w:tr2bl w:val="nil"/>
            </w:tcBorders>
            <w:noWrap/>
          </w:tcPr>
          <w:p w14:paraId="58EABC92" w14:textId="77777777" w:rsidR="00D46C79" w:rsidRDefault="00000000">
            <w:pPr>
              <w:pStyle w:val="a8"/>
              <w:jc w:val="center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6.58E-07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noWrap/>
          </w:tcPr>
          <w:p w14:paraId="40511736" w14:textId="77777777" w:rsidR="00D46C79" w:rsidRDefault="00000000">
            <w:pPr>
              <w:pStyle w:val="a8"/>
              <w:jc w:val="center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0.000110844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/>
          </w:tcPr>
          <w:p w14:paraId="01F45B39" w14:textId="77777777" w:rsidR="00D46C79" w:rsidRDefault="00000000">
            <w:pPr>
              <w:pStyle w:val="a8"/>
              <w:jc w:val="center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6</w:t>
            </w:r>
          </w:p>
        </w:tc>
      </w:tr>
      <w:tr w:rsidR="00D46C79" w14:paraId="1AFDA475" w14:textId="77777777" w:rsidTr="00296EF0">
        <w:trPr>
          <w:trHeight w:val="280"/>
          <w:jc w:val="center"/>
        </w:trPr>
        <w:tc>
          <w:tcPr>
            <w:tcW w:w="1418" w:type="dxa"/>
            <w:tcBorders>
              <w:tl2br w:val="nil"/>
              <w:tr2bl w:val="nil"/>
            </w:tcBorders>
            <w:noWrap/>
          </w:tcPr>
          <w:p w14:paraId="6B917233" w14:textId="77777777" w:rsidR="00D46C79" w:rsidRDefault="00000000">
            <w:pPr>
              <w:pStyle w:val="a8"/>
              <w:jc w:val="center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GO:0019724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noWrap/>
          </w:tcPr>
          <w:p w14:paraId="45D6F0D5" w14:textId="77777777" w:rsidR="00D46C79" w:rsidRDefault="00000000">
            <w:pPr>
              <w:pStyle w:val="a8"/>
              <w:jc w:val="center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B cell mediated immunity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noWrap/>
          </w:tcPr>
          <w:p w14:paraId="61E20134" w14:textId="77777777" w:rsidR="00D46C79" w:rsidRDefault="00000000">
            <w:pPr>
              <w:pStyle w:val="a8"/>
              <w:jc w:val="center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7/42</w:t>
            </w:r>
          </w:p>
        </w:tc>
        <w:tc>
          <w:tcPr>
            <w:tcW w:w="986" w:type="dxa"/>
            <w:tcBorders>
              <w:tl2br w:val="nil"/>
              <w:tr2bl w:val="nil"/>
            </w:tcBorders>
            <w:noWrap/>
          </w:tcPr>
          <w:p w14:paraId="36552253" w14:textId="77777777" w:rsidR="00D46C79" w:rsidRDefault="00000000">
            <w:pPr>
              <w:pStyle w:val="a8"/>
              <w:jc w:val="center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6.86E-07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noWrap/>
          </w:tcPr>
          <w:p w14:paraId="7B129C58" w14:textId="77777777" w:rsidR="00D46C79" w:rsidRDefault="00000000">
            <w:pPr>
              <w:pStyle w:val="a8"/>
              <w:jc w:val="center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0.000110844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/>
          </w:tcPr>
          <w:p w14:paraId="1404E624" w14:textId="77777777" w:rsidR="00D46C79" w:rsidRDefault="00000000">
            <w:pPr>
              <w:pStyle w:val="a8"/>
              <w:jc w:val="center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7</w:t>
            </w:r>
          </w:p>
        </w:tc>
      </w:tr>
      <w:tr w:rsidR="00D46C79" w14:paraId="266DBF49" w14:textId="77777777" w:rsidTr="00296EF0">
        <w:trPr>
          <w:trHeight w:val="280"/>
          <w:jc w:val="center"/>
        </w:trPr>
        <w:tc>
          <w:tcPr>
            <w:tcW w:w="1418" w:type="dxa"/>
            <w:tcBorders>
              <w:tl2br w:val="nil"/>
              <w:tr2bl w:val="nil"/>
            </w:tcBorders>
            <w:noWrap/>
          </w:tcPr>
          <w:p w14:paraId="0F9AEAE2" w14:textId="77777777" w:rsidR="00D46C79" w:rsidRDefault="00000000">
            <w:pPr>
              <w:pStyle w:val="a8"/>
              <w:jc w:val="center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GO:0002455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noWrap/>
          </w:tcPr>
          <w:p w14:paraId="4531936D" w14:textId="77777777" w:rsidR="00D46C79" w:rsidRDefault="00000000">
            <w:pPr>
              <w:pStyle w:val="a8"/>
              <w:jc w:val="center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humoral immune response mediated by circulating immunoglobulin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noWrap/>
          </w:tcPr>
          <w:p w14:paraId="19F1A6B3" w14:textId="77777777" w:rsidR="00D46C79" w:rsidRDefault="00000000">
            <w:pPr>
              <w:pStyle w:val="a8"/>
              <w:jc w:val="center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6/42</w:t>
            </w:r>
          </w:p>
        </w:tc>
        <w:tc>
          <w:tcPr>
            <w:tcW w:w="986" w:type="dxa"/>
            <w:tcBorders>
              <w:tl2br w:val="nil"/>
              <w:tr2bl w:val="nil"/>
            </w:tcBorders>
            <w:noWrap/>
          </w:tcPr>
          <w:p w14:paraId="6694DC4B" w14:textId="77777777" w:rsidR="00D46C79" w:rsidRDefault="00000000">
            <w:pPr>
              <w:pStyle w:val="a8"/>
              <w:jc w:val="center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1.15E-06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noWrap/>
          </w:tcPr>
          <w:p w14:paraId="77D41D15" w14:textId="77777777" w:rsidR="00D46C79" w:rsidRDefault="00000000">
            <w:pPr>
              <w:pStyle w:val="a8"/>
              <w:jc w:val="center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0.000154514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/>
          </w:tcPr>
          <w:p w14:paraId="1F6CA7CA" w14:textId="77777777" w:rsidR="00D46C79" w:rsidRDefault="00000000">
            <w:pPr>
              <w:pStyle w:val="a8"/>
              <w:jc w:val="center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6</w:t>
            </w:r>
          </w:p>
        </w:tc>
      </w:tr>
      <w:tr w:rsidR="00D46C79" w14:paraId="50E8BC4F" w14:textId="77777777" w:rsidTr="00296EF0">
        <w:trPr>
          <w:trHeight w:val="280"/>
          <w:jc w:val="center"/>
        </w:trPr>
        <w:tc>
          <w:tcPr>
            <w:tcW w:w="1418" w:type="dxa"/>
            <w:tcBorders>
              <w:tl2br w:val="nil"/>
              <w:tr2bl w:val="nil"/>
            </w:tcBorders>
            <w:noWrap/>
          </w:tcPr>
          <w:p w14:paraId="5B501142" w14:textId="77777777" w:rsidR="00D46C79" w:rsidRDefault="00000000">
            <w:pPr>
              <w:pStyle w:val="a8"/>
              <w:jc w:val="center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GO:0006956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noWrap/>
          </w:tcPr>
          <w:p w14:paraId="29B30498" w14:textId="77777777" w:rsidR="00D46C79" w:rsidRDefault="00000000">
            <w:pPr>
              <w:pStyle w:val="a8"/>
              <w:jc w:val="center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complement activation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noWrap/>
          </w:tcPr>
          <w:p w14:paraId="53C3F91C" w14:textId="77777777" w:rsidR="00D46C79" w:rsidRDefault="00000000">
            <w:pPr>
              <w:pStyle w:val="a8"/>
              <w:jc w:val="center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6/42</w:t>
            </w:r>
          </w:p>
        </w:tc>
        <w:tc>
          <w:tcPr>
            <w:tcW w:w="986" w:type="dxa"/>
            <w:tcBorders>
              <w:tl2br w:val="nil"/>
              <w:tr2bl w:val="nil"/>
            </w:tcBorders>
            <w:noWrap/>
          </w:tcPr>
          <w:p w14:paraId="2038825D" w14:textId="77777777" w:rsidR="00D46C79" w:rsidRDefault="00000000">
            <w:pPr>
              <w:pStyle w:val="a8"/>
              <w:jc w:val="center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2.57E-06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noWrap/>
          </w:tcPr>
          <w:p w14:paraId="32EDDF6F" w14:textId="77777777" w:rsidR="00D46C79" w:rsidRDefault="00000000">
            <w:pPr>
              <w:pStyle w:val="a8"/>
              <w:jc w:val="center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0.000296293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/>
          </w:tcPr>
          <w:p w14:paraId="6AA18142" w14:textId="77777777" w:rsidR="00D46C79" w:rsidRDefault="00000000">
            <w:pPr>
              <w:pStyle w:val="a8"/>
              <w:jc w:val="center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6</w:t>
            </w:r>
          </w:p>
        </w:tc>
      </w:tr>
      <w:tr w:rsidR="00D46C79" w14:paraId="36AA502E" w14:textId="77777777" w:rsidTr="00296EF0">
        <w:trPr>
          <w:trHeight w:val="280"/>
          <w:jc w:val="center"/>
        </w:trPr>
        <w:tc>
          <w:tcPr>
            <w:tcW w:w="1418" w:type="dxa"/>
            <w:tcBorders>
              <w:tl2br w:val="nil"/>
              <w:tr2bl w:val="nil"/>
            </w:tcBorders>
            <w:noWrap/>
          </w:tcPr>
          <w:p w14:paraId="0B8CFBCB" w14:textId="77777777" w:rsidR="00D46C79" w:rsidRDefault="00000000">
            <w:pPr>
              <w:pStyle w:val="a8"/>
              <w:jc w:val="center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GO:0030449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noWrap/>
          </w:tcPr>
          <w:p w14:paraId="3AA44D19" w14:textId="77777777" w:rsidR="00D46C79" w:rsidRDefault="00000000">
            <w:pPr>
              <w:pStyle w:val="a8"/>
              <w:jc w:val="center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regulation of complement activation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noWrap/>
          </w:tcPr>
          <w:p w14:paraId="4C2E9451" w14:textId="77777777" w:rsidR="00D46C79" w:rsidRDefault="00000000">
            <w:pPr>
              <w:pStyle w:val="a8"/>
              <w:jc w:val="center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5/42</w:t>
            </w:r>
          </w:p>
        </w:tc>
        <w:tc>
          <w:tcPr>
            <w:tcW w:w="986" w:type="dxa"/>
            <w:tcBorders>
              <w:tl2br w:val="nil"/>
              <w:tr2bl w:val="nil"/>
            </w:tcBorders>
            <w:noWrap/>
          </w:tcPr>
          <w:p w14:paraId="31FCD845" w14:textId="77777777" w:rsidR="00D46C79" w:rsidRDefault="00000000">
            <w:pPr>
              <w:pStyle w:val="a8"/>
              <w:jc w:val="center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5.48E-06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noWrap/>
          </w:tcPr>
          <w:p w14:paraId="4C0197AC" w14:textId="77777777" w:rsidR="00D46C79" w:rsidRDefault="00000000">
            <w:pPr>
              <w:pStyle w:val="a8"/>
              <w:jc w:val="center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0.000553617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/>
          </w:tcPr>
          <w:p w14:paraId="74247BB2" w14:textId="77777777" w:rsidR="00D46C79" w:rsidRDefault="00000000">
            <w:pPr>
              <w:pStyle w:val="a8"/>
              <w:jc w:val="center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5</w:t>
            </w:r>
          </w:p>
        </w:tc>
      </w:tr>
      <w:tr w:rsidR="00D46C79" w14:paraId="22CAA728" w14:textId="77777777" w:rsidTr="00296EF0">
        <w:trPr>
          <w:trHeight w:val="280"/>
          <w:jc w:val="center"/>
        </w:trPr>
        <w:tc>
          <w:tcPr>
            <w:tcW w:w="1418" w:type="dxa"/>
            <w:tcBorders>
              <w:tl2br w:val="nil"/>
              <w:tr2bl w:val="nil"/>
            </w:tcBorders>
            <w:noWrap/>
          </w:tcPr>
          <w:p w14:paraId="3ED2B992" w14:textId="77777777" w:rsidR="00D46C79" w:rsidRDefault="00000000">
            <w:pPr>
              <w:pStyle w:val="a8"/>
              <w:jc w:val="center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GO:0002697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noWrap/>
          </w:tcPr>
          <w:p w14:paraId="3525ED1B" w14:textId="77777777" w:rsidR="00D46C79" w:rsidRDefault="00000000">
            <w:pPr>
              <w:pStyle w:val="a8"/>
              <w:jc w:val="center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regulation of immune effector process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noWrap/>
          </w:tcPr>
          <w:p w14:paraId="0B060133" w14:textId="77777777" w:rsidR="00D46C79" w:rsidRDefault="00000000">
            <w:pPr>
              <w:pStyle w:val="a8"/>
              <w:jc w:val="center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8/42</w:t>
            </w:r>
          </w:p>
        </w:tc>
        <w:tc>
          <w:tcPr>
            <w:tcW w:w="986" w:type="dxa"/>
            <w:tcBorders>
              <w:tl2br w:val="nil"/>
              <w:tr2bl w:val="nil"/>
            </w:tcBorders>
            <w:noWrap/>
          </w:tcPr>
          <w:p w14:paraId="0068B395" w14:textId="77777777" w:rsidR="00D46C79" w:rsidRDefault="00000000">
            <w:pPr>
              <w:pStyle w:val="a8"/>
              <w:jc w:val="center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7.84E-06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noWrap/>
          </w:tcPr>
          <w:p w14:paraId="4BBE1B7E" w14:textId="77777777" w:rsidR="00D46C79" w:rsidRDefault="00000000">
            <w:pPr>
              <w:pStyle w:val="a8"/>
              <w:jc w:val="center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0.000703996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/>
          </w:tcPr>
          <w:p w14:paraId="57318BBD" w14:textId="77777777" w:rsidR="00D46C79" w:rsidRDefault="00000000">
            <w:pPr>
              <w:pStyle w:val="a8"/>
              <w:jc w:val="center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8</w:t>
            </w:r>
          </w:p>
        </w:tc>
      </w:tr>
      <w:tr w:rsidR="00D46C79" w14:paraId="6C35FB41" w14:textId="77777777" w:rsidTr="00296EF0">
        <w:trPr>
          <w:trHeight w:val="280"/>
          <w:jc w:val="center"/>
        </w:trPr>
        <w:tc>
          <w:tcPr>
            <w:tcW w:w="1418" w:type="dxa"/>
            <w:tcBorders>
              <w:tl2br w:val="nil"/>
              <w:tr2bl w:val="nil"/>
            </w:tcBorders>
            <w:noWrap/>
          </w:tcPr>
          <w:p w14:paraId="537B66AC" w14:textId="77777777" w:rsidR="00D46C79" w:rsidRDefault="00000000">
            <w:pPr>
              <w:pStyle w:val="a8"/>
              <w:jc w:val="center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GO:0002920</w:t>
            </w:r>
          </w:p>
        </w:tc>
        <w:tc>
          <w:tcPr>
            <w:tcW w:w="2551" w:type="dxa"/>
            <w:tcBorders>
              <w:tl2br w:val="nil"/>
              <w:tr2bl w:val="nil"/>
            </w:tcBorders>
            <w:noWrap/>
          </w:tcPr>
          <w:p w14:paraId="401EB6B7" w14:textId="77777777" w:rsidR="00D46C79" w:rsidRDefault="00000000">
            <w:pPr>
              <w:pStyle w:val="a8"/>
              <w:jc w:val="center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regulation of humoral immune response</w:t>
            </w:r>
          </w:p>
        </w:tc>
        <w:tc>
          <w:tcPr>
            <w:tcW w:w="1367" w:type="dxa"/>
            <w:tcBorders>
              <w:tl2br w:val="nil"/>
              <w:tr2bl w:val="nil"/>
            </w:tcBorders>
            <w:noWrap/>
          </w:tcPr>
          <w:p w14:paraId="75546956" w14:textId="77777777" w:rsidR="00D46C79" w:rsidRDefault="00000000">
            <w:pPr>
              <w:pStyle w:val="a8"/>
              <w:jc w:val="center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5/42</w:t>
            </w:r>
          </w:p>
        </w:tc>
        <w:tc>
          <w:tcPr>
            <w:tcW w:w="986" w:type="dxa"/>
            <w:tcBorders>
              <w:tl2br w:val="nil"/>
              <w:tr2bl w:val="nil"/>
            </w:tcBorders>
            <w:noWrap/>
          </w:tcPr>
          <w:p w14:paraId="425A06CC" w14:textId="77777777" w:rsidR="00D46C79" w:rsidRDefault="00000000">
            <w:pPr>
              <w:pStyle w:val="a8"/>
              <w:jc w:val="center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1.16E-05</w:t>
            </w:r>
          </w:p>
        </w:tc>
        <w:tc>
          <w:tcPr>
            <w:tcW w:w="1475" w:type="dxa"/>
            <w:tcBorders>
              <w:tl2br w:val="nil"/>
              <w:tr2bl w:val="nil"/>
            </w:tcBorders>
            <w:noWrap/>
          </w:tcPr>
          <w:p w14:paraId="12C39202" w14:textId="77777777" w:rsidR="00D46C79" w:rsidRDefault="00000000">
            <w:pPr>
              <w:pStyle w:val="a8"/>
              <w:jc w:val="center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0.000933956</w:t>
            </w:r>
          </w:p>
        </w:tc>
        <w:tc>
          <w:tcPr>
            <w:tcW w:w="850" w:type="dxa"/>
            <w:tcBorders>
              <w:tl2br w:val="nil"/>
              <w:tr2bl w:val="nil"/>
            </w:tcBorders>
            <w:noWrap/>
          </w:tcPr>
          <w:p w14:paraId="73C51EA8" w14:textId="77777777" w:rsidR="00D46C79" w:rsidRDefault="00000000">
            <w:pPr>
              <w:pStyle w:val="a8"/>
              <w:jc w:val="center"/>
              <w:rPr>
                <w:rFonts w:ascii="Palatino Linotype" w:hAnsi="Palatino Linotype" w:cs="Palatino Linotype"/>
                <w:sz w:val="20"/>
                <w:szCs w:val="20"/>
              </w:rPr>
            </w:pPr>
            <w:r>
              <w:rPr>
                <w:rFonts w:ascii="Palatino Linotype" w:hAnsi="Palatino Linotype" w:cs="Palatino Linotype"/>
                <w:sz w:val="20"/>
                <w:szCs w:val="20"/>
              </w:rPr>
              <w:t>5</w:t>
            </w:r>
          </w:p>
        </w:tc>
      </w:tr>
    </w:tbl>
    <w:p w14:paraId="6DF4DFED" w14:textId="77777777" w:rsidR="00D46C79" w:rsidRDefault="00D46C79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D46C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B0344" w14:textId="77777777" w:rsidR="00B4618A" w:rsidRDefault="00B4618A" w:rsidP="00296EF0">
      <w:r>
        <w:separator/>
      </w:r>
    </w:p>
  </w:endnote>
  <w:endnote w:type="continuationSeparator" w:id="0">
    <w:p w14:paraId="7D1464DD" w14:textId="77777777" w:rsidR="00B4618A" w:rsidRDefault="00B4618A" w:rsidP="00296E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C5B45" w14:textId="77777777" w:rsidR="00B4618A" w:rsidRDefault="00B4618A" w:rsidP="00296EF0">
      <w:r>
        <w:separator/>
      </w:r>
    </w:p>
  </w:footnote>
  <w:footnote w:type="continuationSeparator" w:id="0">
    <w:p w14:paraId="01348991" w14:textId="77777777" w:rsidR="00B4618A" w:rsidRDefault="00B4618A" w:rsidP="00296E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jc1MjEyMLYwMzKxMDNV0lEKTi0uzszPAykwrgUA3rigniwAAAA="/>
    <w:docVar w:name="commondata" w:val="eyJoZGlkIjoiNDI1NWZiZTI2YjY5YWJlMWI2NGI3YjU5OWM0MjRlYjkifQ=="/>
  </w:docVars>
  <w:rsids>
    <w:rsidRoot w:val="00111643"/>
    <w:rsid w:val="0005787C"/>
    <w:rsid w:val="00111643"/>
    <w:rsid w:val="001C08BF"/>
    <w:rsid w:val="00296EF0"/>
    <w:rsid w:val="003665C6"/>
    <w:rsid w:val="004A3EEF"/>
    <w:rsid w:val="0074742E"/>
    <w:rsid w:val="0080368C"/>
    <w:rsid w:val="00A177A0"/>
    <w:rsid w:val="00A27A1E"/>
    <w:rsid w:val="00A971EB"/>
    <w:rsid w:val="00B4618A"/>
    <w:rsid w:val="00B62600"/>
    <w:rsid w:val="00C20683"/>
    <w:rsid w:val="00CF5303"/>
    <w:rsid w:val="00D46C79"/>
    <w:rsid w:val="00FC0801"/>
    <w:rsid w:val="25F03C06"/>
    <w:rsid w:val="27352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9B84B9"/>
  <w15:docId w15:val="{67A94376-4F00-420A-AB2D-8EC8BAB99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table" w:customStyle="1" w:styleId="1">
    <w:name w:val="网格型1"/>
    <w:basedOn w:val="a1"/>
    <w:uiPriority w:val="59"/>
    <w:qFormat/>
    <w:rPr>
      <w:rFonts w:ascii="Cambria" w:hAnsi="Cambria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99"/>
    <w:unhideWhenUsed/>
    <w:qFormat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向 小雨</dc:creator>
  <cp:lastModifiedBy>向 小雨</cp:lastModifiedBy>
  <cp:revision>5</cp:revision>
  <dcterms:created xsi:type="dcterms:W3CDTF">2021-10-05T10:44:00Z</dcterms:created>
  <dcterms:modified xsi:type="dcterms:W3CDTF">2023-08-26T12:56:00Z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F24C0C55A47545F5ACC419DBCB5A3F00</vt:lpwstr>
  </property>
</Properties>
</file>