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1733"/>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33"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12"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3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12"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Title page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3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12"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3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12"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S1 table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Table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Table 1</w:t>
            </w:r>
          </w:p>
          <w:p>
            <w:pPr>
              <w:pStyle w:val="7"/>
              <w:spacing w:before="40" w:after="40"/>
              <w:ind w:firstLine="180" w:firstLineChars="10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Figure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Figure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Table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Table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table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cs="Arial"/>
                <w:color w:val="auto"/>
                <w:sz w:val="18"/>
                <w:szCs w:val="18"/>
                <w:lang w:val="en-US"/>
              </w:rPr>
            </w:pPr>
            <w:r>
              <w:rPr>
                <w:rFonts w:hint="eastAsia" w:ascii="Arial" w:hAnsi="Arial" w:eastAsia="宋体" w:cs="Arial"/>
                <w:color w:val="auto"/>
                <w:sz w:val="18"/>
                <w:szCs w:val="18"/>
                <w:lang w:val="en-US" w:eastAsia="zh-CN"/>
              </w:rPr>
              <w:t>p 11-16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17</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33"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12"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 w:hRule="atLeast"/>
        </w:trPr>
        <w:tc>
          <w:tcPr>
            <w:tcW w:w="13988"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12"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p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33"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12"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color w:val="auto"/>
                <w:sz w:val="18"/>
                <w:szCs w:val="18"/>
              </w:rPr>
            </w:pPr>
            <w:r>
              <w:rPr>
                <w:rFonts w:hint="eastAsia" w:ascii="Arial" w:hAnsi="Arial" w:eastAsia="宋体" w:cs="Arial"/>
                <w:color w:val="auto"/>
                <w:sz w:val="18"/>
                <w:szCs w:val="18"/>
                <w:lang w:val="en-US"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33"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12"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NA</w:t>
            </w:r>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Lucida Sans">
    <w:panose1 w:val="020B0602030504020204"/>
    <w:charset w:val="00"/>
    <w:family w:val="swiss"/>
    <w:pitch w:val="default"/>
    <w:sig w:usb0="00000003" w:usb1="00000000" w:usb2="00000000" w:usb3="00000000" w:csb0="2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pict>
        <v:shape id="_x0000_s4097" o:spid="_x0000_s4097" o:spt="75" type="#_x0000_t75" style="position:absolute;left:0pt;margin-left:-2.55pt;margin-top:-8.8pt;height:33pt;width:36pt;z-index:251659264;mso-width-relative:page;mso-height-relative:page;" filled="f" o:preferrelative="t" stroked="f" coordsize="21600,21600">
          <v:path/>
          <v:fill on="f" focussize="0,0"/>
          <v:stroke on="f" joinstyle="miter"/>
          <v:imagedata r:id="rId1" o:title=""/>
          <o:lock v:ext="edit" aspectratio="t"/>
        </v:shape>
      </w:pict>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QyZTIyNGNkODVjNGI0NTJiODA2YzZiMTZjNTI0NGIifQ=="/>
  </w:docVars>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482B3E1F"/>
    <w:rsid w:val="4A2474B6"/>
    <w:rsid w:val="4D286D71"/>
    <w:rsid w:val="5DE569B3"/>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style>
  <w:style w:type="character" w:styleId="6">
    <w:name w:val="Hyperlink"/>
    <w:qFormat/>
    <w:uiPriority w:val="0"/>
    <w:rPr>
      <w:color w:val="0563C1"/>
      <w:u w:val="single"/>
    </w:rPr>
  </w:style>
  <w:style w:type="paragraph" w:customStyle="1" w:styleId="7">
    <w:name w:val="Default"/>
    <w:qForma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qFormat/>
    <w:uiPriority w:val="0"/>
    <w:rPr>
      <w:rFonts w:cs="Times New Roman"/>
      <w:color w:val="auto"/>
    </w:rPr>
  </w:style>
  <w:style w:type="paragraph" w:customStyle="1" w:styleId="9">
    <w:name w:val="CM2"/>
    <w:basedOn w:val="7"/>
    <w:next w:val="7"/>
    <w:qFormat/>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1091</Words>
  <Characters>5992</Characters>
  <Lines>49</Lines>
  <Paragraphs>14</Paragraphs>
  <TotalTime>44</TotalTime>
  <ScaleCrop>false</ScaleCrop>
  <LinksUpToDate>false</LinksUpToDate>
  <CharactersWithSpaces>6942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2020-11-24T03:02:00Z</dcterms:created>
  <dc:creator>mocampo</dc:creator>
  <cp:lastModifiedBy>federer</cp:lastModifiedBy>
  <cp:lastPrinted>2020-11-24T03:02:00Z</cp:lastPrinted>
  <dcterms:modified xsi:type="dcterms:W3CDTF">2023-10-01T14:14:03Z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51876252EDFA44A6B8A2FC028F937E5B</vt:lpwstr>
  </property>
</Properties>
</file>