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51A18" w14:textId="77777777" w:rsidR="00CD12A7" w:rsidRPr="00075BB4" w:rsidRDefault="00CD12A7" w:rsidP="00CD12A7">
      <w:pPr>
        <w:pStyle w:val="Normal1"/>
        <w:contextualSpacing w:val="0"/>
        <w:rPr>
          <w:b/>
          <w:sz w:val="28"/>
        </w:rPr>
      </w:pPr>
      <w:r w:rsidRPr="00075BB4">
        <w:rPr>
          <w:b/>
          <w:sz w:val="28"/>
        </w:rPr>
        <w:t>Appendix</w:t>
      </w:r>
    </w:p>
    <w:p w14:paraId="17D70441" w14:textId="77777777" w:rsidR="00CD12A7" w:rsidRPr="007B0C1A" w:rsidRDefault="00CD12A7" w:rsidP="00CD12A7">
      <w:pPr>
        <w:pBdr>
          <w:top w:val="nil"/>
          <w:left w:val="nil"/>
          <w:bottom w:val="nil"/>
          <w:right w:val="nil"/>
          <w:between w:val="nil"/>
        </w:pBdr>
        <w:spacing w:after="200"/>
        <w:ind w:firstLine="709"/>
        <w:rPr>
          <w:rFonts w:ascii="Times New Roman" w:hAnsi="Times New Roman" w:cs="Times New Roman"/>
          <w:sz w:val="24"/>
          <w:szCs w:val="24"/>
        </w:rPr>
      </w:pPr>
      <w:r w:rsidRPr="00075BB4">
        <w:rPr>
          <w:rFonts w:ascii="Times New Roman" w:hAnsi="Times New Roman" w:cs="Times New Roman"/>
          <w:sz w:val="24"/>
          <w:szCs w:val="24"/>
        </w:rPr>
        <w:br/>
      </w:r>
      <w:r w:rsidRPr="007B0C1A">
        <w:rPr>
          <w:rFonts w:ascii="Times New Roman" w:hAnsi="Times New Roman" w:cs="Times New Roman"/>
          <w:sz w:val="24"/>
          <w:szCs w:val="24"/>
        </w:rPr>
        <w:t xml:space="preserve">This appendix presents </w:t>
      </w:r>
      <w:r w:rsidRPr="007B0C1A">
        <w:rPr>
          <w:rFonts w:ascii="Times New Roman" w:eastAsia="Calibri" w:hAnsi="Times New Roman" w:cs="Times New Roman"/>
          <w:sz w:val="24"/>
          <w:szCs w:val="24"/>
        </w:rPr>
        <w:t>t</w:t>
      </w:r>
      <w:r w:rsidRPr="007B0C1A">
        <w:rPr>
          <w:rFonts w:ascii="Times New Roman" w:hAnsi="Times New Roman" w:cs="Times New Roman"/>
          <w:sz w:val="24"/>
          <w:szCs w:val="24"/>
        </w:rPr>
        <w:t xml:space="preserve">he generalization of the state-to-state transitions of the hypercube model </w:t>
      </w:r>
      <w:r w:rsidRPr="007B0C1A">
        <w:rPr>
          <w:rFonts w:ascii="Times New Roman" w:hAnsi="Times New Roman" w:cs="Times New Roman"/>
          <w:color w:val="2B579A"/>
          <w:sz w:val="24"/>
          <w:szCs w:val="24"/>
          <w:shd w:val="clear" w:color="auto" w:fill="E6E6E6"/>
        </w:rPr>
        <w:fldChar w:fldCharType="begin" w:fldLock="1"/>
      </w:r>
      <w:r w:rsidRPr="007B0C1A">
        <w:rPr>
          <w:rFonts w:ascii="Times New Roman" w:hAnsi="Times New Roman" w:cs="Times New Roman"/>
          <w:sz w:val="24"/>
          <w:szCs w:val="24"/>
        </w:rPr>
        <w:instrText>ADDIN CSL_CITATION {"citationItems":[{"id":"ITEM-1","itemData":{"DOI":"10.1287/trsc.2020.1007","ISBN":"0000000264","ISSN":"0041-1655","abstract":"The hypercube model is a useful descriptive tool to evaluate emergency services such as firefighters, police, and emergency medical services where geographically distributed vehicles and personnel serve users in emergencies. This study proposes an extension of the hypercube model to represent a dispatch policy in which advanced equipped servers serve solely life-threatening calls (called dedicated servers). The proposed approach is applied to two case studies of public medical emergency services in two different cities in Brazil and validated with discrete-event simulations. The computational experiments show the proposed model as more sensitive to respond to more life-threatening requests than other hypercube models in the literature, serving more of these requests under increased demand. In addition, to reduce the number of equilibrium equations and, consequently, the computational effort of the hypercube model, an aggregate model is shown based on the grouping of homogeneous servers located in the same station. The aggregation policy does not generate additional losses in the accuracy of the model, as shown through several experiments.","author":[{"dropping-particle":"","family":"Beojone","given":"Caio Vitor","non-dropping-particle":"","parse-names":false,"suffix":""},{"dropping-particle":"","family":"Máximo de Souza","given":"Regiane","non-dropping-particle":"","parse-names":false,"suffix":""},{"dropping-particle":"","family":"Iannoni","given":"Ana Paula","non-dropping-particle":"","parse-names":false,"suffix":""}],"container-title":"Transportation Science","id":"ITEM-1","issue":"October","issued":{"date-parts":[["2020"]]},"title":"An Efficient Exact Hypercube Model with Fully Dedicated Servers","type":"article-journal"},"uris":["http://www.mendeley.com/documents/?uuid=580f7bb9-43ea-4b3d-a114-d61df91fe943","http://www.mendeley.com/documents/?uuid=0f9aa587-34dc-4179-ac94-2049c8a5f602"]}],"mendeley":{"formattedCitation":"(Beojone et al., 2020)","plainTextFormattedCitation":"(Beojone et al., 2020)","previouslyFormattedCitation":"(Beojone et al., 2020)"},"properties":{"noteIndex":0},"schema":"https://github.com/citation-style-language/schema/raw/master/csl-citation.json"}</w:instrText>
      </w:r>
      <w:r w:rsidRPr="007B0C1A">
        <w:rPr>
          <w:rFonts w:ascii="Times New Roman" w:hAnsi="Times New Roman" w:cs="Times New Roman"/>
          <w:color w:val="2B579A"/>
          <w:sz w:val="24"/>
          <w:szCs w:val="24"/>
          <w:shd w:val="clear" w:color="auto" w:fill="E6E6E6"/>
        </w:rPr>
        <w:fldChar w:fldCharType="separate"/>
      </w:r>
      <w:r w:rsidRPr="007B0C1A">
        <w:rPr>
          <w:rFonts w:ascii="Times New Roman" w:hAnsi="Times New Roman" w:cs="Times New Roman"/>
          <w:noProof/>
          <w:sz w:val="24"/>
          <w:szCs w:val="24"/>
        </w:rPr>
        <w:t>(Beojone et al., 2020)</w:t>
      </w:r>
      <w:r w:rsidRPr="007B0C1A">
        <w:rPr>
          <w:rFonts w:ascii="Times New Roman" w:hAnsi="Times New Roman" w:cs="Times New Roman"/>
          <w:color w:val="2B579A"/>
          <w:sz w:val="24"/>
          <w:szCs w:val="24"/>
          <w:shd w:val="clear" w:color="auto" w:fill="E6E6E6"/>
        </w:rPr>
        <w:fldChar w:fldCharType="end"/>
      </w:r>
      <w:r w:rsidRPr="007B0C1A">
        <w:rPr>
          <w:rFonts w:ascii="Times New Roman" w:hAnsi="Times New Roman" w:cs="Times New Roman"/>
          <w:sz w:val="24"/>
          <w:szCs w:val="24"/>
        </w:rPr>
        <w:t>. Equation A.1 shows the major equation of this model:</w:t>
      </w:r>
    </w:p>
    <w:tbl>
      <w:tblPr>
        <w:tblW w:w="8959" w:type="dxa"/>
        <w:jc w:val="center"/>
        <w:tblBorders>
          <w:top w:val="nil"/>
          <w:left w:val="nil"/>
          <w:bottom w:val="nil"/>
          <w:right w:val="nil"/>
          <w:insideH w:val="nil"/>
          <w:insideV w:val="nil"/>
        </w:tblBorders>
        <w:tblLayout w:type="fixed"/>
        <w:tblLook w:val="0400" w:firstRow="0" w:lastRow="0" w:firstColumn="0" w:lastColumn="0" w:noHBand="0" w:noVBand="1"/>
      </w:tblPr>
      <w:tblGrid>
        <w:gridCol w:w="283"/>
        <w:gridCol w:w="7937"/>
        <w:gridCol w:w="739"/>
      </w:tblGrid>
      <w:tr w:rsidR="00CD12A7" w:rsidRPr="007B0C1A" w14:paraId="4876EDEF" w14:textId="77777777" w:rsidTr="00244950">
        <w:trPr>
          <w:jc w:val="center"/>
        </w:trPr>
        <w:tc>
          <w:tcPr>
            <w:tcW w:w="283" w:type="dxa"/>
            <w:vAlign w:val="center"/>
          </w:tcPr>
          <w:p w14:paraId="2ECAFD11" w14:textId="77777777" w:rsidR="00CD12A7" w:rsidRPr="007B0C1A" w:rsidRDefault="00CD12A7" w:rsidP="00244950">
            <w:pPr>
              <w:jc w:val="center"/>
              <w:rPr>
                <w:rFonts w:ascii="Times New Roman" w:hAnsi="Times New Roman" w:cs="Times New Roman"/>
                <w:sz w:val="24"/>
                <w:szCs w:val="24"/>
              </w:rPr>
            </w:pPr>
          </w:p>
        </w:tc>
        <w:tc>
          <w:tcPr>
            <w:tcW w:w="7937" w:type="dxa"/>
            <w:vAlign w:val="center"/>
          </w:tcPr>
          <w:p w14:paraId="3C5B4BA5" w14:textId="77777777" w:rsidR="00CD12A7" w:rsidRPr="007B0C1A" w:rsidRDefault="00CD12A7" w:rsidP="00244950">
            <w:pPr>
              <w:jc w:val="center"/>
              <w:rPr>
                <w:rFonts w:ascii="Times New Roman" w:eastAsia="Cambria Math" w:hAnsi="Times New Roman" w:cs="Times New Roman"/>
                <w:sz w:val="24"/>
                <w:szCs w:val="24"/>
              </w:rPr>
            </w:pPr>
            <m:oMathPara>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P</m:t>
                    </m:r>
                  </m:e>
                  <m:sub>
                    <m:r>
                      <w:rPr>
                        <w:rFonts w:ascii="Cambria Math" w:eastAsia="Cambria Math" w:hAnsi="Cambria Math" w:cs="Times New Roman"/>
                        <w:sz w:val="24"/>
                        <w:szCs w:val="24"/>
                      </w:rPr>
                      <m:t>r</m:t>
                    </m:r>
                  </m:sub>
                </m:sSub>
                <m:d>
                  <m:dPr>
                    <m:begChr m:val="["/>
                    <m:endChr m:val="]"/>
                    <m:ctrlPr>
                      <w:rPr>
                        <w:rFonts w:ascii="Cambria Math" w:eastAsia="Cambria Math" w:hAnsi="Cambria Math" w:cs="Times New Roman"/>
                        <w:sz w:val="24"/>
                        <w:szCs w:val="24"/>
                      </w:rPr>
                    </m:ctrlPr>
                  </m:dPr>
                  <m:e>
                    <m:r>
                      <w:rPr>
                        <w:rFonts w:ascii="Cambria Math" w:eastAsia="Cambria Math" w:hAnsi="Cambria Math" w:cs="Times New Roman"/>
                        <w:sz w:val="24"/>
                        <w:szCs w:val="24"/>
                      </w:rPr>
                      <m:t>L</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r</m:t>
                        </m:r>
                      </m:e>
                    </m:d>
                    <m:nary>
                      <m:naryPr>
                        <m:chr m:val="∑"/>
                        <m:limLoc m:val="undOvr"/>
                        <m:supHide m:val="1"/>
                        <m:ctrlPr>
                          <w:rPr>
                            <w:rFonts w:ascii="Cambria Math" w:eastAsia="Cambria Math" w:hAnsi="Cambria Math" w:cs="Times New Roman"/>
                            <w:i/>
                            <w:sz w:val="24"/>
                            <w:szCs w:val="24"/>
                          </w:rPr>
                        </m:ctrlPr>
                      </m:naryPr>
                      <m:sub>
                        <m:r>
                          <w:rPr>
                            <w:rFonts w:ascii="Cambria Math" w:eastAsia="Cambria Math" w:hAnsi="Cambria Math" w:cs="Times New Roman"/>
                            <w:sz w:val="24"/>
                            <w:szCs w:val="24"/>
                          </w:rPr>
                          <m:t>j</m:t>
                        </m:r>
                      </m:sub>
                      <m:sup/>
                      <m:e>
                        <m:nary>
                          <m:naryPr>
                            <m:chr m:val="∑"/>
                            <m:limLoc m:val="undOvr"/>
                            <m:supHide m:val="1"/>
                            <m:ctrlPr>
                              <w:rPr>
                                <w:rFonts w:ascii="Cambria Math" w:eastAsia="Cambria Math" w:hAnsi="Cambria Math" w:cs="Times New Roman"/>
                                <w:i/>
                                <w:sz w:val="24"/>
                                <w:szCs w:val="24"/>
                              </w:rPr>
                            </m:ctrlPr>
                          </m:naryPr>
                          <m:sub>
                            <m:r>
                              <w:rPr>
                                <w:rFonts w:ascii="Cambria Math" w:eastAsia="Cambria Math" w:hAnsi="Cambria Math" w:cs="Times New Roman"/>
                                <w:sz w:val="24"/>
                                <w:szCs w:val="24"/>
                              </w:rPr>
                              <m:t>l</m:t>
                            </m:r>
                          </m:sub>
                          <m:sup/>
                          <m:e>
                            <m:r>
                              <w:rPr>
                                <w:rFonts w:ascii="Cambria Math" w:eastAsia="Cambria Math" w:hAnsi="Cambria Math" w:cs="Times New Roman"/>
                                <w:sz w:val="24"/>
                                <w:szCs w:val="24"/>
                              </w:rPr>
                              <m:t>I</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R</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r,jl</m:t>
                                    </m:r>
                                  </m:e>
                                </m:d>
                                <m:r>
                                  <w:rPr>
                                    <w:rFonts w:ascii="Cambria Math" w:eastAsia="Cambria Math" w:hAnsi="Cambria Math" w:cs="Times New Roman"/>
                                    <w:sz w:val="24"/>
                                    <w:szCs w:val="24"/>
                                  </w:rPr>
                                  <m:t>≠∅</m:t>
                                </m:r>
                              </m:e>
                            </m:d>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λ</m:t>
                                </m:r>
                              </m:e>
                              <m:sub>
                                <m:r>
                                  <w:rPr>
                                    <w:rFonts w:ascii="Cambria Math" w:eastAsia="Cambria Math" w:hAnsi="Cambria Math" w:cs="Times New Roman"/>
                                    <w:sz w:val="24"/>
                                    <w:szCs w:val="24"/>
                                  </w:rPr>
                                  <m:t>jl</m:t>
                                </m:r>
                              </m:sub>
                            </m:sSub>
                          </m:e>
                        </m:nary>
                      </m:e>
                    </m:nary>
                    <m:r>
                      <w:rPr>
                        <w:rFonts w:ascii="Cambria Math" w:eastAsia="Cambria Math" w:hAnsi="Cambria Math" w:cs="Times New Roman"/>
                        <w:sz w:val="24"/>
                        <w:szCs w:val="24"/>
                      </w:rPr>
                      <m:t>+</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1-L</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r</m:t>
                            </m:r>
                          </m:e>
                        </m:d>
                      </m:e>
                    </m:d>
                    <m:r>
                      <w:rPr>
                        <w:rFonts w:ascii="Cambria Math" w:eastAsia="Cambria Math" w:hAnsi="Cambria Math" w:cs="Times New Roman"/>
                        <w:sz w:val="24"/>
                        <w:szCs w:val="24"/>
                      </w:rPr>
                      <m:t>λ+</m:t>
                    </m:r>
                    <m:nary>
                      <m:naryPr>
                        <m:chr m:val="∑"/>
                        <m:limLoc m:val="undOvr"/>
                        <m:supHide m:val="1"/>
                        <m:ctrlPr>
                          <w:rPr>
                            <w:rFonts w:ascii="Cambria Math" w:eastAsia="Cambria Math" w:hAnsi="Cambria Math" w:cs="Times New Roman"/>
                            <w:i/>
                            <w:sz w:val="24"/>
                            <w:szCs w:val="24"/>
                          </w:rPr>
                        </m:ctrlPr>
                      </m:naryPr>
                      <m:sub>
                        <m:r>
                          <w:rPr>
                            <w:rFonts w:ascii="Cambria Math" w:eastAsia="Cambria Math" w:hAnsi="Cambria Math" w:cs="Times New Roman"/>
                            <w:sz w:val="24"/>
                            <w:szCs w:val="24"/>
                          </w:rPr>
                          <m:t>t</m:t>
                        </m:r>
                      </m:sub>
                      <m:sup/>
                      <m:e>
                        <m:r>
                          <w:rPr>
                            <w:rFonts w:ascii="Cambria Math" w:eastAsia="Cambria Math" w:hAnsi="Cambria Math" w:cs="Times New Roman"/>
                            <w:sz w:val="24"/>
                            <w:szCs w:val="24"/>
                          </w:rPr>
                          <m:t>S</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r,k</m:t>
                            </m:r>
                          </m:e>
                        </m:d>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μ</m:t>
                            </m:r>
                          </m:e>
                          <m:sub>
                            <m:r>
                              <w:rPr>
                                <w:rFonts w:ascii="Cambria Math" w:eastAsia="Cambria Math" w:hAnsi="Cambria Math" w:cs="Times New Roman"/>
                                <w:sz w:val="24"/>
                                <w:szCs w:val="24"/>
                              </w:rPr>
                              <m:t>t</m:t>
                            </m:r>
                          </m:sub>
                        </m:sSub>
                      </m:e>
                    </m:nary>
                  </m:e>
                </m:d>
                <m:r>
                  <w:rPr>
                    <w:rFonts w:ascii="Cambria Math" w:eastAsia="Cambria Math" w:hAnsi="Cambria Math" w:cs="Times New Roman"/>
                    <w:sz w:val="24"/>
                    <w:szCs w:val="24"/>
                  </w:rPr>
                  <m:t>=</m:t>
                </m:r>
                <m:nary>
                  <m:naryPr>
                    <m:chr m:val="∑"/>
                    <m:limLoc m:val="undOvr"/>
                    <m:supHide m:val="1"/>
                    <m:ctrlPr>
                      <w:rPr>
                        <w:rFonts w:ascii="Cambria Math" w:eastAsia="Cambria Math" w:hAnsi="Cambria Math" w:cs="Times New Roman"/>
                        <w:i/>
                        <w:sz w:val="24"/>
                        <w:szCs w:val="24"/>
                      </w:rPr>
                    </m:ctrlPr>
                  </m:naryPr>
                  <m:sub>
                    <m:r>
                      <w:rPr>
                        <w:rFonts w:ascii="Cambria Math" w:eastAsia="Cambria Math" w:hAnsi="Cambria Math" w:cs="Times New Roman"/>
                        <w:sz w:val="24"/>
                        <w:szCs w:val="24"/>
                      </w:rPr>
                      <m:t>q,t:D</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q,r,t</m:t>
                        </m:r>
                      </m:e>
                    </m:d>
                    <m:r>
                      <w:rPr>
                        <w:rFonts w:ascii="Cambria Math" w:eastAsia="Cambria Math" w:hAnsi="Cambria Math" w:cs="Times New Roman"/>
                        <w:sz w:val="24"/>
                        <w:szCs w:val="24"/>
                      </w:rPr>
                      <m:t>=1</m:t>
                    </m:r>
                  </m:sub>
                  <m:sup/>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P</m:t>
                        </m:r>
                      </m:e>
                      <m:sub>
                        <m:r>
                          <w:rPr>
                            <w:rFonts w:ascii="Cambria Math" w:eastAsia="Cambria Math" w:hAnsi="Cambria Math" w:cs="Times New Roman"/>
                            <w:sz w:val="24"/>
                            <w:szCs w:val="24"/>
                          </w:rPr>
                          <m:t>q</m:t>
                        </m:r>
                      </m:sub>
                    </m:sSub>
                    <m:r>
                      <w:rPr>
                        <w:rFonts w:ascii="Cambria Math" w:eastAsia="Cambria Math" w:hAnsi="Cambria Math" w:cs="Times New Roman"/>
                        <w:sz w:val="24"/>
                        <w:szCs w:val="24"/>
                      </w:rPr>
                      <m:t>S</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q,t</m:t>
                        </m:r>
                      </m:e>
                    </m:d>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μ</m:t>
                        </m:r>
                      </m:e>
                      <m:sub>
                        <m:r>
                          <w:rPr>
                            <w:rFonts w:ascii="Cambria Math" w:eastAsia="Cambria Math" w:hAnsi="Cambria Math" w:cs="Times New Roman"/>
                            <w:sz w:val="24"/>
                            <w:szCs w:val="24"/>
                          </w:rPr>
                          <m:t>t</m:t>
                        </m:r>
                      </m:sub>
                    </m:sSub>
                  </m:e>
                </m:nary>
                <m:r>
                  <w:rPr>
                    <w:rFonts w:ascii="Cambria Math" w:eastAsia="Cambria Math" w:hAnsi="Cambria Math" w:cs="Times New Roman"/>
                    <w:sz w:val="24"/>
                    <w:szCs w:val="24"/>
                  </w:rPr>
                  <m:t>+</m:t>
                </m:r>
                <m:nary>
                  <m:naryPr>
                    <m:chr m:val="∑"/>
                    <m:limLoc m:val="undOvr"/>
                    <m:supHide m:val="1"/>
                    <m:ctrlPr>
                      <w:rPr>
                        <w:rFonts w:ascii="Cambria Math" w:eastAsia="Cambria Math" w:hAnsi="Cambria Math" w:cs="Times New Roman"/>
                        <w:i/>
                        <w:sz w:val="24"/>
                        <w:szCs w:val="24"/>
                      </w:rPr>
                    </m:ctrlPr>
                  </m:naryPr>
                  <m:sub>
                    <m:r>
                      <w:rPr>
                        <w:rFonts w:ascii="Cambria Math" w:eastAsia="Cambria Math" w:hAnsi="Cambria Math" w:cs="Times New Roman"/>
                        <w:sz w:val="24"/>
                        <w:szCs w:val="24"/>
                      </w:rPr>
                      <m:t>q,l:Q</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q,r,l</m:t>
                        </m:r>
                      </m:e>
                    </m:d>
                    <m:r>
                      <w:rPr>
                        <w:rFonts w:ascii="Cambria Math" w:eastAsia="Cambria Math" w:hAnsi="Cambria Math" w:cs="Times New Roman"/>
                        <w:sz w:val="24"/>
                        <w:szCs w:val="24"/>
                      </w:rPr>
                      <m:t>=1</m:t>
                    </m:r>
                  </m:sub>
                  <m:sup/>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P</m:t>
                        </m:r>
                      </m:e>
                      <m:sub>
                        <m:r>
                          <w:rPr>
                            <w:rFonts w:ascii="Cambria Math" w:eastAsia="Cambria Math" w:hAnsi="Cambria Math" w:cs="Times New Roman"/>
                            <w:sz w:val="24"/>
                            <w:szCs w:val="24"/>
                          </w:rPr>
                          <m:t>q</m:t>
                        </m:r>
                      </m:sub>
                    </m:sSub>
                  </m:e>
                </m:nary>
                <m:nary>
                  <m:naryPr>
                    <m:chr m:val="∑"/>
                    <m:limLoc m:val="undOvr"/>
                    <m:supHide m:val="1"/>
                    <m:ctrlPr>
                      <w:rPr>
                        <w:rFonts w:ascii="Cambria Math" w:eastAsia="Cambria Math" w:hAnsi="Cambria Math" w:cs="Times New Roman"/>
                        <w:i/>
                        <w:sz w:val="24"/>
                        <w:szCs w:val="24"/>
                      </w:rPr>
                    </m:ctrlPr>
                  </m:naryPr>
                  <m:sub>
                    <m:r>
                      <w:rPr>
                        <w:rFonts w:ascii="Cambria Math" w:eastAsia="Cambria Math" w:hAnsi="Cambria Math" w:cs="Times New Roman"/>
                        <w:sz w:val="24"/>
                        <w:szCs w:val="24"/>
                      </w:rPr>
                      <m:t>t</m:t>
                    </m:r>
                  </m:sub>
                  <m:sup/>
                  <m:e>
                    <m:r>
                      <w:rPr>
                        <w:rFonts w:ascii="Cambria Math" w:eastAsia="Cambria Math" w:hAnsi="Cambria Math" w:cs="Times New Roman"/>
                        <w:sz w:val="24"/>
                        <w:szCs w:val="24"/>
                      </w:rPr>
                      <m:t>S</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q,t</m:t>
                        </m:r>
                      </m:e>
                    </m:d>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μ</m:t>
                        </m:r>
                      </m:e>
                      <m:sub>
                        <m:r>
                          <w:rPr>
                            <w:rFonts w:ascii="Cambria Math" w:eastAsia="Cambria Math" w:hAnsi="Cambria Math" w:cs="Times New Roman"/>
                            <w:sz w:val="24"/>
                            <w:szCs w:val="24"/>
                          </w:rPr>
                          <m:t>t</m:t>
                        </m:r>
                      </m:sub>
                    </m:sSub>
                  </m:e>
                </m:nary>
                <m:r>
                  <w:rPr>
                    <w:rFonts w:ascii="Cambria Math" w:eastAsia="Cambria Math" w:hAnsi="Cambria Math" w:cs="Times New Roman"/>
                    <w:sz w:val="24"/>
                    <w:szCs w:val="24"/>
                  </w:rPr>
                  <m:t>+</m:t>
                </m:r>
                <m:nary>
                  <m:naryPr>
                    <m:chr m:val="∑"/>
                    <m:limLoc m:val="undOvr"/>
                    <m:supHide m:val="1"/>
                    <m:ctrlPr>
                      <w:rPr>
                        <w:rFonts w:ascii="Cambria Math" w:eastAsia="Cambria Math" w:hAnsi="Cambria Math" w:cs="Times New Roman"/>
                        <w:i/>
                        <w:sz w:val="24"/>
                        <w:szCs w:val="24"/>
                      </w:rPr>
                    </m:ctrlPr>
                  </m:naryPr>
                  <m:sub>
                    <m:r>
                      <w:rPr>
                        <w:rFonts w:ascii="Cambria Math" w:eastAsia="Cambria Math" w:hAnsi="Cambria Math" w:cs="Times New Roman"/>
                        <w:sz w:val="24"/>
                        <w:szCs w:val="24"/>
                      </w:rPr>
                      <m:t>q,t:D</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r,q,t</m:t>
                        </m:r>
                      </m:e>
                    </m:d>
                    <m:r>
                      <w:rPr>
                        <w:rFonts w:ascii="Cambria Math" w:eastAsia="Cambria Math" w:hAnsi="Cambria Math" w:cs="Times New Roman"/>
                        <w:sz w:val="24"/>
                        <w:szCs w:val="24"/>
                      </w:rPr>
                      <m:t>=1</m:t>
                    </m:r>
                  </m:sub>
                  <m:sup/>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P</m:t>
                        </m:r>
                      </m:e>
                      <m:sub>
                        <m:r>
                          <w:rPr>
                            <w:rFonts w:ascii="Cambria Math" w:eastAsia="Cambria Math" w:hAnsi="Cambria Math" w:cs="Times New Roman"/>
                            <w:sz w:val="24"/>
                            <w:szCs w:val="24"/>
                          </w:rPr>
                          <m:t>q</m:t>
                        </m:r>
                      </m:sub>
                    </m:sSub>
                  </m:e>
                </m:nary>
                <m:nary>
                  <m:naryPr>
                    <m:chr m:val="∑"/>
                    <m:limLoc m:val="undOvr"/>
                    <m:supHide m:val="1"/>
                    <m:ctrlPr>
                      <w:rPr>
                        <w:rFonts w:ascii="Cambria Math" w:eastAsia="Cambria Math" w:hAnsi="Cambria Math" w:cs="Times New Roman"/>
                        <w:i/>
                        <w:sz w:val="24"/>
                        <w:szCs w:val="24"/>
                      </w:rPr>
                    </m:ctrlPr>
                  </m:naryPr>
                  <m:sub>
                    <m:r>
                      <w:rPr>
                        <w:rFonts w:ascii="Cambria Math" w:eastAsia="Cambria Math" w:hAnsi="Cambria Math" w:cs="Times New Roman"/>
                        <w:sz w:val="24"/>
                        <w:szCs w:val="24"/>
                      </w:rPr>
                      <m:t>jl∈A(q,t)</m:t>
                    </m:r>
                  </m:sub>
                  <m:sup/>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λ</m:t>
                        </m:r>
                      </m:e>
                      <m:sub>
                        <m:r>
                          <w:rPr>
                            <w:rFonts w:ascii="Cambria Math" w:eastAsia="Cambria Math" w:hAnsi="Cambria Math" w:cs="Times New Roman"/>
                            <w:sz w:val="24"/>
                            <w:szCs w:val="24"/>
                          </w:rPr>
                          <m:t>jl</m:t>
                        </m:r>
                      </m:sub>
                    </m:sSub>
                  </m:e>
                </m:nary>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P</m:t>
                    </m:r>
                  </m:e>
                  <m:sub>
                    <m:r>
                      <w:rPr>
                        <w:rFonts w:ascii="Cambria Math" w:eastAsia="Cambria Math" w:hAnsi="Cambria Math" w:cs="Times New Roman"/>
                        <w:sz w:val="24"/>
                        <w:szCs w:val="24"/>
                      </w:rPr>
                      <m:t>q</m:t>
                    </m:r>
                  </m:sub>
                </m:sSub>
                <m:nary>
                  <m:naryPr>
                    <m:chr m:val="∑"/>
                    <m:limLoc m:val="undOvr"/>
                    <m:supHide m:val="1"/>
                    <m:ctrlPr>
                      <w:rPr>
                        <w:rFonts w:ascii="Cambria Math" w:eastAsia="Cambria Math" w:hAnsi="Cambria Math" w:cs="Times New Roman"/>
                        <w:i/>
                        <w:sz w:val="24"/>
                        <w:szCs w:val="24"/>
                      </w:rPr>
                    </m:ctrlPr>
                  </m:naryPr>
                  <m:sub>
                    <m:r>
                      <w:rPr>
                        <w:rFonts w:ascii="Cambria Math" w:eastAsia="Cambria Math" w:hAnsi="Cambria Math" w:cs="Times New Roman"/>
                        <w:sz w:val="24"/>
                        <w:szCs w:val="24"/>
                      </w:rPr>
                      <m:t>q,l:Q</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r,q,l</m:t>
                        </m:r>
                      </m:e>
                    </m:d>
                    <m:r>
                      <w:rPr>
                        <w:rFonts w:ascii="Cambria Math" w:eastAsia="Cambria Math" w:hAnsi="Cambria Math" w:cs="Times New Roman"/>
                        <w:sz w:val="24"/>
                        <w:szCs w:val="24"/>
                      </w:rPr>
                      <m:t>=1</m:t>
                    </m:r>
                  </m:sub>
                  <m:sup/>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λ</m:t>
                        </m:r>
                      </m:e>
                      <m:sub>
                        <m:r>
                          <w:rPr>
                            <w:rFonts w:ascii="Cambria Math" w:eastAsia="Cambria Math" w:hAnsi="Cambria Math" w:cs="Times New Roman"/>
                            <w:sz w:val="24"/>
                            <w:szCs w:val="24"/>
                          </w:rPr>
                          <m:t>jl</m:t>
                        </m:r>
                      </m:sub>
                    </m:sSub>
                  </m:e>
                </m:nary>
              </m:oMath>
            </m:oMathPara>
          </w:p>
        </w:tc>
        <w:tc>
          <w:tcPr>
            <w:tcW w:w="739" w:type="dxa"/>
            <w:vAlign w:val="center"/>
          </w:tcPr>
          <w:p w14:paraId="1571C3F3" w14:textId="77777777" w:rsidR="00CD12A7" w:rsidRPr="007B0C1A" w:rsidRDefault="00CD12A7" w:rsidP="00244950">
            <w:pPr>
              <w:jc w:val="center"/>
              <w:rPr>
                <w:rFonts w:ascii="Times New Roman" w:hAnsi="Times New Roman" w:cs="Times New Roman"/>
                <w:sz w:val="24"/>
                <w:szCs w:val="24"/>
              </w:rPr>
            </w:pPr>
            <w:bookmarkStart w:id="0" w:name="_heading=h.30j0zll" w:colFirst="0" w:colLast="0"/>
            <w:bookmarkEnd w:id="0"/>
            <w:r w:rsidRPr="007B0C1A">
              <w:rPr>
                <w:rFonts w:ascii="Times New Roman" w:hAnsi="Times New Roman" w:cs="Times New Roman"/>
                <w:sz w:val="24"/>
                <w:szCs w:val="24"/>
              </w:rPr>
              <w:t>(A.1)</w:t>
            </w:r>
          </w:p>
        </w:tc>
      </w:tr>
    </w:tbl>
    <w:p w14:paraId="1592CD8F" w14:textId="77777777" w:rsidR="00CD12A7" w:rsidRPr="007B0C1A" w:rsidRDefault="00CD12A7" w:rsidP="00CD12A7">
      <w:pPr>
        <w:ind w:firstLine="709"/>
        <w:rPr>
          <w:rFonts w:ascii="Times New Roman" w:hAnsi="Times New Roman" w:cs="Times New Roman"/>
          <w:sz w:val="24"/>
          <w:szCs w:val="24"/>
        </w:rPr>
      </w:pPr>
    </w:p>
    <w:p w14:paraId="3BE4915C" w14:textId="77777777" w:rsidR="00CD12A7" w:rsidRPr="007B0C1A" w:rsidRDefault="00CD12A7" w:rsidP="00CD12A7">
      <w:pPr>
        <w:rPr>
          <w:rFonts w:ascii="Times New Roman" w:hAnsi="Times New Roman" w:cs="Times New Roman"/>
          <w:sz w:val="24"/>
          <w:szCs w:val="24"/>
        </w:rPr>
      </w:pPr>
      <w:r w:rsidRPr="007B0C1A">
        <w:rPr>
          <w:rFonts w:ascii="Times New Roman" w:hAnsi="Times New Roman" w:cs="Times New Roman"/>
          <w:sz w:val="24"/>
          <w:szCs w:val="24"/>
        </w:rPr>
        <w:t xml:space="preserve">In Equation A.1, q and r are the states belonging to the set of states M. </w:t>
      </w:r>
      <w:proofErr w:type="spellStart"/>
      <w:r w:rsidRPr="007B0C1A">
        <w:rPr>
          <w:rFonts w:ascii="Times New Roman" w:hAnsi="Times New Roman" w:cs="Times New Roman"/>
          <w:sz w:val="24"/>
          <w:szCs w:val="24"/>
        </w:rPr>
        <w:t>P</w:t>
      </w:r>
      <w:r w:rsidRPr="007B0C1A">
        <w:rPr>
          <w:rFonts w:ascii="Times New Roman" w:hAnsi="Times New Roman" w:cs="Times New Roman"/>
          <w:sz w:val="24"/>
          <w:szCs w:val="24"/>
          <w:vertAlign w:val="subscript"/>
        </w:rPr>
        <w:t>r</w:t>
      </w:r>
      <w:proofErr w:type="spellEnd"/>
      <w:r w:rsidRPr="007B0C1A">
        <w:rPr>
          <w:rFonts w:ascii="Times New Roman" w:hAnsi="Times New Roman" w:cs="Times New Roman"/>
          <w:sz w:val="24"/>
          <w:szCs w:val="24"/>
        </w:rPr>
        <w:t xml:space="preserve"> and </w:t>
      </w:r>
      <w:proofErr w:type="spellStart"/>
      <w:r w:rsidRPr="007B0C1A">
        <w:rPr>
          <w:rFonts w:ascii="Times New Roman" w:hAnsi="Times New Roman" w:cs="Times New Roman"/>
          <w:sz w:val="24"/>
          <w:szCs w:val="24"/>
        </w:rPr>
        <w:t>P</w:t>
      </w:r>
      <w:r w:rsidRPr="007B0C1A">
        <w:rPr>
          <w:rFonts w:ascii="Times New Roman" w:hAnsi="Times New Roman" w:cs="Times New Roman"/>
          <w:sz w:val="24"/>
          <w:szCs w:val="24"/>
          <w:vertAlign w:val="subscript"/>
        </w:rPr>
        <w:t>q</w:t>
      </w:r>
      <w:proofErr w:type="spellEnd"/>
      <w:r w:rsidRPr="007B0C1A">
        <w:rPr>
          <w:rFonts w:ascii="Times New Roman" w:hAnsi="Times New Roman" w:cs="Times New Roman"/>
          <w:sz w:val="24"/>
          <w:szCs w:val="24"/>
          <w:vertAlign w:val="subscript"/>
        </w:rPr>
        <w:t xml:space="preserve"> </w:t>
      </w:r>
      <w:r w:rsidRPr="007B0C1A">
        <w:rPr>
          <w:rFonts w:ascii="Times New Roman" w:hAnsi="Times New Roman" w:cs="Times New Roman"/>
          <w:sz w:val="24"/>
          <w:szCs w:val="24"/>
        </w:rPr>
        <w:t xml:space="preserve">are the probabilities of the steady states r and q, respectively, while t and </w:t>
      </w:r>
      <w:proofErr w:type="spellStart"/>
      <w:r w:rsidRPr="007B0C1A">
        <w:rPr>
          <w:rFonts w:ascii="Times New Roman" w:hAnsi="Times New Roman" w:cs="Times New Roman"/>
          <w:sz w:val="24"/>
          <w:szCs w:val="24"/>
        </w:rPr>
        <w:t>jl</w:t>
      </w:r>
      <w:proofErr w:type="spellEnd"/>
      <w:r w:rsidRPr="007B0C1A">
        <w:rPr>
          <w:rFonts w:ascii="Times New Roman" w:hAnsi="Times New Roman" w:cs="Times New Roman"/>
          <w:sz w:val="24"/>
          <w:szCs w:val="24"/>
        </w:rPr>
        <w:t xml:space="preserve"> are defined as the groups of servers and </w:t>
      </w:r>
      <w:proofErr w:type="spellStart"/>
      <w:r w:rsidRPr="007B0C1A">
        <w:rPr>
          <w:rFonts w:ascii="Times New Roman" w:hAnsi="Times New Roman" w:cs="Times New Roman"/>
          <w:sz w:val="24"/>
          <w:szCs w:val="24"/>
        </w:rPr>
        <w:t>subatoms</w:t>
      </w:r>
      <w:proofErr w:type="spellEnd"/>
      <w:r w:rsidRPr="007B0C1A">
        <w:rPr>
          <w:rFonts w:ascii="Times New Roman" w:hAnsi="Times New Roman" w:cs="Times New Roman"/>
          <w:sz w:val="24"/>
          <w:szCs w:val="24"/>
        </w:rPr>
        <w:t xml:space="preserve"> of the system, respectively. </w:t>
      </w:r>
      <w:proofErr w:type="gramStart"/>
      <w:r w:rsidRPr="007B0C1A">
        <w:rPr>
          <w:rFonts w:ascii="Times New Roman" w:hAnsi="Times New Roman" w:cs="Times New Roman"/>
          <w:sz w:val="24"/>
          <w:szCs w:val="24"/>
        </w:rPr>
        <w:t>I(</w:t>
      </w:r>
      <w:proofErr w:type="gramEnd"/>
      <m:oMath>
        <m:r>
          <w:rPr>
            <w:rFonts w:ascii="Cambria Math" w:eastAsia="Cambria Math" w:hAnsi="Cambria Math" w:cs="Times New Roman"/>
            <w:sz w:val="24"/>
            <w:szCs w:val="24"/>
          </w:rPr>
          <m:t>*</m:t>
        </m:r>
      </m:oMath>
      <w:r w:rsidRPr="007B0C1A">
        <w:rPr>
          <w:rFonts w:ascii="Times New Roman" w:hAnsi="Times New Roman" w:cs="Times New Roman"/>
          <w:sz w:val="24"/>
          <w:szCs w:val="24"/>
        </w:rPr>
        <w:t xml:space="preserve">) is the indicator of a function (1, if </w:t>
      </w:r>
      <m:oMath>
        <m:r>
          <m:rPr>
            <m:sty m:val="p"/>
          </m:rPr>
          <w:rPr>
            <w:rFonts w:ascii="Cambria Math" w:hAnsi="Cambria Math" w:cs="Times New Roman"/>
            <w:sz w:val="24"/>
            <w:szCs w:val="24"/>
          </w:rPr>
          <m:t>I</m:t>
        </m:r>
        <m:r>
          <w:rPr>
            <w:rFonts w:ascii="Cambria Math" w:hAnsi="Cambria Math" w:cs="Times New Roman"/>
            <w:sz w:val="24"/>
            <w:szCs w:val="24"/>
          </w:rPr>
          <m:t>(</m:t>
        </m:r>
        <m:r>
          <w:rPr>
            <w:rFonts w:ascii="Cambria Math" w:eastAsia="Cambria Math" w:hAnsi="Cambria Math" w:cs="Times New Roman"/>
            <w:sz w:val="24"/>
            <w:szCs w:val="24"/>
          </w:rPr>
          <m:t>*)</m:t>
        </m:r>
      </m:oMath>
      <w:r w:rsidRPr="007B0C1A">
        <w:rPr>
          <w:rFonts w:ascii="Times New Roman" w:hAnsi="Times New Roman" w:cs="Times New Roman"/>
          <w:sz w:val="24"/>
          <w:szCs w:val="24"/>
        </w:rPr>
        <w:t xml:space="preserve"> is true, otherwise 0). L(r) indicates whether state r is likely to miss a call. R (r, jl) represents the set of servers that are still available to serve subatom jl in the state r. </w:t>
      </w:r>
      <m:oMath>
        <m:r>
          <w:rPr>
            <w:rFonts w:ascii="Cambria Math" w:eastAsia="Cambria Math" w:hAnsi="Cambria Math" w:cs="Times New Roman"/>
            <w:sz w:val="24"/>
            <w:szCs w:val="24"/>
          </w:rPr>
          <m:t>S</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r,t</m:t>
            </m:r>
          </m:e>
        </m:d>
      </m:oMath>
      <w:r w:rsidRPr="007B0C1A">
        <w:rPr>
          <w:rFonts w:ascii="Times New Roman" w:hAnsi="Times New Roman" w:cs="Times New Roman"/>
          <w:sz w:val="24"/>
          <w:szCs w:val="24"/>
        </w:rPr>
        <w:t xml:space="preserve"> shows the number of servers in the group t occupied in the state r. The arrival rate from </w:t>
      </w:r>
      <w:proofErr w:type="spellStart"/>
      <w:r w:rsidRPr="007B0C1A">
        <w:rPr>
          <w:rFonts w:ascii="Times New Roman" w:hAnsi="Times New Roman" w:cs="Times New Roman"/>
          <w:sz w:val="24"/>
          <w:szCs w:val="24"/>
        </w:rPr>
        <w:t>subatom</w:t>
      </w:r>
      <w:proofErr w:type="spellEnd"/>
      <w:r w:rsidRPr="007B0C1A">
        <w:rPr>
          <w:rFonts w:ascii="Times New Roman" w:hAnsi="Times New Roman" w:cs="Times New Roman"/>
          <w:sz w:val="24"/>
          <w:szCs w:val="24"/>
        </w:rPr>
        <w:t xml:space="preserve"> </w:t>
      </w:r>
      <w:proofErr w:type="spellStart"/>
      <w:r w:rsidRPr="007B0C1A">
        <w:rPr>
          <w:rFonts w:ascii="Times New Roman" w:hAnsi="Times New Roman" w:cs="Times New Roman"/>
          <w:sz w:val="24"/>
          <w:szCs w:val="24"/>
        </w:rPr>
        <w:t>jl</w:t>
      </w:r>
      <w:proofErr w:type="spellEnd"/>
      <w:r w:rsidRPr="007B0C1A">
        <w:rPr>
          <w:rFonts w:ascii="Times New Roman" w:hAnsi="Times New Roman" w:cs="Times New Roman"/>
          <w:sz w:val="24"/>
          <w:szCs w:val="24"/>
        </w:rPr>
        <w:t xml:space="preserve"> is </w:t>
      </w:r>
      <w:proofErr w:type="spellStart"/>
      <w:r w:rsidRPr="007B0C1A">
        <w:rPr>
          <w:rFonts w:ascii="Times New Roman" w:hAnsi="Times New Roman" w:cs="Times New Roman"/>
          <w:sz w:val="24"/>
          <w:szCs w:val="24"/>
        </w:rPr>
        <w:t>λ</w:t>
      </w:r>
      <w:r w:rsidRPr="007B0C1A">
        <w:rPr>
          <w:rFonts w:ascii="Times New Roman" w:hAnsi="Times New Roman" w:cs="Times New Roman"/>
          <w:sz w:val="24"/>
          <w:szCs w:val="24"/>
          <w:vertAlign w:val="subscript"/>
        </w:rPr>
        <w:t>jl</w:t>
      </w:r>
      <w:proofErr w:type="spellEnd"/>
      <w:r w:rsidRPr="007B0C1A">
        <w:rPr>
          <w:rFonts w:ascii="Times New Roman" w:hAnsi="Times New Roman" w:cs="Times New Roman"/>
          <w:sz w:val="24"/>
          <w:szCs w:val="24"/>
        </w:rPr>
        <w:t xml:space="preserve">, while λ is the arrival rate for all </w:t>
      </w:r>
      <w:proofErr w:type="spellStart"/>
      <w:r w:rsidRPr="007B0C1A">
        <w:rPr>
          <w:rFonts w:ascii="Times New Roman" w:hAnsi="Times New Roman" w:cs="Times New Roman"/>
          <w:sz w:val="24"/>
          <w:szCs w:val="24"/>
        </w:rPr>
        <w:t>subatoms</w:t>
      </w:r>
      <w:proofErr w:type="spellEnd"/>
      <w:r w:rsidRPr="007B0C1A">
        <w:rPr>
          <w:rFonts w:ascii="Times New Roman" w:hAnsi="Times New Roman" w:cs="Times New Roman"/>
          <w:sz w:val="24"/>
          <w:szCs w:val="24"/>
        </w:rPr>
        <w:t>. The service rate of each group t is µ</w:t>
      </w:r>
      <w:r w:rsidRPr="007B0C1A">
        <w:rPr>
          <w:rFonts w:ascii="Times New Roman" w:hAnsi="Times New Roman" w:cs="Times New Roman"/>
          <w:sz w:val="24"/>
          <w:szCs w:val="24"/>
          <w:vertAlign w:val="subscript"/>
        </w:rPr>
        <w:t>t.</w:t>
      </w:r>
      <w:r w:rsidRPr="007B0C1A">
        <w:rPr>
          <w:rFonts w:ascii="Times New Roman" w:hAnsi="Times New Roman" w:cs="Times New Roman"/>
          <w:sz w:val="24"/>
          <w:szCs w:val="24"/>
        </w:rPr>
        <w:t xml:space="preserve"> The service rate is obtained considering the server's journey time and on-site service time. In addition, as server locations vary from the original scenario, there is a need to calibrate the </w:t>
      </w:r>
      <w:sdt>
        <w:sdtPr>
          <w:rPr>
            <w:rFonts w:ascii="Times New Roman" w:hAnsi="Times New Roman" w:cs="Times New Roman"/>
            <w:color w:val="2B579A"/>
            <w:sz w:val="24"/>
            <w:szCs w:val="24"/>
            <w:shd w:val="clear" w:color="auto" w:fill="E6E6E6"/>
          </w:rPr>
          <w:tag w:val="goog_rdk_4"/>
          <w:id w:val="274998247"/>
        </w:sdtPr>
        <w:sdtContent/>
      </w:sdt>
      <w:r w:rsidRPr="007B0C1A">
        <w:rPr>
          <w:rFonts w:ascii="Times New Roman" w:hAnsi="Times New Roman" w:cs="Times New Roman"/>
          <w:sz w:val="24"/>
          <w:szCs w:val="24"/>
        </w:rPr>
        <w:t xml:space="preserve">service times </w:t>
      </w:r>
      <w:r w:rsidRPr="007B0C1A">
        <w:rPr>
          <w:rFonts w:ascii="Times New Roman" w:hAnsi="Times New Roman" w:cs="Times New Roman"/>
          <w:i/>
          <w:sz w:val="24"/>
          <w:szCs w:val="24"/>
        </w:rPr>
        <w:t>μ</w:t>
      </w:r>
      <w:r w:rsidRPr="007B0C1A">
        <w:rPr>
          <w:rFonts w:ascii="Times New Roman" w:hAnsi="Times New Roman" w:cs="Times New Roman"/>
          <w:sz w:val="24"/>
          <w:szCs w:val="24"/>
          <w:vertAlign w:val="superscript"/>
        </w:rPr>
        <w:t xml:space="preserve">-1 </w:t>
      </w:r>
      <w:r w:rsidRPr="007B0C1A">
        <w:rPr>
          <w:rFonts w:ascii="Times New Roman" w:hAnsi="Times New Roman" w:cs="Times New Roman"/>
          <w:sz w:val="24"/>
          <w:szCs w:val="24"/>
        </w:rPr>
        <w:t>(Larson &amp; Odoni, 2007). The process is similar to the calculation of the initial</w:t>
      </w:r>
      <w:sdt>
        <w:sdtPr>
          <w:rPr>
            <w:rFonts w:ascii="Times New Roman" w:hAnsi="Times New Roman" w:cs="Times New Roman"/>
            <w:color w:val="2B579A"/>
            <w:sz w:val="24"/>
            <w:szCs w:val="24"/>
            <w:shd w:val="clear" w:color="auto" w:fill="E6E6E6"/>
          </w:rPr>
          <w:tag w:val="goog_rdk_5"/>
          <w:id w:val="-1778628646"/>
        </w:sdtPr>
        <w:sdtContent/>
      </w:sdt>
      <w:r w:rsidRPr="007B0C1A">
        <w:rPr>
          <w:rFonts w:ascii="Times New Roman" w:hAnsi="Times New Roman" w:cs="Times New Roman"/>
          <w:sz w:val="24"/>
          <w:szCs w:val="24"/>
        </w:rPr>
        <w:t xml:space="preserve"> response times, using the </w:t>
      </w:r>
      <w:sdt>
        <w:sdtPr>
          <w:rPr>
            <w:rFonts w:ascii="Times New Roman" w:hAnsi="Times New Roman" w:cs="Times New Roman"/>
            <w:color w:val="2B579A"/>
            <w:sz w:val="24"/>
            <w:szCs w:val="24"/>
            <w:shd w:val="clear" w:color="auto" w:fill="E6E6E6"/>
          </w:rPr>
          <w:tag w:val="goog_rdk_6"/>
          <w:id w:val="-713733133"/>
        </w:sdtPr>
        <w:sdtContent/>
      </w:sdt>
      <w:r w:rsidRPr="007B0C1A">
        <w:rPr>
          <w:rFonts w:ascii="Times New Roman" w:hAnsi="Times New Roman" w:cs="Times New Roman"/>
          <w:sz w:val="24"/>
          <w:szCs w:val="24"/>
        </w:rPr>
        <w:t xml:space="preserve">average service time and the journey time of the servers in the original scenario. Here, the service time is the same, but the journey time considered is that of the last solution of the hypercube model for the given configuration. The process is repeated until the changes in the service times of the servers are below a tolerance of 0.1. </w:t>
      </w:r>
      <m:oMath>
        <m:r>
          <w:rPr>
            <w:rFonts w:ascii="Cambria Math" w:eastAsia="Cambria Math" w:hAnsi="Cambria Math" w:cs="Times New Roman"/>
            <w:sz w:val="24"/>
            <w:szCs w:val="24"/>
          </w:rPr>
          <m:t>A</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q,t</m:t>
            </m:r>
          </m:e>
        </m:d>
      </m:oMath>
      <w:r w:rsidRPr="007B0C1A">
        <w:rPr>
          <w:rFonts w:ascii="Times New Roman" w:hAnsi="Times New Roman" w:cs="Times New Roman"/>
          <w:sz w:val="24"/>
          <w:szCs w:val="24"/>
        </w:rPr>
        <w:t xml:space="preserve"> is the set of subatoms in which the server group t is preferable in the state q (based on the dispatch system preference list). </w:t>
      </w:r>
      <m:oMath>
        <m:r>
          <w:rPr>
            <w:rFonts w:ascii="Cambria Math" w:eastAsia="Cambria Math" w:hAnsi="Cambria Math" w:cs="Times New Roman"/>
            <w:sz w:val="24"/>
            <w:szCs w:val="24"/>
          </w:rPr>
          <m:t>D(q,r,t)</m:t>
        </m:r>
      </m:oMath>
      <w:r w:rsidRPr="007B0C1A">
        <w:rPr>
          <w:rFonts w:ascii="Times New Roman" w:hAnsi="Times New Roman" w:cs="Times New Roman"/>
          <w:sz w:val="24"/>
          <w:szCs w:val="24"/>
        </w:rPr>
        <w:t xml:space="preserve"> is another function with definition based on Equation A.2:</w:t>
      </w:r>
    </w:p>
    <w:p w14:paraId="4AA948EB" w14:textId="77777777" w:rsidR="00CD12A7" w:rsidRPr="007B0C1A" w:rsidRDefault="00CD12A7" w:rsidP="00CD12A7">
      <w:pPr>
        <w:rPr>
          <w:rFonts w:ascii="Times New Roman" w:hAnsi="Times New Roman" w:cs="Times New Roman"/>
          <w:sz w:val="24"/>
          <w:szCs w:val="24"/>
        </w:rPr>
      </w:pPr>
    </w:p>
    <w:tbl>
      <w:tblPr>
        <w:tblW w:w="8955" w:type="dxa"/>
        <w:jc w:val="center"/>
        <w:tblBorders>
          <w:top w:val="nil"/>
          <w:left w:val="nil"/>
          <w:bottom w:val="nil"/>
          <w:right w:val="nil"/>
          <w:insideH w:val="nil"/>
          <w:insideV w:val="nil"/>
        </w:tblBorders>
        <w:tblLayout w:type="fixed"/>
        <w:tblLook w:val="0400" w:firstRow="0" w:lastRow="0" w:firstColumn="0" w:lastColumn="0" w:noHBand="0" w:noVBand="1"/>
      </w:tblPr>
      <w:tblGrid>
        <w:gridCol w:w="283"/>
        <w:gridCol w:w="7937"/>
        <w:gridCol w:w="735"/>
      </w:tblGrid>
      <w:tr w:rsidR="00CD12A7" w:rsidRPr="007B0C1A" w14:paraId="1C275863" w14:textId="77777777" w:rsidTr="00244950">
        <w:trPr>
          <w:jc w:val="center"/>
        </w:trPr>
        <w:tc>
          <w:tcPr>
            <w:tcW w:w="283" w:type="dxa"/>
            <w:vAlign w:val="center"/>
          </w:tcPr>
          <w:p w14:paraId="5B5F38AF" w14:textId="77777777" w:rsidR="00CD12A7" w:rsidRPr="007B0C1A" w:rsidRDefault="00CD12A7" w:rsidP="00244950">
            <w:pPr>
              <w:jc w:val="center"/>
              <w:rPr>
                <w:rFonts w:ascii="Times New Roman" w:hAnsi="Times New Roman" w:cs="Times New Roman"/>
                <w:sz w:val="24"/>
                <w:szCs w:val="24"/>
              </w:rPr>
            </w:pPr>
          </w:p>
        </w:tc>
        <w:tc>
          <w:tcPr>
            <w:tcW w:w="7937" w:type="dxa"/>
            <w:vAlign w:val="center"/>
          </w:tcPr>
          <w:p w14:paraId="6F0E7F31" w14:textId="77777777" w:rsidR="00CD12A7" w:rsidRPr="007B0C1A" w:rsidRDefault="00CD12A7" w:rsidP="00244950">
            <w:pPr>
              <w:jc w:val="center"/>
              <w:rPr>
                <w:rFonts w:ascii="Times New Roman" w:eastAsia="Cambria Math" w:hAnsi="Times New Roman" w:cs="Times New Roman"/>
                <w:sz w:val="24"/>
                <w:szCs w:val="24"/>
              </w:rPr>
            </w:pPr>
            <m:oMathPara>
              <m:oMath>
                <m:r>
                  <w:rPr>
                    <w:rFonts w:ascii="Cambria Math" w:eastAsia="Cambria Math" w:hAnsi="Cambria Math" w:cs="Times New Roman"/>
                    <w:sz w:val="24"/>
                    <w:szCs w:val="24"/>
                  </w:rPr>
                  <m:t>D</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q,r,t</m:t>
                    </m:r>
                  </m:e>
                </m:d>
                <m:r>
                  <w:rPr>
                    <w:rFonts w:ascii="Cambria Math" w:eastAsia="Cambria Math" w:hAnsi="Cambria Math" w:cs="Times New Roman"/>
                    <w:sz w:val="24"/>
                    <w:szCs w:val="24"/>
                  </w:rPr>
                  <m:t>=</m:t>
                </m:r>
                <m:d>
                  <m:dPr>
                    <m:begChr m:val="{"/>
                    <m:endChr m:val=""/>
                    <m:ctrlPr>
                      <w:rPr>
                        <w:rFonts w:ascii="Cambria Math" w:eastAsia="Cambria Math" w:hAnsi="Cambria Math" w:cs="Times New Roman"/>
                        <w:i/>
                        <w:sz w:val="24"/>
                        <w:szCs w:val="24"/>
                      </w:rPr>
                    </m:ctrlPr>
                  </m:dPr>
                  <m:e>
                    <m:eqArr>
                      <m:eqArrPr>
                        <m:ctrlPr>
                          <w:rPr>
                            <w:rFonts w:ascii="Cambria Math" w:eastAsia="Cambria Math" w:hAnsi="Cambria Math" w:cs="Times New Roman"/>
                            <w:i/>
                            <w:sz w:val="24"/>
                            <w:szCs w:val="24"/>
                          </w:rPr>
                        </m:ctrlPr>
                      </m:eqArrPr>
                      <m:e>
                        <m:r>
                          <w:rPr>
                            <w:rFonts w:ascii="Cambria Math" w:eastAsia="Cambria Math" w:hAnsi="Cambria Math" w:cs="Times New Roman"/>
                            <w:sz w:val="24"/>
                            <w:szCs w:val="24"/>
                          </w:rPr>
                          <m:t>1,  &amp; if H</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q,r</m:t>
                            </m:r>
                          </m:e>
                        </m:d>
                        <m:r>
                          <w:rPr>
                            <w:rFonts w:ascii="Cambria Math" w:eastAsia="Cambria Math" w:hAnsi="Cambria Math" w:cs="Times New Roman"/>
                            <w:sz w:val="24"/>
                            <w:szCs w:val="24"/>
                          </w:rPr>
                          <m:t>=1,  S</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q,t</m:t>
                            </m:r>
                          </m:e>
                        </m:d>
                        <m:r>
                          <w:rPr>
                            <w:rFonts w:ascii="Cambria Math" w:eastAsia="Cambria Math" w:hAnsi="Cambria Math" w:cs="Times New Roman"/>
                            <w:sz w:val="24"/>
                            <w:szCs w:val="24"/>
                          </w:rPr>
                          <m:t>=S</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r,t</m:t>
                            </m:r>
                          </m:e>
                        </m:d>
                        <m:r>
                          <w:rPr>
                            <w:rFonts w:ascii="Cambria Math" w:eastAsia="Cambria Math" w:hAnsi="Cambria Math" w:cs="Times New Roman"/>
                            <w:sz w:val="24"/>
                            <w:szCs w:val="24"/>
                          </w:rPr>
                          <m:t>+1</m:t>
                        </m:r>
                      </m:e>
                      <m:e>
                        <m:r>
                          <w:rPr>
                            <w:rFonts w:ascii="Cambria Math" w:eastAsia="Cambria Math" w:hAnsi="Cambria Math" w:cs="Times New Roman"/>
                            <w:sz w:val="24"/>
                            <w:szCs w:val="24"/>
                          </w:rPr>
                          <m:t>0,  &amp;otherwise</m:t>
                        </m:r>
                      </m:e>
                    </m:eqArr>
                  </m:e>
                </m:d>
              </m:oMath>
            </m:oMathPara>
          </w:p>
        </w:tc>
        <w:tc>
          <w:tcPr>
            <w:tcW w:w="735" w:type="dxa"/>
            <w:vAlign w:val="center"/>
          </w:tcPr>
          <w:p w14:paraId="1A32710A" w14:textId="77777777" w:rsidR="00CD12A7" w:rsidRPr="007B0C1A" w:rsidRDefault="00CD12A7" w:rsidP="00244950">
            <w:pPr>
              <w:jc w:val="center"/>
              <w:rPr>
                <w:rFonts w:ascii="Times New Roman" w:hAnsi="Times New Roman" w:cs="Times New Roman"/>
                <w:sz w:val="24"/>
                <w:szCs w:val="24"/>
              </w:rPr>
            </w:pPr>
            <w:bookmarkStart w:id="1" w:name="_heading=h.1fob9te" w:colFirst="0" w:colLast="0"/>
            <w:bookmarkEnd w:id="1"/>
            <w:r w:rsidRPr="007B0C1A">
              <w:rPr>
                <w:rFonts w:ascii="Times New Roman" w:hAnsi="Times New Roman" w:cs="Times New Roman"/>
                <w:sz w:val="24"/>
                <w:szCs w:val="24"/>
              </w:rPr>
              <w:t>(A.2)</w:t>
            </w:r>
          </w:p>
        </w:tc>
      </w:tr>
    </w:tbl>
    <w:p w14:paraId="2C7699F2" w14:textId="77777777" w:rsidR="00CD12A7" w:rsidRPr="007B0C1A" w:rsidRDefault="00CD12A7" w:rsidP="00CD12A7">
      <w:pPr>
        <w:ind w:firstLine="709"/>
        <w:rPr>
          <w:rFonts w:ascii="Times New Roman" w:hAnsi="Times New Roman" w:cs="Times New Roman"/>
          <w:sz w:val="24"/>
          <w:szCs w:val="24"/>
        </w:rPr>
      </w:pPr>
    </w:p>
    <w:p w14:paraId="5CFC936E" w14:textId="77777777" w:rsidR="00CD12A7" w:rsidRPr="007B0C1A" w:rsidRDefault="00CD12A7" w:rsidP="00CD12A7">
      <w:pPr>
        <w:rPr>
          <w:rFonts w:ascii="Times New Roman" w:hAnsi="Times New Roman" w:cs="Times New Roman"/>
          <w:sz w:val="24"/>
          <w:szCs w:val="24"/>
        </w:rPr>
      </w:pPr>
      <w:r w:rsidRPr="007B0C1A">
        <w:rPr>
          <w:rFonts w:ascii="Times New Roman" w:hAnsi="Times New Roman" w:cs="Times New Roman"/>
          <w:sz w:val="24"/>
          <w:szCs w:val="24"/>
        </w:rPr>
        <w:t xml:space="preserve">Where </w:t>
      </w:r>
      <w:r w:rsidRPr="007B0C1A">
        <w:rPr>
          <w:rFonts w:ascii="Times New Roman" w:hAnsi="Times New Roman" w:cs="Times New Roman"/>
          <w:i/>
          <w:sz w:val="24"/>
          <w:szCs w:val="24"/>
        </w:rPr>
        <w:t>H (q, r)</w:t>
      </w:r>
      <w:r w:rsidRPr="007B0C1A">
        <w:rPr>
          <w:rFonts w:ascii="Times New Roman" w:hAnsi="Times New Roman" w:cs="Times New Roman"/>
          <w:sz w:val="24"/>
          <w:szCs w:val="24"/>
        </w:rPr>
        <w:t xml:space="preserve"> is the minimum number of transitions between states </w:t>
      </w:r>
      <w:r w:rsidRPr="007B0C1A">
        <w:rPr>
          <w:rFonts w:ascii="Times New Roman" w:hAnsi="Times New Roman" w:cs="Times New Roman"/>
          <w:i/>
          <w:sz w:val="24"/>
          <w:szCs w:val="24"/>
        </w:rPr>
        <w:t>q</w:t>
      </w:r>
      <w:r w:rsidRPr="007B0C1A">
        <w:rPr>
          <w:rFonts w:ascii="Times New Roman" w:hAnsi="Times New Roman" w:cs="Times New Roman"/>
          <w:sz w:val="24"/>
          <w:szCs w:val="24"/>
        </w:rPr>
        <w:t xml:space="preserve"> and </w:t>
      </w:r>
      <w:r w:rsidRPr="007B0C1A">
        <w:rPr>
          <w:rFonts w:ascii="Times New Roman" w:hAnsi="Times New Roman" w:cs="Times New Roman"/>
          <w:i/>
          <w:sz w:val="24"/>
          <w:szCs w:val="24"/>
        </w:rPr>
        <w:t>r</w:t>
      </w:r>
      <w:r w:rsidRPr="007B0C1A">
        <w:rPr>
          <w:rFonts w:ascii="Times New Roman" w:hAnsi="Times New Roman" w:cs="Times New Roman"/>
          <w:sz w:val="24"/>
          <w:szCs w:val="24"/>
        </w:rPr>
        <w:t xml:space="preserve">. </w:t>
      </w:r>
      <m:oMath>
        <m:r>
          <w:rPr>
            <w:rFonts w:ascii="Cambria Math" w:eastAsia="Cambria Math" w:hAnsi="Cambria Math" w:cs="Times New Roman"/>
            <w:sz w:val="24"/>
            <w:szCs w:val="24"/>
          </w:rPr>
          <m:t>Q</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q,r,l</m:t>
            </m:r>
          </m:e>
        </m:d>
      </m:oMath>
      <w:r w:rsidRPr="007B0C1A">
        <w:rPr>
          <w:rFonts w:ascii="Times New Roman" w:hAnsi="Times New Roman" w:cs="Times New Roman"/>
          <w:sz w:val="24"/>
          <w:szCs w:val="24"/>
        </w:rPr>
        <w:t xml:space="preserve"> is another function defined in Equation A.3 and is related to the transitions between the queue states: </w:t>
      </w:r>
    </w:p>
    <w:p w14:paraId="60B0DDD7" w14:textId="77777777" w:rsidR="00CD12A7" w:rsidRPr="007B0C1A" w:rsidRDefault="00CD12A7" w:rsidP="00CD12A7">
      <w:pPr>
        <w:rPr>
          <w:rFonts w:ascii="Times New Roman" w:hAnsi="Times New Roman" w:cs="Times New Roman"/>
          <w:sz w:val="24"/>
          <w:szCs w:val="24"/>
        </w:rPr>
      </w:pPr>
    </w:p>
    <w:tbl>
      <w:tblPr>
        <w:tblW w:w="8956" w:type="dxa"/>
        <w:jc w:val="center"/>
        <w:tblBorders>
          <w:top w:val="nil"/>
          <w:left w:val="nil"/>
          <w:bottom w:val="nil"/>
          <w:right w:val="nil"/>
          <w:insideH w:val="nil"/>
          <w:insideV w:val="nil"/>
        </w:tblBorders>
        <w:tblLayout w:type="fixed"/>
        <w:tblLook w:val="0400" w:firstRow="0" w:lastRow="0" w:firstColumn="0" w:lastColumn="0" w:noHBand="0" w:noVBand="1"/>
      </w:tblPr>
      <w:tblGrid>
        <w:gridCol w:w="283"/>
        <w:gridCol w:w="7937"/>
        <w:gridCol w:w="736"/>
      </w:tblGrid>
      <w:tr w:rsidR="00CD12A7" w:rsidRPr="007B0C1A" w14:paraId="4FCDAE87" w14:textId="77777777" w:rsidTr="00244950">
        <w:trPr>
          <w:jc w:val="center"/>
        </w:trPr>
        <w:tc>
          <w:tcPr>
            <w:tcW w:w="283" w:type="dxa"/>
            <w:vAlign w:val="center"/>
          </w:tcPr>
          <w:p w14:paraId="7C3B7D1C" w14:textId="77777777" w:rsidR="00CD12A7" w:rsidRPr="007B0C1A" w:rsidRDefault="00CD12A7" w:rsidP="00244950">
            <w:pPr>
              <w:jc w:val="center"/>
              <w:rPr>
                <w:rFonts w:ascii="Times New Roman" w:hAnsi="Times New Roman" w:cs="Times New Roman"/>
                <w:sz w:val="24"/>
                <w:szCs w:val="24"/>
              </w:rPr>
            </w:pPr>
          </w:p>
        </w:tc>
        <w:tc>
          <w:tcPr>
            <w:tcW w:w="7937" w:type="dxa"/>
            <w:vAlign w:val="center"/>
          </w:tcPr>
          <w:p w14:paraId="113B8C9E" w14:textId="77777777" w:rsidR="00CD12A7" w:rsidRPr="007B0C1A" w:rsidRDefault="00CD12A7" w:rsidP="00244950">
            <w:pPr>
              <w:jc w:val="center"/>
              <w:rPr>
                <w:rFonts w:ascii="Times New Roman" w:eastAsia="Cambria Math" w:hAnsi="Times New Roman" w:cs="Times New Roman"/>
                <w:sz w:val="24"/>
                <w:szCs w:val="24"/>
              </w:rPr>
            </w:pPr>
            <m:oMathPara>
              <m:oMath>
                <m:r>
                  <w:rPr>
                    <w:rFonts w:ascii="Cambria Math" w:eastAsia="Cambria Math" w:hAnsi="Cambria Math" w:cs="Times New Roman"/>
                    <w:sz w:val="24"/>
                    <w:szCs w:val="24"/>
                  </w:rPr>
                  <m:t>D</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q,r,t</m:t>
                    </m:r>
                  </m:e>
                </m:d>
                <m:r>
                  <w:rPr>
                    <w:rFonts w:ascii="Cambria Math" w:eastAsia="Cambria Math" w:hAnsi="Cambria Math" w:cs="Times New Roman"/>
                    <w:sz w:val="24"/>
                    <w:szCs w:val="24"/>
                  </w:rPr>
                  <m:t>==</m:t>
                </m:r>
                <m:d>
                  <m:dPr>
                    <m:begChr m:val="{"/>
                    <m:endChr m:val=""/>
                    <m:ctrlPr>
                      <w:rPr>
                        <w:rFonts w:ascii="Cambria Math" w:eastAsia="Cambria Math" w:hAnsi="Cambria Math" w:cs="Times New Roman"/>
                        <w:i/>
                        <w:sz w:val="24"/>
                        <w:szCs w:val="24"/>
                      </w:rPr>
                    </m:ctrlPr>
                  </m:dPr>
                  <m:e>
                    <m:eqArr>
                      <m:eqArrPr>
                        <m:ctrlPr>
                          <w:rPr>
                            <w:rFonts w:ascii="Cambria Math" w:eastAsia="Cambria Math" w:hAnsi="Cambria Math" w:cs="Times New Roman"/>
                            <w:i/>
                            <w:sz w:val="24"/>
                            <w:szCs w:val="24"/>
                          </w:rPr>
                        </m:ctrlPr>
                      </m:eqArrPr>
                      <m:e>
                        <m:r>
                          <w:rPr>
                            <w:rFonts w:ascii="Cambria Math" w:eastAsia="Cambria Math" w:hAnsi="Cambria Math" w:cs="Times New Roman"/>
                            <w:sz w:val="24"/>
                            <w:szCs w:val="24"/>
                          </w:rPr>
                          <m:t>1,  &amp; if H</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q,r</m:t>
                            </m:r>
                          </m:e>
                        </m:d>
                        <m:r>
                          <w:rPr>
                            <w:rFonts w:ascii="Cambria Math" w:eastAsia="Cambria Math" w:hAnsi="Cambria Math" w:cs="Times New Roman"/>
                            <w:sz w:val="24"/>
                            <w:szCs w:val="24"/>
                          </w:rPr>
                          <m:t>=1,  S</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q,k</m:t>
                            </m:r>
                          </m:e>
                        </m:d>
                        <m:r>
                          <w:rPr>
                            <w:rFonts w:ascii="Cambria Math" w:eastAsia="Cambria Math" w:hAnsi="Cambria Math" w:cs="Times New Roman"/>
                            <w:sz w:val="24"/>
                            <w:szCs w:val="24"/>
                          </w:rPr>
                          <m:t>=S</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r,t</m:t>
                            </m:r>
                          </m:e>
                        </m:d>
                        <m:r>
                          <w:rPr>
                            <w:rFonts w:ascii="Cambria Math" w:eastAsia="Cambria Math" w:hAnsi="Cambria Math" w:cs="Times New Roman"/>
                            <w:sz w:val="24"/>
                            <w:szCs w:val="24"/>
                          </w:rPr>
                          <m:t xml:space="preserve"> ∀k,  W</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q,r,l</m:t>
                            </m:r>
                          </m:e>
                        </m:d>
                        <m:r>
                          <w:rPr>
                            <w:rFonts w:ascii="Cambria Math" w:eastAsia="Cambria Math" w:hAnsi="Cambria Math" w:cs="Times New Roman"/>
                            <w:sz w:val="24"/>
                            <w:szCs w:val="24"/>
                          </w:rPr>
                          <m:t>=1</m:t>
                        </m:r>
                      </m:e>
                      <m:e>
                        <m:r>
                          <w:rPr>
                            <w:rFonts w:ascii="Cambria Math" w:eastAsia="Cambria Math" w:hAnsi="Cambria Math" w:cs="Times New Roman"/>
                            <w:sz w:val="24"/>
                            <w:szCs w:val="24"/>
                          </w:rPr>
                          <m:t>0,  &amp;otherwise</m:t>
                        </m:r>
                      </m:e>
                    </m:eqArr>
                  </m:e>
                </m:d>
              </m:oMath>
            </m:oMathPara>
          </w:p>
        </w:tc>
        <w:tc>
          <w:tcPr>
            <w:tcW w:w="736" w:type="dxa"/>
            <w:vAlign w:val="center"/>
          </w:tcPr>
          <w:p w14:paraId="348E3D2D" w14:textId="77777777" w:rsidR="00CD12A7" w:rsidRPr="007B0C1A" w:rsidRDefault="00CD12A7" w:rsidP="00244950">
            <w:pPr>
              <w:jc w:val="center"/>
              <w:rPr>
                <w:rFonts w:ascii="Times New Roman" w:hAnsi="Times New Roman" w:cs="Times New Roman"/>
                <w:sz w:val="24"/>
                <w:szCs w:val="24"/>
              </w:rPr>
            </w:pPr>
            <w:bookmarkStart w:id="2" w:name="_heading=h.3znysh7" w:colFirst="0" w:colLast="0"/>
            <w:bookmarkEnd w:id="2"/>
            <w:r w:rsidRPr="007B0C1A">
              <w:rPr>
                <w:rFonts w:ascii="Times New Roman" w:hAnsi="Times New Roman" w:cs="Times New Roman"/>
                <w:sz w:val="24"/>
                <w:szCs w:val="24"/>
              </w:rPr>
              <w:t>(A.3)</w:t>
            </w:r>
          </w:p>
        </w:tc>
      </w:tr>
    </w:tbl>
    <w:p w14:paraId="20AD6050" w14:textId="77777777" w:rsidR="00CD12A7" w:rsidRPr="007B0C1A" w:rsidRDefault="00CD12A7" w:rsidP="00CD12A7">
      <w:pPr>
        <w:ind w:firstLine="709"/>
        <w:rPr>
          <w:rFonts w:ascii="Times New Roman" w:hAnsi="Times New Roman" w:cs="Times New Roman"/>
          <w:sz w:val="24"/>
          <w:szCs w:val="24"/>
        </w:rPr>
      </w:pPr>
    </w:p>
    <w:p w14:paraId="34ADAECE" w14:textId="7BCD0989" w:rsidR="00000000" w:rsidRPr="00CD12A7" w:rsidRDefault="00CD12A7">
      <w:pPr>
        <w:rPr>
          <w:rFonts w:ascii="Times New Roman" w:hAnsi="Times New Roman" w:cs="Times New Roman"/>
          <w:i/>
          <w:sz w:val="24"/>
          <w:szCs w:val="24"/>
        </w:rPr>
      </w:pPr>
      <w:r w:rsidRPr="007B0C1A">
        <w:rPr>
          <w:rFonts w:ascii="Times New Roman" w:hAnsi="Times New Roman" w:cs="Times New Roman"/>
          <w:sz w:val="24"/>
          <w:szCs w:val="24"/>
        </w:rPr>
        <w:lastRenderedPageBreak/>
        <w:t xml:space="preserve">In this equation, </w:t>
      </w:r>
      <m:oMath>
        <m:r>
          <w:rPr>
            <w:rFonts w:ascii="Cambria Math" w:eastAsia="Cambria Math" w:hAnsi="Cambria Math" w:cs="Times New Roman"/>
            <w:sz w:val="24"/>
            <w:szCs w:val="24"/>
          </w:rPr>
          <m:t>W</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q,r,l</m:t>
            </m:r>
          </m:e>
        </m:d>
      </m:oMath>
      <w:r w:rsidRPr="007B0C1A">
        <w:rPr>
          <w:rFonts w:ascii="Times New Roman" w:hAnsi="Times New Roman" w:cs="Times New Roman"/>
          <w:sz w:val="24"/>
          <w:szCs w:val="24"/>
        </w:rPr>
        <w:t xml:space="preserve"> represents the function that indicates the number of classes </w:t>
      </w:r>
      <m:oMath>
        <m:r>
          <w:rPr>
            <w:rFonts w:ascii="Cambria Math" w:eastAsia="Cambria Math" w:hAnsi="Cambria Math" w:cs="Times New Roman"/>
            <w:sz w:val="24"/>
            <w:szCs w:val="24"/>
          </w:rPr>
          <m:t>l</m:t>
        </m:r>
      </m:oMath>
      <w:r w:rsidRPr="007B0C1A">
        <w:rPr>
          <w:rFonts w:ascii="Times New Roman" w:eastAsia="Cambria Math" w:hAnsi="Times New Roman" w:cs="Times New Roman"/>
          <w:sz w:val="24"/>
          <w:szCs w:val="24"/>
        </w:rPr>
        <w:t xml:space="preserve"> </w:t>
      </w:r>
      <w:r w:rsidRPr="007B0C1A">
        <w:rPr>
          <w:rFonts w:ascii="Times New Roman" w:hAnsi="Times New Roman" w:cs="Times New Roman"/>
          <w:sz w:val="24"/>
          <w:szCs w:val="24"/>
        </w:rPr>
        <w:t xml:space="preserve">under service, in which state q has more states than in r. </w:t>
      </w:r>
    </w:p>
    <w:sectPr w:rsidR="00ED5974" w:rsidRPr="00CD12A7" w:rsidSect="00B41818">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93"/>
    <w:rsid w:val="00175D93"/>
    <w:rsid w:val="00282B2F"/>
    <w:rsid w:val="002C70CF"/>
    <w:rsid w:val="00703856"/>
    <w:rsid w:val="00B41818"/>
    <w:rsid w:val="00BE6206"/>
    <w:rsid w:val="00CD12A7"/>
    <w:rsid w:val="00FA001B"/>
    <w:rsid w:val="00FE2E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5135"/>
  <w15:chartTrackingRefBased/>
  <w15:docId w15:val="{023A846A-498C-4895-8997-D3F3FC83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2A7"/>
    <w:pPr>
      <w:spacing w:after="0" w:line="276" w:lineRule="auto"/>
      <w:contextualSpacing/>
    </w:pPr>
    <w:rPr>
      <w:rFonts w:ascii="Arial" w:eastAsia="Arial" w:hAnsi="Arial" w:cs="Arial"/>
      <w:kern w:val="0"/>
      <w:lang w:val="en-US"/>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CD12A7"/>
    <w:pPr>
      <w:spacing w:after="0" w:line="276" w:lineRule="auto"/>
      <w:contextualSpacing/>
    </w:pPr>
    <w:rPr>
      <w:rFonts w:ascii="Arial" w:eastAsia="Arial" w:hAnsi="Arial" w:cs="Arial"/>
      <w:kern w:val="0"/>
      <w:lang w:val="en-US"/>
      <w14:ligatures w14:val="none"/>
    </w:rPr>
  </w:style>
  <w:style w:type="character" w:styleId="Nmerodelinha">
    <w:name w:val="line number"/>
    <w:basedOn w:val="Fontepargpadro"/>
    <w:uiPriority w:val="99"/>
    <w:semiHidden/>
    <w:unhideWhenUsed/>
    <w:rsid w:val="00CD1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4185</Characters>
  <Application>Microsoft Office Word</Application>
  <DocSecurity>0</DocSecurity>
  <Lines>34</Lines>
  <Paragraphs>9</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Victor Rojas Luiz</dc:creator>
  <cp:keywords/>
  <dc:description/>
  <cp:lastModifiedBy>João Victor Rojas Luiz</cp:lastModifiedBy>
  <cp:revision>3</cp:revision>
  <dcterms:created xsi:type="dcterms:W3CDTF">2023-09-06T14:41:00Z</dcterms:created>
  <dcterms:modified xsi:type="dcterms:W3CDTF">2023-09-06T14:42:00Z</dcterms:modified>
</cp:coreProperties>
</file>