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0DE1" w14:textId="4937697B" w:rsidR="00092A36" w:rsidRPr="000F1A93" w:rsidRDefault="00C7268D" w:rsidP="00092A36">
      <w:pPr>
        <w:tabs>
          <w:tab w:val="left" w:pos="1739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0F1A93">
        <w:rPr>
          <w:rFonts w:ascii="Times New Roman" w:hAnsi="Times New Roman" w:cs="Times New Roman"/>
          <w:b/>
          <w:bCs/>
          <w:sz w:val="22"/>
          <w:szCs w:val="22"/>
          <w:lang w:val="en-GB"/>
        </w:rPr>
        <w:t>Supplemental Table S1. Operational definitions on variables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89"/>
        <w:gridCol w:w="2733"/>
        <w:gridCol w:w="1267"/>
        <w:gridCol w:w="3771"/>
      </w:tblGrid>
      <w:tr w:rsidR="00092A36" w:rsidRPr="000F1A93" w14:paraId="1AA9A859" w14:textId="77777777" w:rsidTr="00F9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bottom w:val="single" w:sz="4" w:space="0" w:color="auto"/>
            </w:tcBorders>
          </w:tcPr>
          <w:p w14:paraId="38D03A1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Component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27517DE4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Variable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C575F2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Types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3EE963E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Operational definitions</w:t>
            </w:r>
          </w:p>
        </w:tc>
      </w:tr>
      <w:tr w:rsidR="00092A36" w:rsidRPr="000F1A93" w14:paraId="4CD9503E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single" w:sz="4" w:space="0" w:color="auto"/>
              <w:bottom w:val="nil"/>
            </w:tcBorders>
          </w:tcPr>
          <w:p w14:paraId="79AC309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Demographic</w:t>
            </w:r>
          </w:p>
        </w:tc>
        <w:tc>
          <w:tcPr>
            <w:tcW w:w="3944" w:type="dxa"/>
            <w:tcBorders>
              <w:top w:val="single" w:sz="4" w:space="0" w:color="auto"/>
              <w:bottom w:val="nil"/>
            </w:tcBorders>
          </w:tcPr>
          <w:p w14:paraId="5DD16EB7" w14:textId="77777777" w:rsidR="00092A36" w:rsidRPr="000F1A93" w:rsidRDefault="00092A36" w:rsidP="00F97568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Age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14:paraId="46915C8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single" w:sz="4" w:space="0" w:color="auto"/>
              <w:bottom w:val="nil"/>
            </w:tcBorders>
          </w:tcPr>
          <w:p w14:paraId="5197EFD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Teachers’ age while serving in schools</w:t>
            </w:r>
          </w:p>
        </w:tc>
      </w:tr>
      <w:tr w:rsidR="00092A36" w:rsidRPr="000F1A93" w14:paraId="54CBE311" w14:textId="77777777" w:rsidTr="00F9756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47E83064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1954C50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Sex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79D66B0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7C794EAB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Male/female</w:t>
            </w:r>
          </w:p>
        </w:tc>
      </w:tr>
      <w:tr w:rsidR="00092A36" w:rsidRPr="000F1A93" w14:paraId="051677A2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2CD2E136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116ACE2" w14:textId="77777777" w:rsidR="00092A36" w:rsidRPr="000F1A93" w:rsidRDefault="00092A36" w:rsidP="00F97568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DF332E4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Categorical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05F43809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Malay/Chinese/Indian/Others</w:t>
            </w:r>
          </w:p>
        </w:tc>
      </w:tr>
      <w:tr w:rsidR="00092A36" w:rsidRPr="000F1A93" w14:paraId="428F5A41" w14:textId="77777777" w:rsidTr="00F9756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49F8247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F9BE649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Marital 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ADE5E6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Categorical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2FD9689F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Single/married/divorced/widowed</w:t>
            </w:r>
          </w:p>
        </w:tc>
      </w:tr>
      <w:tr w:rsidR="00092A36" w:rsidRPr="000F1A93" w14:paraId="256787BA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108635D3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7CB9AB3" w14:textId="77777777" w:rsidR="00092A36" w:rsidRPr="000F1A93" w:rsidRDefault="00092A36" w:rsidP="00F97568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Education level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8FA7D9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Categorical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2CB135B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Secondary/diploma/degree/</w:t>
            </w:r>
            <w:r w:rsidRPr="000F1A9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  <w:t>&gt;=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master </w:t>
            </w:r>
          </w:p>
        </w:tc>
      </w:tr>
      <w:tr w:rsidR="00092A36" w:rsidRPr="000F1A93" w14:paraId="5B55CDC2" w14:textId="77777777" w:rsidTr="00F9756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single" w:sz="4" w:space="0" w:color="auto"/>
            </w:tcBorders>
          </w:tcPr>
          <w:p w14:paraId="0FCEABE9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single" w:sz="4" w:space="0" w:color="auto"/>
            </w:tcBorders>
          </w:tcPr>
          <w:p w14:paraId="06A5CC1C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Family history of T2DM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14:paraId="2194061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single" w:sz="4" w:space="0" w:color="auto"/>
            </w:tcBorders>
          </w:tcPr>
          <w:p w14:paraId="46B9A759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No/yes</w:t>
            </w:r>
          </w:p>
        </w:tc>
      </w:tr>
      <w:tr w:rsidR="00092A36" w:rsidRPr="000F1A93" w14:paraId="7D33647C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single" w:sz="4" w:space="0" w:color="auto"/>
              <w:bottom w:val="nil"/>
            </w:tcBorders>
          </w:tcPr>
          <w:p w14:paraId="05C36FCF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Lifestyles</w:t>
            </w:r>
          </w:p>
        </w:tc>
        <w:tc>
          <w:tcPr>
            <w:tcW w:w="3944" w:type="dxa"/>
            <w:tcBorders>
              <w:top w:val="single" w:sz="4" w:space="0" w:color="auto"/>
              <w:bottom w:val="nil"/>
            </w:tcBorders>
          </w:tcPr>
          <w:p w14:paraId="35A513FE" w14:textId="77777777" w:rsidR="00092A36" w:rsidRPr="000F1A93" w:rsidRDefault="00092A36" w:rsidP="00F97568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Fruit consumption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14:paraId="18FCCF2B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single" w:sz="4" w:space="0" w:color="auto"/>
              <w:bottom w:val="nil"/>
            </w:tcBorders>
          </w:tcPr>
          <w:p w14:paraId="35A45A9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Servings/day</w:t>
            </w:r>
          </w:p>
        </w:tc>
      </w:tr>
      <w:tr w:rsidR="00092A36" w:rsidRPr="000F1A93" w14:paraId="05BC17EF" w14:textId="77777777" w:rsidTr="00F9756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37A2D3E5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CA7D2ED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Vegetable consumption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4D53CD07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22ED53FF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Servings/day</w:t>
            </w:r>
          </w:p>
        </w:tc>
      </w:tr>
      <w:tr w:rsidR="00092A36" w:rsidRPr="000F1A93" w14:paraId="0418E158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1BEEEB7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7CB09B2" w14:textId="77777777" w:rsidR="00092A36" w:rsidRPr="000F1A93" w:rsidRDefault="00092A36" w:rsidP="00F97568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Fruit and vegetable consumption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33FBB9F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3F0D80F4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0F1A9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  <w:t xml:space="preserve">&gt;=2 fruits and &gt;=3 vegetables servings daily/no 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begin"/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instrText xml:space="preserve"> ADDIN EN.CITE &lt;EndNote&gt;&lt;Cite&gt;&lt;Author&gt;Ahmad&lt;/Author&gt;&lt;Year&gt;2012&lt;/Year&gt;&lt;RecNum&gt;151&lt;/RecNum&gt;&lt;DisplayText&gt;(Ahmad&lt;style face="italic"&gt; et al.&lt;/style&gt;, 2012; Nutritional Department Ministry of Health Malaysia., 2020)&lt;/DisplayText&gt;&lt;record&gt;&lt;rec-number&gt;151&lt;/rec-number&gt;&lt;foreign-keys&gt;&lt;key app="EN" db-id="v2wts2ezosvrxiera29xt2al2dxtf5zwrp92" timestamp="1637585287" guid="85916661-012e-40d1-9d89-6f8a94efb5ea"&gt;151&lt;/key&gt;&lt;/foreign-keys&gt;&lt;ref-type name="Web Page"&gt;12&lt;/ref-type&gt;&lt;contributors&gt;&lt;authors&gt;&lt;author&gt;Jamilah Ahmad&lt;/author&gt;&lt;author&gt;Surainee Wahab&lt;/author&gt;&lt;author&gt;Azlinda Hamid&lt;/author&gt;&lt;author&gt;Munawara Pardi&lt;/author&gt;&lt;/authors&gt;&lt;/contributors&gt;&lt;titles&gt;&lt;title&gt;Malaysian Food Pyramid&lt;/title&gt;&lt;/titles&gt;&lt;volume&gt;2021&lt;/volume&gt;&lt;number&gt;June 8&lt;/number&gt;&lt;dates&gt;&lt;year&gt;2012&lt;/year&gt;&lt;/dates&gt;&lt;publisher&gt;MyHEALTH: Ministry of Health Malaysia&lt;/publisher&gt;&lt;urls&gt;&lt;/urls&gt;&lt;/record&gt;&lt;/Cite&gt;&lt;Cite&gt;&lt;Author&gt;Nutritional Department Ministry of Health Malaysia.&lt;/Author&gt;&lt;Year&gt;2020&lt;/Year&gt;&lt;RecNum&gt;483&lt;/RecNum&gt;&lt;record&gt;&lt;rec-number&gt;483&lt;/rec-number&gt;&lt;foreign-keys&gt;&lt;key app="EN" db-id="v2wts2ezosvrxiera29xt2al2dxtf5zwrp92" timestamp="1637587577" guid="c0eda06e-7edb-4679-8b54-97dfbfa4f70c"&gt;483&lt;/key&gt;&lt;/foreign-keys&gt;&lt;ref-type name="Government Document"&gt;46&lt;/ref-type&gt;&lt;contributors&gt;&lt;authors&gt;&lt;author&gt;Nutritional Department Ministry of Health Malaysia., &lt;/author&gt;&lt;/authors&gt;&lt;/contributors&gt;&lt;titles&gt;&lt;title&gt;&amp;quot;Piramid Makanan Malaysia 2020 – Mendidik Rakyat Mengambil Makanan Dengan Betul&amp;quot;&lt;/title&gt;&lt;/titles&gt;&lt;dates&gt;&lt;year&gt;2020&lt;/year&gt;&lt;/dates&gt;&lt;urls&gt;&lt;related-urls&gt;&lt;url&gt;https://nutrition.moh.gov.my/en/piramid-makanan-malaysia-2020-mendidik-rakyat-mengambil-makanan-dengan-betul/&lt;/url&gt;&lt;/related-urls&gt;&lt;/urls&gt;&lt;access-date&gt;27th July 2021&lt;/access-date&gt;&lt;/record&gt;&lt;/Cite&gt;&lt;/EndNote&gt;</w:instrTex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separate"/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 w:eastAsia="ms-MY"/>
              </w:rPr>
              <w:t>(Ahmad</w:t>
            </w:r>
            <w:r w:rsidRPr="000F1A9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GB" w:eastAsia="ms-MY"/>
              </w:rPr>
              <w:t xml:space="preserve"> et al.</w:t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 w:eastAsia="ms-MY"/>
              </w:rPr>
              <w:t>, 2012; Nutritional Department Ministry of Health Malaysia., 2020)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end"/>
            </w:r>
          </w:p>
        </w:tc>
      </w:tr>
      <w:tr w:rsidR="00092A36" w:rsidRPr="000F1A93" w14:paraId="2541654C" w14:textId="77777777" w:rsidTr="00F9756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4989A923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12A7816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Physical activity</w:t>
            </w:r>
          </w:p>
          <w:p w14:paraId="154DABB4" w14:textId="77777777" w:rsidR="00092A36" w:rsidRPr="000F1A93" w:rsidRDefault="00092A36" w:rsidP="00F97568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Physical activity categorical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5FC0C559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  <w:p w14:paraId="015FC093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Categorical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516B87B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F1A9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  <w:t xml:space="preserve">Measured using International Physical Activity Questionnaire (short edition) 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begin"/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instrText xml:space="preserve"> ADDIN EN.CITE &lt;EndNote&gt;&lt;Cite&gt;&lt;Author&gt;Craig&lt;/Author&gt;&lt;Year&gt;2017&lt;/Year&gt;&lt;RecNum&gt;359&lt;/RecNum&gt;&lt;DisplayText&gt;(Craig&lt;style face="italic"&gt; et al.&lt;/style&gt;, 2017)&lt;/DisplayText&gt;&lt;record&gt;&lt;rec-number&gt;359&lt;/rec-number&gt;&lt;foreign-keys&gt;&lt;key app="EN" db-id="v2wts2ezosvrxiera29xt2al2dxtf5zwrp92" timestamp="1637586921" guid="c81c507b-a921-4f7e-b9ad-24a9a3cb09e1"&gt;359&lt;/key&gt;&lt;/foreign-keys&gt;&lt;ref-type name="Journal Article"&gt;17&lt;/ref-type&gt;&lt;contributors&gt;&lt;authors&gt;&lt;author&gt;Craig, C&lt;/author&gt;&lt;author&gt;Marshall, A&lt;/author&gt;&lt;author&gt;Sjostrom, M&lt;/author&gt;&lt;author&gt;Bauman, A&lt;/author&gt;&lt;author&gt;Lee, P&lt;/author&gt;&lt;author&gt;Macfarlane, D&lt;/author&gt;&lt;author&gt;Lam, T&lt;/author&gt;&lt;author&gt;Stewart, S&lt;/author&gt;&lt;/authors&gt;&lt;/contributors&gt;&lt;titles&gt;&lt;title&gt;International Physical Activity Questionnaire-Short Form&lt;/title&gt;&lt;/titles&gt;&lt;dates&gt;&lt;year&gt;2017&lt;/year&gt;&lt;/dates&gt;&lt;urls&gt;&lt;/urls&gt;&lt;/record&gt;&lt;/Cite&gt;&lt;/EndNote&gt;</w:instrTex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separate"/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 w:eastAsia="ms-MY"/>
              </w:rPr>
              <w:t>(Craig</w:t>
            </w:r>
            <w:r w:rsidRPr="000F1A9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GB" w:eastAsia="ms-MY"/>
              </w:rPr>
              <w:t xml:space="preserve"> et al.</w:t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 w:eastAsia="ms-MY"/>
              </w:rPr>
              <w:t>, 2017)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end"/>
            </w:r>
            <w:r w:rsidRPr="000F1A93">
              <w:rPr>
                <w:rFonts w:ascii="Times New Roman" w:eastAsia="Helvetica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0F1A93">
              <w:rPr>
                <w:rFonts w:ascii="Times New Roman" w:eastAsia="Helvetica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0F1A93">
              <w:rPr>
                <w:rFonts w:ascii="Times New Roman" w:eastAsia="Helvetica" w:hAnsi="Times New Roman" w:cs="Times New Roman"/>
                <w:sz w:val="22"/>
                <w:szCs w:val="22"/>
                <w:lang w:val="en-GB"/>
              </w:rPr>
              <w:instrText xml:space="preserve"> ADDIN EN.CITE &lt;EndNote&gt;&lt;Cite&gt;&lt;Author&gt;Cheng&lt;/Author&gt;&lt;Year&gt;2016&lt;/Year&gt;&lt;RecNum&gt;3978&lt;/RecNum&gt;&lt;DisplayText&gt;(Cheng, 2016)&lt;/DisplayText&gt;&lt;record&gt;&lt;rec-number&gt;3978&lt;/rec-number&gt;&lt;foreign-keys&gt;&lt;key app="EN" db-id="v2wts2ezosvrxiera29xt2al2dxtf5zwrp92" timestamp="1679897674" guid="96fb6834-80ae-4be3-8d27-f66a597d9673"&gt;3978&lt;/key&gt;&lt;/foreign-keys&gt;&lt;ref-type name="Book"&gt;6&lt;/ref-type&gt;&lt;contributors&gt;&lt;authors&gt;&lt;author&gt;Cheng, Hoi Lun&lt;/author&gt;&lt;/authors&gt;&lt;/contributors&gt;&lt;titles&gt;&lt;title&gt;A simple, easy-to-use spreadsheet for automatic scoring of the International Physical Activity Questionnaire (IPAQ) Short Form&lt;/title&gt;&lt;/titles&gt;&lt;dates&gt;&lt;year&gt;2016&lt;/year&gt;&lt;/dates&gt;&lt;urls&gt;&lt;/urls&gt;&lt;electronic-resource-num&gt;10.13140/RG.2.2.21067.80165&lt;/electronic-resource-num&gt;&lt;/record&gt;&lt;/Cite&gt;&lt;/EndNote&gt;</w:instrText>
            </w:r>
            <w:r w:rsidRPr="000F1A93">
              <w:rPr>
                <w:rFonts w:ascii="Times New Roman" w:eastAsia="Helvetica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0F1A93">
              <w:rPr>
                <w:rFonts w:ascii="Times New Roman" w:eastAsia="Helvetica" w:hAnsi="Times New Roman" w:cs="Times New Roman"/>
                <w:noProof/>
                <w:sz w:val="22"/>
                <w:szCs w:val="22"/>
                <w:lang w:val="en-GB"/>
              </w:rPr>
              <w:t>(Cheng, 2016)</w:t>
            </w:r>
            <w:r w:rsidRPr="000F1A93">
              <w:rPr>
                <w:rFonts w:ascii="Times New Roman" w:eastAsia="Helvetica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092A36" w:rsidRPr="000F1A93" w14:paraId="430DC9F5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58D7EB4D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6E6AC8E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Duration of sitting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11A94CC3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26F2936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F1A93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  <w:t>Minutes/day</w:t>
            </w:r>
          </w:p>
        </w:tc>
      </w:tr>
      <w:tr w:rsidR="00092A36" w:rsidRPr="000F1A93" w14:paraId="11CAB751" w14:textId="77777777" w:rsidTr="00F9756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0309994B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224A8B3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Smoking status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0CAB27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1B2C6927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No/yes</w:t>
            </w:r>
          </w:p>
        </w:tc>
      </w:tr>
      <w:tr w:rsidR="00092A36" w:rsidRPr="000F1A93" w14:paraId="506DEC6F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28E7501B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4CF8DFB1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Alcohol consumption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02AA78E0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60EBC83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No/yes</w:t>
            </w:r>
          </w:p>
        </w:tc>
      </w:tr>
      <w:tr w:rsidR="00092A36" w:rsidRPr="000F1A93" w14:paraId="77269556" w14:textId="77777777" w:rsidTr="00F9756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24143D1C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37792C65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Waist circumference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3EA8F4A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72BDD1CD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Centimetre</w:t>
            </w:r>
          </w:p>
        </w:tc>
      </w:tr>
      <w:tr w:rsidR="00AF3EB3" w:rsidRPr="000F1A93" w14:paraId="45C21271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6518A546" w14:textId="77777777" w:rsidR="00AF3EB3" w:rsidRPr="000F1A93" w:rsidRDefault="00AF3EB3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7D89620A" w14:textId="2BE27E37" w:rsidR="00AF3EB3" w:rsidRPr="000F1A93" w:rsidRDefault="00AF3EB3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Central obesity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1A832441" w14:textId="5CDCBCBB" w:rsidR="00AF3EB3" w:rsidRPr="000F1A93" w:rsidRDefault="00AF3EB3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Categorical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09B65CD5" w14:textId="2E56DB7B" w:rsidR="00AF3EB3" w:rsidRDefault="00AF3EB3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Male: (waist circumference &gt;= 90cm)</w:t>
            </w:r>
          </w:p>
          <w:p w14:paraId="778EA64D" w14:textId="77777777" w:rsidR="00AF3EB3" w:rsidRDefault="00AF3EB3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Female: (waist circumference &gt;= 80cm)</w:t>
            </w:r>
          </w:p>
          <w:p w14:paraId="34128697" w14:textId="527DEAE7" w:rsidR="00AF3EB3" w:rsidRPr="000F1A93" w:rsidRDefault="00AF3EB3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ADDIN EN.CITE &lt;EndNote&gt;&lt;Cite&gt;&lt;Author&gt;Lear&lt;/Author&gt;&lt;Year&gt;2010&lt;/Year&gt;&lt;RecNum&gt;4040&lt;/RecNum&gt;&lt;DisplayText&gt;(Lear&lt;style face="italic"&gt; et al.&lt;/style&gt;, 2010)&lt;/DisplayText&gt;&lt;record&gt;&lt;rec-number&gt;4040&lt;/rec-number&gt;&lt;foreign-keys&gt;&lt;key app="EN" db-id="v2wts2ezosvrxiera29xt2al2dxtf5zwrp92" timestamp="1690335073" guid="b5decff0-d1fe-4266-bb96-ab72d8cee3af"&gt;4040&lt;/key&gt;&lt;/foreign-keys&gt;&lt;ref-type name="Journal Article"&gt;17&lt;/ref-type&gt;&lt;contributors&gt;&lt;authors&gt;&lt;author&gt;Lear, S. A.&lt;/author&gt;&lt;author&gt;James, P. T.&lt;/author&gt;&lt;author&gt;Ko, G. T.&lt;/author&gt;&lt;author&gt;Kumanyika, S.&lt;/author&gt;&lt;/authors&gt;&lt;/contributors&gt;&lt;auth-address&gt;School of Kinesiology, Simon Fraser University and Division of Cardiology, University of British Columbia, Vancouver, British Columbia, Canada. slear@providencehealth.bc.ca&lt;/auth-address&gt;&lt;titles&gt;&lt;title&gt;Appropriateness of waist circumference and waist-to-hip ratio cutoffs for different ethnic groups&lt;/title&gt;&lt;secondary-title&gt;Eur J Clin Nutr&lt;/secondary-title&gt;&lt;/titles&gt;&lt;periodical&gt;&lt;full-title&gt;Eur J Clin Nutr&lt;/full-title&gt;&lt;/periodical&gt;&lt;pages&gt;42-61&lt;/pages&gt;&lt;volume&gt;64&lt;/volume&gt;&lt;number&gt;1&lt;/number&gt;&lt;edition&gt;2009/08/13&lt;/edition&gt;&lt;keywords&gt;&lt;keyword&gt;Body Composition&lt;/keyword&gt;&lt;keyword&gt;*Ethnicity&lt;/keyword&gt;&lt;keyword&gt;Global Health&lt;/keyword&gt;&lt;keyword&gt;Humans&lt;/keyword&gt;&lt;keyword&gt;Obesity, Abdominal/*ethnology&lt;/keyword&gt;&lt;keyword&gt;Reference Values&lt;/keyword&gt;&lt;keyword&gt;*Waist Circumference&lt;/keyword&gt;&lt;keyword&gt;*Waist-Hip Ratio&lt;/keyword&gt;&lt;/keywords&gt;&lt;dates&gt;&lt;year&gt;2010&lt;/year&gt;&lt;pub-dates&gt;&lt;date&gt;Jan&lt;/date&gt;&lt;/pub-dates&gt;&lt;/dates&gt;&lt;isbn&gt;0954-3007&lt;/isbn&gt;&lt;accession-num&gt;19672278&lt;/accession-num&gt;&lt;urls&gt;&lt;/urls&gt;&lt;electronic-resource-num&gt;10.1038/ejcn.2009.70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(Lear</w:t>
            </w:r>
            <w:r w:rsidRPr="00AF3EB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GB"/>
              </w:rPr>
              <w:t xml:space="preserve"> et al.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, 2010)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092A36" w:rsidRPr="000F1A93" w14:paraId="793C9BA1" w14:textId="77777777" w:rsidTr="00F975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nil"/>
            </w:tcBorders>
          </w:tcPr>
          <w:p w14:paraId="1E3C0BC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nil"/>
            </w:tcBorders>
          </w:tcPr>
          <w:p w14:paraId="009D0E7E" w14:textId="77777777" w:rsidR="00092A36" w:rsidRPr="000F1A93" w:rsidRDefault="00092A36" w:rsidP="00AF3EB3">
            <w:pPr>
              <w:tabs>
                <w:tab w:val="left" w:pos="17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Sleeping hours (weekday/weekend)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4419D8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nil"/>
              <w:bottom w:val="nil"/>
            </w:tcBorders>
          </w:tcPr>
          <w:p w14:paraId="04457F9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Hours/day</w:t>
            </w:r>
          </w:p>
        </w:tc>
      </w:tr>
      <w:tr w:rsidR="00092A36" w:rsidRPr="000F1A93" w14:paraId="7D3AF32B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single" w:sz="4" w:space="0" w:color="auto"/>
            </w:tcBorders>
          </w:tcPr>
          <w:p w14:paraId="252B7AE5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single" w:sz="4" w:space="0" w:color="auto"/>
            </w:tcBorders>
          </w:tcPr>
          <w:p w14:paraId="101667C1" w14:textId="77777777" w:rsidR="00092A36" w:rsidRPr="000F1A93" w:rsidRDefault="00092A36" w:rsidP="00AF3EB3">
            <w:pPr>
              <w:tabs>
                <w:tab w:val="left" w:pos="17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Anxiety/Depression/Stress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14:paraId="4697124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Scale</w:t>
            </w:r>
          </w:p>
        </w:tc>
        <w:tc>
          <w:tcPr>
            <w:tcW w:w="5919" w:type="dxa"/>
            <w:tcBorders>
              <w:top w:val="nil"/>
              <w:bottom w:val="single" w:sz="4" w:space="0" w:color="auto"/>
            </w:tcBorders>
          </w:tcPr>
          <w:p w14:paraId="2CA62735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Measured using DASS-21 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begin"/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instrText xml:space="preserve"> ADDIN EN.CITE &lt;EndNote&gt;&lt;Cite&gt;&lt;Author&gt;Lovibond&lt;/Author&gt;&lt;Year&gt;1996&lt;/Year&gt;&lt;RecNum&gt;401&lt;/RecNum&gt;&lt;DisplayText&gt;(Lovibond &amp;amp; Lovibond, 1996)&lt;/DisplayText&gt;&lt;record&gt;&lt;rec-number&gt;401&lt;/rec-number&gt;&lt;foreign-keys&gt;&lt;key app="EN" db-id="v2wts2ezosvrxiera29xt2al2dxtf5zwrp92" timestamp="1637587039" guid="c25f368d-236e-41df-8ff6-e709f59aea79"&gt;401&lt;/key&gt;&lt;/foreign-keys&gt;&lt;ref-type name="Book"&gt;6&lt;/ref-type&gt;&lt;contributors&gt;&lt;authors&gt;&lt;author&gt;Lovibond, Sydney H&lt;/author&gt;&lt;author&gt;Lovibond, Peter F&lt;/author&gt;&lt;/authors&gt;&lt;/contributors&gt;&lt;titles&gt;&lt;title&gt;Manual for the depression anxiety stress scales&lt;/title&gt;&lt;/titles&gt;&lt;dates&gt;&lt;year&gt;1996&lt;/year&gt;&lt;/dates&gt;&lt;publisher&gt;Psychology Foundation of Australia&lt;/publisher&gt;&lt;isbn&gt;0733414230&lt;/isbn&gt;&lt;urls&gt;&lt;/urls&gt;&lt;/record&gt;&lt;/Cite&gt;&lt;/EndNote&gt;</w:instrTex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separate"/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 w:eastAsia="ms-MY"/>
              </w:rPr>
              <w:t>(Lovibond &amp; Lovibond, 1996)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 w:eastAsia="ms-MY"/>
              </w:rPr>
              <w:fldChar w:fldCharType="end"/>
            </w:r>
          </w:p>
        </w:tc>
      </w:tr>
      <w:tr w:rsidR="00092A36" w:rsidRPr="000F1A93" w14:paraId="155350C3" w14:textId="77777777" w:rsidTr="00F97568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single" w:sz="4" w:space="0" w:color="auto"/>
              <w:bottom w:val="nil"/>
            </w:tcBorders>
          </w:tcPr>
          <w:p w14:paraId="598FAD6F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Outcomes</w:t>
            </w:r>
          </w:p>
        </w:tc>
        <w:tc>
          <w:tcPr>
            <w:tcW w:w="3944" w:type="dxa"/>
            <w:tcBorders>
              <w:top w:val="single" w:sz="4" w:space="0" w:color="auto"/>
              <w:bottom w:val="nil"/>
            </w:tcBorders>
          </w:tcPr>
          <w:p w14:paraId="77FD5C0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T2DM status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14:paraId="4DC1720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single" w:sz="4" w:space="0" w:color="auto"/>
              <w:bottom w:val="nil"/>
            </w:tcBorders>
          </w:tcPr>
          <w:p w14:paraId="11407AF2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Known and undiagnosed T2DM </w:t>
            </w:r>
          </w:p>
          <w:p w14:paraId="71B947D0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Known T2DM = clinically diagnosed</w:t>
            </w:r>
          </w:p>
          <w:p w14:paraId="6C04F5B7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Undiagnosed T2DM = undiagnosed T2DM but with fasting blood glucose exceeded 6.1 mmol/L 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ADDIN EN.CITE &lt;EndNote&gt;&lt;Cite&gt;&lt;Author&gt;Institute for Public Health&lt;/Author&gt;&lt;Year&gt;2015&lt;/Year&gt;&lt;RecNum&gt;491&lt;/RecNum&gt;&lt;DisplayText&gt;(Institute for Public Health, 2015)&lt;/DisplayText&gt;&lt;record&gt;&lt;rec-number&gt;491&lt;/rec-number&gt;&lt;foreign-keys&gt;&lt;key app="EN" db-id="v2wts2ezosvrxiera29xt2al2dxtf5zwrp92" timestamp="1637587607" guid="32f692d4-e4b1-49fc-a24e-fe46d748a842"&gt;491&lt;/key&gt;&lt;/foreign-keys&gt;&lt;ref-type name="Generic"&gt;13&lt;/ref-type&gt;&lt;contributors&gt;&lt;authors&gt;&lt;author&gt;Institute for Public Health,&lt;/author&gt;&lt;/authors&gt;&lt;/contributors&gt;&lt;titles&gt;&lt;title&gt;National Health and Morbidity Survey 2015 (NHMS 2015)&lt;/title&gt;&lt;/titles&gt;&lt;volume&gt;2&lt;/volume&gt;&lt;dates&gt;&lt;year&gt;2015&lt;/year&gt;&lt;/dates&gt;&lt;publisher&gt;Ministry of Health Malaysia Kuala Lumpur&lt;/publisher&gt;&lt;urls&gt;&lt;/urls&gt;&lt;/record&gt;&lt;/Cite&gt;&lt;/EndNote&gt;</w:instrTex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(Institute for Public Health, 2015)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092A36" w:rsidRPr="000F1A93" w14:paraId="3886F9A6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nil"/>
              <w:bottom w:val="single" w:sz="4" w:space="0" w:color="auto"/>
            </w:tcBorders>
          </w:tcPr>
          <w:p w14:paraId="384E163E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3944" w:type="dxa"/>
            <w:tcBorders>
              <w:top w:val="nil"/>
              <w:bottom w:val="single" w:sz="4" w:space="0" w:color="auto"/>
            </w:tcBorders>
          </w:tcPr>
          <w:p w14:paraId="26B8145A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IFG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14:paraId="7EF193A3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Binary</w:t>
            </w:r>
          </w:p>
        </w:tc>
        <w:tc>
          <w:tcPr>
            <w:tcW w:w="5919" w:type="dxa"/>
            <w:tcBorders>
              <w:top w:val="nil"/>
              <w:bottom w:val="single" w:sz="4" w:space="0" w:color="auto"/>
            </w:tcBorders>
          </w:tcPr>
          <w:p w14:paraId="14B9D758" w14:textId="77777777" w:rsidR="00092A36" w:rsidRPr="000F1A93" w:rsidRDefault="00092A36" w:rsidP="00F97568">
            <w:pPr>
              <w:tabs>
                <w:tab w:val="left" w:pos="173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No T2DM but with fasting blood glucose exceeded 5.6 mmol/L but lower than 6.1 mmol/L 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/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ADDIN EN.CITE &lt;EndNote&gt;&lt;Cite&gt;&lt;Author&gt;Institute for Public Health&lt;/Author&gt;&lt;Year&gt;2015&lt;/Year&gt;&lt;RecNum&gt;491&lt;/RecNum&gt;&lt;DisplayText&gt;(Institute for Public Health, 2015)&lt;/DisplayText&gt;&lt;record&gt;&lt;rec-number&gt;491&lt;/rec-number&gt;&lt;foreign-keys&gt;&lt;key app="EN" db-id="v2wts2ezosvrxiera29xt2al2dxtf5zwrp92" timestamp="1637587607" guid="32f692d4-e4b1-49fc-a24e-fe46d748a842"&gt;491&lt;/key&gt;&lt;/foreign-keys&gt;&lt;ref-type name="Generic"&gt;13&lt;/ref-type&gt;&lt;contributors&gt;&lt;authors&gt;&lt;author&gt;Institute for Public Health,&lt;/author&gt;&lt;/authors&gt;&lt;/contributors&gt;&lt;titles&gt;&lt;title&gt;National Health and Morbidity Survey 2015 (NHMS 2015)&lt;/title&gt;&lt;/titles&gt;&lt;volume&gt;2&lt;/volume&gt;&lt;dates&gt;&lt;year&gt;2015&lt;/year&gt;&lt;/dates&gt;&lt;publisher&gt;Ministry of Health Malaysia Kuala Lumpur&lt;/publisher&gt;&lt;urls&gt;&lt;/urls&gt;&lt;/record&gt;&lt;/Cite&gt;&lt;/EndNote&gt;</w:instrTex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0F1A93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(Institute for Public Health, 2015)</w:t>
            </w:r>
            <w:r w:rsidRPr="000F1A9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D24355D" w14:textId="77777777" w:rsidR="00092A36" w:rsidRPr="000F1A93" w:rsidRDefault="00092A36" w:rsidP="00092A36">
      <w:pPr>
        <w:tabs>
          <w:tab w:val="left" w:pos="11962"/>
        </w:tabs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D2AF622" w14:textId="77777777" w:rsidR="00AF3EB3" w:rsidRDefault="00AF3EB3" w:rsidP="000F1A93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br w:type="page"/>
      </w:r>
    </w:p>
    <w:p w14:paraId="00D554A0" w14:textId="5C622B7B" w:rsidR="00D327E6" w:rsidRPr="00952244" w:rsidRDefault="00D327E6" w:rsidP="00AF3EB3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952244">
        <w:rPr>
          <w:rFonts w:ascii="Times New Roman" w:hAnsi="Times New Roman" w:cs="Times New Roman"/>
          <w:b/>
          <w:bCs/>
          <w:lang w:val="en-GB"/>
        </w:rPr>
        <w:lastRenderedPageBreak/>
        <w:t>References</w:t>
      </w:r>
    </w:p>
    <w:p w14:paraId="734FB2C6" w14:textId="321F7D09" w:rsidR="00AF3EB3" w:rsidRPr="00952244" w:rsidRDefault="00D327E6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color w:val="000000" w:themeColor="text1"/>
          <w:lang w:val="en-GB"/>
        </w:rPr>
        <w:fldChar w:fldCharType="begin"/>
      </w:r>
      <w:r w:rsidRPr="00952244">
        <w:rPr>
          <w:rFonts w:ascii="Times New Roman" w:hAnsi="Times New Roman" w:cs="Times New Roman"/>
          <w:color w:val="000000" w:themeColor="text1"/>
          <w:lang w:val="en-GB"/>
        </w:rPr>
        <w:instrText xml:space="preserve"> ADDIN EN.REFLIST </w:instrText>
      </w:r>
      <w:r w:rsidRPr="00952244">
        <w:rPr>
          <w:rFonts w:ascii="Times New Roman" w:hAnsi="Times New Roman" w:cs="Times New Roman"/>
          <w:color w:val="000000" w:themeColor="text1"/>
          <w:lang w:val="en-GB"/>
        </w:rPr>
        <w:fldChar w:fldCharType="separate"/>
      </w:r>
      <w:r w:rsidR="00AF3EB3" w:rsidRPr="00952244">
        <w:rPr>
          <w:rFonts w:ascii="Times New Roman" w:hAnsi="Times New Roman" w:cs="Times New Roman"/>
          <w:noProof/>
          <w:color w:val="000000" w:themeColor="text1"/>
        </w:rPr>
        <w:t xml:space="preserve">Ahmad, J., Wahab, S., Hamid, A., &amp; Pardi, M. (2012). Malaysian Food Pyramid.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 xml:space="preserve">Retrieved from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>http://www.myhealth.gov.my/en/malaysian-food-pyramid-2/</w:t>
      </w:r>
    </w:p>
    <w:p w14:paraId="7D84632E" w14:textId="5D946C01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Cheng, H. L. (2016). </w:t>
      </w:r>
      <w:r w:rsidRPr="00952244">
        <w:rPr>
          <w:rFonts w:ascii="Times New Roman" w:hAnsi="Times New Roman" w:cs="Times New Roman"/>
          <w:i/>
          <w:noProof/>
          <w:color w:val="000000" w:themeColor="text1"/>
        </w:rPr>
        <w:t>A simple, easy-to-use spreadsheet for automatic scoring of the International Physical Activity Questionnaire (IPAQ) Short Form</w:t>
      </w:r>
      <w:r w:rsidRPr="00952244">
        <w:rPr>
          <w:rFonts w:ascii="Times New Roman" w:hAnsi="Times New Roman" w:cs="Times New Roman"/>
          <w:noProof/>
          <w:color w:val="000000" w:themeColor="text1"/>
        </w:rPr>
        <w:t>.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 xml:space="preserve"> Retrieved from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>https://www.researchgate.net/publication/310953872_A_simple_easy-to-use_spreadsheet_for_automatic_scoring_of_the_International_Physical_Activity_Questionnaire_IPAQ_Short_Form?channel=doi&amp;linkId=583bbee208ae3a74b4a06f27&amp;showFulltext=true</w:t>
      </w:r>
    </w:p>
    <w:p w14:paraId="015896AF" w14:textId="7A06D056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Craig, C., Marshall, A., Sjostrom, M., Bauman, A., Lee, P., Macfarlane, D., . . . Stewart, S. (2017). International Physical Activity Questionnaire-Short Form.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 xml:space="preserve">Retrieved from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>https://youthrex.com/wp-content/uploads/2019/10/IPAQ-TM.pdf</w:t>
      </w:r>
    </w:p>
    <w:p w14:paraId="074632E5" w14:textId="48439EA4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>Institute for Public Health. (2015). National Health and Morbidity Survey 2015 (NHMS 2015). In (Vol. 2): Ministry of Health Malaysia Kuala Lumpur.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 xml:space="preserve"> Retrieved from </w:t>
      </w:r>
      <w:r w:rsidR="00952244" w:rsidRPr="00952244">
        <w:rPr>
          <w:rFonts w:ascii="Times New Roman" w:hAnsi="Times New Roman" w:cs="Times New Roman"/>
          <w:noProof/>
          <w:color w:val="000000" w:themeColor="text1"/>
        </w:rPr>
        <w:t>https://iku.gov.my/images/IKU/Document/REPORT/nhmsreport2015vol2.pdf</w:t>
      </w:r>
    </w:p>
    <w:p w14:paraId="4DD71C69" w14:textId="77CA7ACE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Lear, S. A., James, P. T., Ko, G. T., &amp; Kumanyika, S. (2010). Appropriateness of waist circumference and waist-to-hip ratio cutoffs for different ethnic groups. </w:t>
      </w:r>
      <w:r w:rsidR="00952244" w:rsidRPr="00952244">
        <w:rPr>
          <w:rFonts w:ascii="Times New Roman" w:hAnsi="Times New Roman" w:cs="Times New Roman"/>
          <w:i/>
          <w:noProof/>
          <w:color w:val="000000" w:themeColor="text1"/>
        </w:rPr>
        <w:t>European Journal of Clinical Nutrition</w:t>
      </w:r>
      <w:r w:rsidRPr="00952244">
        <w:rPr>
          <w:rFonts w:ascii="Times New Roman" w:hAnsi="Times New Roman" w:cs="Times New Roman"/>
          <w:i/>
          <w:noProof/>
          <w:color w:val="000000" w:themeColor="text1"/>
        </w:rPr>
        <w:t>, 64</w:t>
      </w:r>
      <w:r w:rsidRPr="00952244">
        <w:rPr>
          <w:rFonts w:ascii="Times New Roman" w:hAnsi="Times New Roman" w:cs="Times New Roman"/>
          <w:noProof/>
          <w:color w:val="000000" w:themeColor="text1"/>
        </w:rPr>
        <w:t>(1), 42-61. doi:10.1038/ejcn.2009.70</w:t>
      </w:r>
    </w:p>
    <w:p w14:paraId="3B763DC7" w14:textId="659107D7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Lovibond, S. H., &amp; Lovibond, P. F. (1996). </w:t>
      </w:r>
      <w:r w:rsidRPr="00952244">
        <w:rPr>
          <w:rFonts w:ascii="Times New Roman" w:hAnsi="Times New Roman" w:cs="Times New Roman"/>
          <w:i/>
          <w:noProof/>
          <w:color w:val="000000" w:themeColor="text1"/>
        </w:rPr>
        <w:t>Manual for the depression anxiety stress scales</w:t>
      </w:r>
      <w:r w:rsidRPr="00952244">
        <w:rPr>
          <w:rFonts w:ascii="Times New Roman" w:hAnsi="Times New Roman" w:cs="Times New Roman"/>
          <w:noProof/>
          <w:color w:val="000000" w:themeColor="text1"/>
        </w:rPr>
        <w:t>: Psychology Foundation of Australia.</w:t>
      </w:r>
    </w:p>
    <w:p w14:paraId="4C7537AA" w14:textId="0AD320D2" w:rsidR="00AF3EB3" w:rsidRPr="00952244" w:rsidRDefault="00AF3EB3" w:rsidP="00AF3EB3">
      <w:pPr>
        <w:pStyle w:val="EndNoteBibliography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Nutritional Department Ministry of Health Malaysia. (2020). </w:t>
      </w:r>
      <w:r w:rsidRPr="00952244">
        <w:rPr>
          <w:rFonts w:ascii="Times New Roman" w:hAnsi="Times New Roman" w:cs="Times New Roman"/>
          <w:i/>
          <w:noProof/>
          <w:color w:val="000000" w:themeColor="text1"/>
        </w:rPr>
        <w:t>"Piramid Makanan Malaysia 2020 – Mendidik Rakyat Mengambil Makanan Dengan Betul"</w:t>
      </w:r>
      <w:r w:rsidRPr="00952244">
        <w:rPr>
          <w:rFonts w:ascii="Times New Roman" w:hAnsi="Times New Roman" w:cs="Times New Roman"/>
          <w:noProof/>
          <w:color w:val="000000" w:themeColor="text1"/>
        </w:rPr>
        <w:t xml:space="preserve">.  Retrieved from </w:t>
      </w:r>
      <w:hyperlink r:id="rId5" w:history="1">
        <w:r w:rsidRPr="00952244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https://nutrition.moh.gov.my/en/piramid-makanan-malaysia-2020-mendidik-rakyat-mengambil-makanan-dengan-betul/</w:t>
        </w:r>
      </w:hyperlink>
    </w:p>
    <w:p w14:paraId="52433354" w14:textId="495E9489" w:rsidR="00811B73" w:rsidRPr="00AF3EB3" w:rsidRDefault="00D327E6" w:rsidP="00AF3EB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952244">
        <w:rPr>
          <w:rFonts w:ascii="Times New Roman" w:hAnsi="Times New Roman" w:cs="Times New Roman"/>
          <w:color w:val="000000" w:themeColor="text1"/>
          <w:lang w:val="en-GB"/>
        </w:rPr>
        <w:fldChar w:fldCharType="end"/>
      </w:r>
    </w:p>
    <w:sectPr w:rsidR="00811B73" w:rsidRPr="00AF3EB3" w:rsidSect="00092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3782"/>
    <w:multiLevelType w:val="hybridMultilevel"/>
    <w:tmpl w:val="7168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 UM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wts2ezosvrxiera29xt2al2dxtf5zwrp92&quot;&gt;My EndNote Library&lt;record-ids&gt;&lt;item&gt;151&lt;/item&gt;&lt;item&gt;359&lt;/item&gt;&lt;item&gt;401&lt;/item&gt;&lt;item&gt;483&lt;/item&gt;&lt;item&gt;491&lt;/item&gt;&lt;item&gt;3978&lt;/item&gt;&lt;item&gt;4040&lt;/item&gt;&lt;/record-ids&gt;&lt;/item&gt;&lt;/Libraries&gt;"/>
  </w:docVars>
  <w:rsids>
    <w:rsidRoot w:val="00092A36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2A36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1A93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3D7C"/>
    <w:rsid w:val="0015406C"/>
    <w:rsid w:val="0015578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91912"/>
    <w:rsid w:val="00392C6F"/>
    <w:rsid w:val="003A1A2D"/>
    <w:rsid w:val="003A25A9"/>
    <w:rsid w:val="003B1D10"/>
    <w:rsid w:val="003B5B79"/>
    <w:rsid w:val="003B5C8A"/>
    <w:rsid w:val="003B658E"/>
    <w:rsid w:val="003C0818"/>
    <w:rsid w:val="003C7DF9"/>
    <w:rsid w:val="003D7944"/>
    <w:rsid w:val="003E5AC2"/>
    <w:rsid w:val="003F06BB"/>
    <w:rsid w:val="00410EB4"/>
    <w:rsid w:val="004120B6"/>
    <w:rsid w:val="00421C57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6A5F"/>
    <w:rsid w:val="00937E0E"/>
    <w:rsid w:val="00940178"/>
    <w:rsid w:val="0094795D"/>
    <w:rsid w:val="00947F6D"/>
    <w:rsid w:val="00951D79"/>
    <w:rsid w:val="00952244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EB3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268D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27E6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412"/>
    <w:rsid w:val="00F51D93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0E24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CE1F6"/>
  <w15:chartTrackingRefBased/>
  <w15:docId w15:val="{98695320-9280-E543-B94F-8F538452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092A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327E6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27E6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D327E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327E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32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trition.moh.gov.my/en/piramid-makanan-malaysia-2020-mendidik-rakyat-mengambil-makanan-dengan-betu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7</cp:revision>
  <dcterms:created xsi:type="dcterms:W3CDTF">2023-07-17T23:13:00Z</dcterms:created>
  <dcterms:modified xsi:type="dcterms:W3CDTF">2023-07-26T03:21:00Z</dcterms:modified>
</cp:coreProperties>
</file>