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lang w:eastAsia="zh-CN"/>
        </w:rPr>
        <w:drawing>
          <wp:inline distT="0" distB="0" distL="114300" distR="114300">
            <wp:extent cx="5269865" cy="4274185"/>
            <wp:effectExtent l="0" t="0" r="3175" b="8255"/>
            <wp:docPr id="9" name="图片 9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 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 xml:space="preserve">Figure S1. Differential landscape of somatic mutation burden between high and low ARGs score levels. (A) </w:t>
      </w:r>
      <w:r>
        <w:rPr>
          <w:rFonts w:hint="eastAsia" w:ascii="Times New Roman" w:hAnsi="Times New Roman" w:cs="Times New Roman"/>
          <w:sz w:val="24"/>
        </w:rPr>
        <w:t xml:space="preserve">The mutational landscape reflected that mutated events occurred more frequently in high ARGs-score samples than that in low group. Besides, the Chi-square test revealed that TP53, KMT2D, FOXA1 and PTEN especially harbored more mutants compared with that in group with low risk ARGs scores. </w:t>
      </w:r>
      <w:r>
        <w:rPr>
          <w:rFonts w:hint="eastAsia" w:ascii="Times New Roman" w:hAnsi="Times New Roman" w:cs="Times New Roman"/>
          <w:b/>
          <w:bCs/>
          <w:sz w:val="24"/>
        </w:rPr>
        <w:t>(B)</w:t>
      </w:r>
      <w:r>
        <w:rPr>
          <w:rFonts w:hint="eastAsia" w:ascii="Times New Roman" w:hAnsi="Times New Roman" w:cs="Times New Roman"/>
          <w:sz w:val="24"/>
        </w:rPr>
        <w:t xml:space="preserve"> Scatter plot exhibiting the associations between ARGs scores and TMB levels. </w:t>
      </w:r>
      <w:r>
        <w:rPr>
          <w:rFonts w:hint="eastAsia" w:ascii="Times New Roman" w:hAnsi="Times New Roman" w:cs="Times New Roman"/>
          <w:b/>
          <w:bCs/>
          <w:sz w:val="24"/>
        </w:rPr>
        <w:t xml:space="preserve">(C) </w:t>
      </w:r>
      <w:r>
        <w:rPr>
          <w:rFonts w:hint="eastAsia" w:ascii="Times New Roman" w:hAnsi="Times New Roman" w:cs="Times New Roman"/>
          <w:sz w:val="24"/>
        </w:rPr>
        <w:t xml:space="preserve">Kaplan-Meier analysis indicating the differential PFS survival outcomes between TMB-high and TMB-low groups.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2022-08-15T16:30:41Z</dcterms:created>
  <dc:creator>Administrator</dc:creator>
  <cp:lastModifiedBy>医介小卒</cp:lastModifiedBy>
  <dcterms:modified xsi:type="dcterms:W3CDTF">2022-08-15T16:30:43Z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