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imes New Roman"/>
          <w:b/>
          <w:sz w:val="20"/>
          <w:szCs w:val="20"/>
          <w:lang w:eastAsia="en-GB"/>
        </w:rPr>
      </w:pPr>
      <w:r>
        <w:rPr>
          <w:rFonts w:eastAsia="Times New Roman"/>
          <w:b/>
          <w:sz w:val="20"/>
          <w:szCs w:val="20"/>
          <w:lang w:eastAsia="en-GB"/>
        </w:rPr>
        <w:t>STROBE-MR checklist of recommended items to address in reports of Mendelian randomization studies</w:t>
      </w:r>
      <w:r>
        <w:rPr>
          <w:rFonts w:eastAsia="Times New Roman"/>
          <w:b/>
          <w:sz w:val="20"/>
          <w:szCs w:val="20"/>
          <w:lang w:eastAsia="en-GB"/>
        </w:rPr>
        <w:fldChar w:fldCharType="begin" w:fldLock="1"/>
      </w:r>
      <w:r>
        <w:rPr>
          <w:rFonts w:eastAsia="Times New Roman"/>
          <w:b/>
          <w:sz w:val="20"/>
          <w:szCs w:val="20"/>
          <w:lang w:eastAsia="en-GB"/>
        </w:rPr>
        <w:instrText xml:space="preserve">ADDIN CSL_CITATION {"citationItems":[{"id":"ITEM-1","itemData":{"author":[{"dropping-particle":"","family":"Skrivankova","given":"V W","non-dropping-particle":"","parse-names":false,"suffix":""},{"dropping-particle":"","family":"Richmond","given":"R C","non-dropping-particle":"","parse-names":false,"suffix":""},{"dropping-particle":"","family":"Woolf","given":"B A R","non-dropping-particle":"","parse-names":false,"suffix":""},{"dropping-particle":"","family":"Yarmolinsky","given":"J","non-dropping-particle":"","parse-names":false,"suffix":""},{"dropping-particle":"","family":"Davies","given":"N M","non-dropping-particle":"","parse-names":false,"suffix":""},{"dropping-particle":"","family":"Swanson","given":"S A","non-dropping-particle":"","parse-names":false,"suffix":""},{"dropping-particle":"","family":"VanderWeele","given":"T J","non-dropping-particle":"","parse-names":false,"suffix":""},{"dropping-particle":"","family":"Higgins","given":"J P H","non-dropping-particle":"","parse-names":false,"suffix":""},{"dropping-particle":"","family":"Timpson","given":"N J","non-dropping-particle":"","parse-names":false,"suffix":""},{"dropping-particle":"","family":"Dimou","given":"N","non-dropping-particle":"","parse-names":false,"suffix":""},{"dropping-particle":"","family":"Langenberg","given":"C","non-dropping-particle":"","parse-names":false,"suffix":""},{"dropping-particle":"","family":"Loder","given":"E W","non-dropping-particle":"","parse-names":false,"suffix":""},{"dropping-particle":"","family":"Golub","given":"R","non-dropping-particle":"","parse-names":false,"suffix":""},{"dropping-particle":"","family":"Gallo","given":"V","non-dropping-particle":"","parse-names":false,"suffix":""},{"dropping-particle":"","family":"Tybjaerg-Hansen","given":"A","non-dropping-particle":"","parse-names":false,"suffix":""},{"dropping-particle":"","family":"Davey Smith","given":"G","non-dropping-particle":"","parse-names":false,"suffix":""},{"dropping-particle":"","family":"Egger","given":"M","non-dropping-particle":"","parse-names":false,"suffix":""},{"dropping-particle":"","family":"Richards","given":"J B","non-dropping-particle":"","parse-names":false,"suffix":""}],"container-title":"JAMA","id":"ITEM-1","issued":{"date-parts":[["2021"]]},"page":"under review","title":"Strengthening the Reporting of Observational Studies in Epidemiology using Mendelian Randomization (STROBE-MR) Statement","type":"article-journal"},"uris":["http://www.mendeley.com/documents/?uuid=29dd9aa2-14fd-450b-83fb-4c6b74b75061"]}],"mendeley":{"formattedCitation":"&lt;sup&gt;1&lt;/sup&gt;","plainTextFormattedCitation":"1"},"properties":{"noteIndex":0},"schema":"https://github.com/citation-style-language/schema/raw/master/csl-citation.json"}</w:instrText>
      </w:r>
      <w:r>
        <w:rPr>
          <w:rFonts w:eastAsia="Times New Roman"/>
          <w:b/>
          <w:sz w:val="20"/>
          <w:szCs w:val="20"/>
          <w:lang w:eastAsia="en-GB"/>
        </w:rPr>
        <w:fldChar w:fldCharType="separate"/>
      </w:r>
      <w:r>
        <w:rPr>
          <w:rFonts w:eastAsia="Times New Roman"/>
          <w:sz w:val="20"/>
          <w:szCs w:val="20"/>
          <w:vertAlign w:val="superscript"/>
          <w:lang w:eastAsia="en-GB"/>
        </w:rPr>
        <w:t>1</w:t>
      </w:r>
      <w:r>
        <w:rPr>
          <w:rFonts w:eastAsia="Times New Roman"/>
          <w:b/>
          <w:sz w:val="20"/>
          <w:szCs w:val="20"/>
          <w:lang w:eastAsia="en-GB"/>
        </w:rPr>
        <w:fldChar w:fldCharType="end"/>
      </w:r>
      <w:r>
        <w:rPr>
          <w:rFonts w:eastAsia="Times New Roman"/>
          <w:b/>
          <w:sz w:val="20"/>
          <w:szCs w:val="20"/>
          <w:lang w:eastAsia="en-GB"/>
        </w:rPr>
        <w:t xml:space="preserve"> </w:t>
      </w:r>
      <w:r>
        <w:rPr>
          <w:rFonts w:eastAsia="Times New Roman"/>
          <w:b/>
          <w:sz w:val="20"/>
          <w:szCs w:val="20"/>
          <w:lang w:eastAsia="en-GB"/>
        </w:rPr>
        <w:fldChar w:fldCharType="begin" w:fldLock="1"/>
      </w:r>
      <w:r>
        <w:rPr>
          <w:rFonts w:eastAsia="Times New Roman"/>
          <w:b/>
          <w:sz w:val="20"/>
          <w:szCs w:val="20"/>
          <w:lang w:eastAsia="en-GB"/>
        </w:rPr>
        <w:instrText xml:space="preserve">ADDIN CSL_CITATION {"citationItems":[{"id":"ITEM-1","itemData":{"author":[{"dropping-particle":"","family":"Skrivankova","given":"Veronika W","non-dropping-particle":"","parse-names":false,"suffix":""},{"dropping-particle":"","family":"Richmond","given":"Rebecca C","non-dropping-particle":"","parse-names":false,"suffix":""},{"dropping-particle":"","family":"Woolf","given":"Benjamin A R","non-dropping-particle":"","parse-names":false,"suffix":""},{"dropping-particle":"","family":"Davies","given":"Neil M","non-dropping-particle":"","parse-names":false,"suffix":""},{"dropping-particle":"","family":"Swanson","given":"Sonja A","non-dropping-particle":"","parse-names":false,"suffix":""},{"dropping-particle":"","family":"VanderWeele","given":"Tyler J","non-dropping-particle":"","parse-names":false,"suffix":""},{"dropping-particle":"","family":"Timpson","given":"Nicholas J","non-dropping-particle":"","parse-names":false,"suffix":""},{"dropping-particle":"","family":"Higgins","given":"Julian P T","non-dropping-particle":"","parse-names":false,"suffix":""},{"dropping-particle":"","family":"Dimou","given":"Niki","non-dropping-particle":"","parse-names":false,"suffix":""},{"dropping-particle":"","family":"Langenberg","given":"Claudia","non-dropping-particle":"","parse-names":false,"suffix":""},{"dropping-particle":"","family":"Loder","given":"Elizabeth W","non-dropping-particle":"","parse-names":false,"suffix":""},{"dropping-particle":"","family":"Golub","given":"Robert M","non-dropping-particle":"","parse-names":false,"suffix":""},{"dropping-particle":"","family":"Egger","given":"Mathias","non-dropping-particle":"","parse-names":false,"suffix":""},{"dropping-particle":"","family":"Davey Smith","given":"George","non-dropping-particle":"","parse-names":false,"suffix":""},{"dropping-particle":"","family":"Richards","given":"J Brent","non-dropping-particle":"","parse-names":false,"suffix":""}],"container-title":"BMJ","id":"ITEM-1","issued":{"date-parts":[["2021"]]},"title":"Strengthening the Reporting of Observational Studies in Epidemiology using Mendelian Randomisation (STROBE-MR): Explanation and Elaboration","type":"article-journal","volume":"375:n2233"},"uris":["http://www.mendeley.com/documents/?uuid=af64eb33-5308-4d72-bd7e-6fe0d8fe3570"]}],"mendeley":{"formattedCitation":"&lt;sup&gt;2&lt;/sup&gt;","plainTextFormattedCitation":"2","previouslyFormattedCitation":"&lt;sup&gt;1&lt;/sup&gt;"},"properties":{"noteIndex":0},"schema":"https://github.com/citation-style-language/schema/raw/master/csl-citation.json"}</w:instrText>
      </w:r>
      <w:r>
        <w:rPr>
          <w:rFonts w:eastAsia="Times New Roman"/>
          <w:b/>
          <w:sz w:val="20"/>
          <w:szCs w:val="20"/>
          <w:lang w:eastAsia="en-GB"/>
        </w:rPr>
        <w:fldChar w:fldCharType="separate"/>
      </w:r>
      <w:r>
        <w:rPr>
          <w:rFonts w:eastAsia="Times New Roman"/>
          <w:sz w:val="20"/>
          <w:szCs w:val="20"/>
          <w:vertAlign w:val="superscript"/>
          <w:lang w:eastAsia="en-GB"/>
        </w:rPr>
        <w:t>2</w:t>
      </w:r>
      <w:r>
        <w:rPr>
          <w:rFonts w:eastAsia="Times New Roman"/>
          <w:b/>
          <w:sz w:val="20"/>
          <w:szCs w:val="20"/>
          <w:lang w:eastAsia="en-GB"/>
        </w:rPr>
        <w:fldChar w:fldCharType="end"/>
      </w:r>
      <w:r>
        <w:rPr>
          <w:rFonts w:eastAsia="Times New Roman"/>
          <w:b/>
          <w:sz w:val="20"/>
          <w:szCs w:val="20"/>
          <w:lang w:eastAsia="en-GB"/>
        </w:rPr>
        <w:t> </w:t>
      </w:r>
    </w:p>
    <w:p>
      <w:pPr>
        <w:rPr>
          <w:rFonts w:eastAsia="Times New Roman"/>
          <w:b/>
          <w:sz w:val="20"/>
          <w:szCs w:val="20"/>
          <w:lang w:eastAsia="en-GB"/>
        </w:rPr>
      </w:pPr>
    </w:p>
    <w:tbl>
      <w:tblPr>
        <w:tblStyle w:val="3"/>
        <w:tblW w:w="14490" w:type="dxa"/>
        <w:tblInd w:w="0" w:type="dxa"/>
        <w:tblLayout w:type="autofit"/>
        <w:tblCellMar>
          <w:top w:w="0" w:type="dxa"/>
          <w:left w:w="108" w:type="dxa"/>
          <w:bottom w:w="0" w:type="dxa"/>
          <w:right w:w="108" w:type="dxa"/>
        </w:tblCellMar>
      </w:tblPr>
      <w:tblGrid>
        <w:gridCol w:w="587"/>
        <w:gridCol w:w="1822"/>
        <w:gridCol w:w="7041"/>
        <w:gridCol w:w="720"/>
        <w:gridCol w:w="4320"/>
      </w:tblGrid>
      <w:tr>
        <w:tblPrEx>
          <w:tblCellMar>
            <w:top w:w="0" w:type="dxa"/>
            <w:left w:w="108" w:type="dxa"/>
            <w:bottom w:w="0" w:type="dxa"/>
            <w:right w:w="108" w:type="dxa"/>
          </w:tblCellMar>
        </w:tblPrEx>
        <w:tc>
          <w:tcPr>
            <w:tcW w:w="587" w:type="dxa"/>
            <w:tcBorders>
              <w:top w:val="single" w:color="auto" w:sz="4" w:space="0"/>
              <w:bottom w:val="single" w:color="7F7F7F" w:sz="6" w:space="0"/>
            </w:tcBorders>
            <w:shd w:val="clear" w:color="auto" w:fill="auto"/>
          </w:tcPr>
          <w:p>
            <w:pPr>
              <w:spacing w:before="96" w:beforeLines="40" w:after="96" w:afterLines="40" w:line="24" w:lineRule="atLeast"/>
              <w:rPr>
                <w:rFonts w:eastAsia="Cambria"/>
                <w:b/>
                <w:bCs/>
                <w:sz w:val="18"/>
                <w:szCs w:val="18"/>
                <w:lang w:val="en-GB" w:eastAsia="en-US"/>
              </w:rPr>
            </w:pPr>
            <w:r>
              <w:rPr>
                <w:rFonts w:eastAsia="Cambria"/>
                <w:b/>
                <w:bCs/>
                <w:sz w:val="18"/>
                <w:szCs w:val="18"/>
                <w:lang w:val="en-GB" w:eastAsia="en-US"/>
              </w:rPr>
              <w:t>Item No.</w:t>
            </w:r>
          </w:p>
        </w:tc>
        <w:tc>
          <w:tcPr>
            <w:tcW w:w="1822" w:type="dxa"/>
            <w:tcBorders>
              <w:top w:val="single" w:color="auto" w:sz="4" w:space="0"/>
              <w:bottom w:val="single" w:color="7F7F7F" w:sz="6" w:space="0"/>
            </w:tcBorders>
            <w:shd w:val="clear" w:color="auto" w:fill="auto"/>
          </w:tcPr>
          <w:p>
            <w:pPr>
              <w:spacing w:before="96" w:beforeLines="40" w:after="96" w:afterLines="40" w:line="24" w:lineRule="atLeast"/>
              <w:rPr>
                <w:rFonts w:eastAsia="Cambria"/>
                <w:b/>
                <w:bCs/>
                <w:sz w:val="18"/>
                <w:szCs w:val="18"/>
                <w:lang w:val="en-GB" w:eastAsia="en-US"/>
              </w:rPr>
            </w:pPr>
            <w:r>
              <w:rPr>
                <w:rFonts w:eastAsia="Cambria"/>
                <w:b/>
                <w:bCs/>
                <w:sz w:val="18"/>
                <w:szCs w:val="18"/>
                <w:lang w:val="en-GB" w:eastAsia="en-US"/>
              </w:rPr>
              <w:t>Section</w:t>
            </w:r>
          </w:p>
        </w:tc>
        <w:tc>
          <w:tcPr>
            <w:tcW w:w="7041" w:type="dxa"/>
            <w:tcBorders>
              <w:top w:val="single" w:color="auto" w:sz="4" w:space="0"/>
              <w:bottom w:val="single" w:color="7F7F7F" w:sz="6" w:space="0"/>
            </w:tcBorders>
            <w:shd w:val="clear" w:color="auto" w:fill="auto"/>
          </w:tcPr>
          <w:p>
            <w:pPr>
              <w:spacing w:before="96" w:beforeLines="40" w:after="96" w:afterLines="40" w:line="24" w:lineRule="atLeast"/>
              <w:rPr>
                <w:rFonts w:eastAsia="Cambria"/>
                <w:b/>
                <w:bCs/>
                <w:sz w:val="18"/>
                <w:szCs w:val="18"/>
                <w:lang w:val="en-GB" w:eastAsia="en-US"/>
              </w:rPr>
            </w:pPr>
            <w:r>
              <w:rPr>
                <w:rFonts w:eastAsia="Cambria"/>
                <w:b/>
                <w:bCs/>
                <w:sz w:val="18"/>
                <w:szCs w:val="18"/>
                <w:lang w:val="en-GB" w:eastAsia="en-US"/>
              </w:rPr>
              <w:t xml:space="preserve">Checklist item </w:t>
            </w:r>
          </w:p>
        </w:tc>
        <w:tc>
          <w:tcPr>
            <w:tcW w:w="720" w:type="dxa"/>
            <w:tcBorders>
              <w:top w:val="single" w:color="auto" w:sz="4" w:space="0"/>
              <w:bottom w:val="single" w:color="7F7F7F" w:sz="6" w:space="0"/>
            </w:tcBorders>
          </w:tcPr>
          <w:p>
            <w:pPr>
              <w:spacing w:before="96" w:beforeLines="40" w:after="96" w:afterLines="40" w:line="24" w:lineRule="atLeast"/>
              <w:rPr>
                <w:rFonts w:eastAsia="Cambria"/>
                <w:b/>
                <w:bCs/>
                <w:sz w:val="18"/>
                <w:szCs w:val="18"/>
                <w:lang w:val="en-GB" w:eastAsia="en-US"/>
              </w:rPr>
            </w:pPr>
            <w:r>
              <w:rPr>
                <w:rFonts w:eastAsia="Cambria"/>
                <w:b/>
                <w:bCs/>
                <w:sz w:val="18"/>
                <w:szCs w:val="18"/>
                <w:lang w:val="en-GB" w:eastAsia="en-US"/>
              </w:rPr>
              <w:t>Page No.</w:t>
            </w:r>
          </w:p>
        </w:tc>
        <w:tc>
          <w:tcPr>
            <w:tcW w:w="4320" w:type="dxa"/>
            <w:tcBorders>
              <w:top w:val="single" w:color="auto" w:sz="4" w:space="0"/>
              <w:bottom w:val="single" w:color="7F7F7F" w:sz="6" w:space="0"/>
            </w:tcBorders>
          </w:tcPr>
          <w:p>
            <w:pPr>
              <w:spacing w:before="96" w:beforeLines="40" w:after="96" w:afterLines="40" w:line="24" w:lineRule="atLeast"/>
              <w:rPr>
                <w:rFonts w:eastAsia="Cambria"/>
                <w:b/>
                <w:bCs/>
                <w:sz w:val="18"/>
                <w:szCs w:val="18"/>
                <w:lang w:val="en-GB" w:eastAsia="en-US"/>
              </w:rPr>
            </w:pPr>
            <w:r>
              <w:rPr>
                <w:rFonts w:eastAsia="Cambria"/>
                <w:b/>
                <w:bCs/>
                <w:sz w:val="18"/>
                <w:szCs w:val="18"/>
                <w:lang w:val="en-GB" w:eastAsia="en-US"/>
              </w:rPr>
              <w:t>Relevant text from manuscript</w:t>
            </w:r>
          </w:p>
        </w:tc>
      </w:tr>
      <w:tr>
        <w:tblPrEx>
          <w:tblCellMar>
            <w:top w:w="0" w:type="dxa"/>
            <w:left w:w="108" w:type="dxa"/>
            <w:bottom w:w="0" w:type="dxa"/>
            <w:right w:w="108" w:type="dxa"/>
          </w:tblCellMar>
        </w:tblPrEx>
        <w:tc>
          <w:tcPr>
            <w:tcW w:w="587" w:type="dxa"/>
            <w:tcBorders>
              <w:top w:val="single" w:color="7F7F7F" w:sz="6" w:space="0"/>
              <w:bottom w:val="single" w:color="7F7F7F" w:sz="6" w:space="0"/>
            </w:tcBorders>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w:t>
            </w:r>
          </w:p>
        </w:tc>
        <w:tc>
          <w:tcPr>
            <w:tcW w:w="1822" w:type="dxa"/>
            <w:tcBorders>
              <w:top w:val="single" w:color="7F7F7F" w:sz="6" w:space="0"/>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TITLE and ABSTRACT</w:t>
            </w:r>
          </w:p>
        </w:tc>
        <w:tc>
          <w:tcPr>
            <w:tcW w:w="7041" w:type="dxa"/>
            <w:tcBorders>
              <w:top w:val="single" w:color="7F7F7F" w:sz="6" w:space="0"/>
              <w:bottom w:val="single" w:color="7F7F7F" w:sz="6" w:space="0"/>
            </w:tcBorders>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Indicate Mendelian randomization (MR) as the study’s design in the title and/or the abstract if that is a main purpose of the study</w:t>
            </w:r>
          </w:p>
        </w:tc>
        <w:tc>
          <w:tcPr>
            <w:tcW w:w="720" w:type="dxa"/>
            <w:tcBorders>
              <w:top w:val="single" w:color="7F7F7F" w:sz="6" w:space="0"/>
              <w:bottom w:val="single" w:color="7F7F7F" w:sz="6" w:space="0"/>
            </w:tcBorders>
            <w:shd w:val="clear" w:color="auto" w:fill="EEEEEE"/>
          </w:tcPr>
          <w:p>
            <w:pPr>
              <w:spacing w:before="96" w:beforeLines="40" w:after="96" w:afterLines="40" w:line="24" w:lineRule="atLeast"/>
              <w:rPr>
                <w:rFonts w:eastAsia="宋体"/>
                <w:sz w:val="18"/>
                <w:szCs w:val="18"/>
                <w:lang w:val="en-US" w:eastAsia="zh-CN"/>
              </w:rPr>
            </w:pPr>
            <w:r>
              <w:rPr>
                <w:rFonts w:hint="eastAsia" w:eastAsia="宋体"/>
                <w:sz w:val="18"/>
                <w:szCs w:val="18"/>
                <w:lang w:val="en-US" w:eastAsia="zh-CN"/>
              </w:rPr>
              <w:t>1</w:t>
            </w:r>
          </w:p>
        </w:tc>
        <w:tc>
          <w:tcPr>
            <w:tcW w:w="4320" w:type="dxa"/>
            <w:tcBorders>
              <w:top w:val="single" w:color="7F7F7F" w:sz="6" w:space="0"/>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hint="eastAsia" w:eastAsia="Times New Roman"/>
                <w:sz w:val="18"/>
                <w:szCs w:val="18"/>
                <w:lang w:val="en-GB" w:eastAsia="en-GB"/>
              </w:rPr>
              <w:t>The casual effects of circulating cytokines on sepsis: a mendelian randomization study</w:t>
            </w:r>
          </w:p>
          <w:p>
            <w:pPr>
              <w:spacing w:before="96" w:beforeLines="40" w:after="96" w:afterLines="40" w:line="24" w:lineRule="atLeast"/>
              <w:rPr>
                <w:rFonts w:eastAsia="宋体"/>
                <w:sz w:val="18"/>
                <w:szCs w:val="18"/>
                <w:lang w:val="en-US" w:eastAsia="zh-CN"/>
              </w:rPr>
            </w:pP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eastAsia="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INTRODUCTION</w:t>
            </w:r>
          </w:p>
        </w:tc>
        <w:tc>
          <w:tcPr>
            <w:tcW w:w="7041" w:type="dxa"/>
            <w:tcBorders>
              <w:top w:val="single" w:color="7F7F7F" w:sz="6" w:space="0"/>
            </w:tcBorders>
            <w:shd w:val="clear" w:color="auto" w:fill="auto"/>
          </w:tcPr>
          <w:p>
            <w:pPr>
              <w:spacing w:before="96" w:beforeLines="40" w:after="96" w:afterLines="40" w:line="24" w:lineRule="atLeast"/>
              <w:rPr>
                <w:rFonts w:eastAsia="Cambria"/>
                <w:sz w:val="18"/>
                <w:szCs w:val="18"/>
                <w:lang w:val="en-GB" w:eastAsia="en-US"/>
              </w:rPr>
            </w:pPr>
          </w:p>
        </w:tc>
        <w:tc>
          <w:tcPr>
            <w:tcW w:w="720" w:type="dxa"/>
            <w:tcBorders>
              <w:top w:val="single" w:color="7F7F7F" w:sz="6" w:space="0"/>
            </w:tcBorders>
          </w:tcPr>
          <w:p>
            <w:pPr>
              <w:spacing w:before="96" w:beforeLines="40" w:after="96" w:afterLines="40" w:line="24" w:lineRule="atLeast"/>
              <w:rPr>
                <w:rFonts w:eastAsia="Cambria"/>
                <w:sz w:val="18"/>
                <w:szCs w:val="18"/>
                <w:lang w:val="en-GB" w:eastAsia="en-US"/>
              </w:rPr>
            </w:pPr>
          </w:p>
        </w:tc>
        <w:tc>
          <w:tcPr>
            <w:tcW w:w="4320" w:type="dxa"/>
            <w:tcBorders>
              <w:top w:val="single" w:color="7F7F7F" w:sz="6" w:space="0"/>
            </w:tcBorders>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2</w:t>
            </w:r>
          </w:p>
        </w:tc>
        <w:tc>
          <w:tcPr>
            <w:tcW w:w="1822" w:type="dxa"/>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Background</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Explain the scientific background and rationale for the reported study. What is the exposure? Is a potential causal relationship between exposure and outcome plausible? Justify why MR is a helpful method to address the study question</w:t>
            </w:r>
          </w:p>
        </w:tc>
        <w:tc>
          <w:tcPr>
            <w:tcW w:w="720" w:type="dxa"/>
            <w:shd w:val="clear" w:color="auto" w:fill="EEEEEE"/>
          </w:tcPr>
          <w:p>
            <w:pPr>
              <w:spacing w:before="96" w:beforeLines="40" w:after="96" w:afterLines="40" w:line="24" w:lineRule="atLeast"/>
              <w:rPr>
                <w:rFonts w:eastAsia="宋体"/>
                <w:sz w:val="18"/>
                <w:szCs w:val="18"/>
                <w:lang w:val="en-US" w:eastAsia="zh-CN"/>
              </w:rPr>
            </w:pPr>
            <w:r>
              <w:rPr>
                <w:rFonts w:hint="eastAsia" w:eastAsia="宋体"/>
                <w:sz w:val="18"/>
                <w:szCs w:val="18"/>
                <w:lang w:val="en-US" w:eastAsia="zh-CN"/>
              </w:rPr>
              <w:t>1</w:t>
            </w:r>
          </w:p>
        </w:tc>
        <w:tc>
          <w:tcPr>
            <w:tcW w:w="4320" w:type="dxa"/>
            <w:shd w:val="clear" w:color="auto" w:fill="EEEEEE"/>
          </w:tcPr>
          <w:p>
            <w:pPr>
              <w:spacing w:before="96" w:beforeLines="40" w:after="96" w:afterLines="40" w:line="24" w:lineRule="atLeast"/>
              <w:rPr>
                <w:rFonts w:eastAsia="宋体"/>
                <w:sz w:val="18"/>
                <w:szCs w:val="18"/>
                <w:lang w:val="en-US" w:eastAsia="zh-CN"/>
              </w:rPr>
            </w:pPr>
            <w:r>
              <w:rPr>
                <w:rFonts w:hint="eastAsia" w:eastAsia="Times New Roman"/>
                <w:sz w:val="18"/>
                <w:szCs w:val="18"/>
                <w:lang w:val="en-GB" w:eastAsia="en-GB"/>
              </w:rPr>
              <w:t xml:space="preserve">Sepsis and circulating cytokines levels have been associated in observational studies with unclear  causality. </w:t>
            </w:r>
          </w:p>
        </w:tc>
      </w:tr>
      <w:tr>
        <w:tblPrEx>
          <w:tblCellMar>
            <w:top w:w="0" w:type="dxa"/>
            <w:left w:w="108" w:type="dxa"/>
            <w:bottom w:w="0" w:type="dxa"/>
            <w:right w:w="108" w:type="dxa"/>
          </w:tblCellMar>
        </w:tblPrEx>
        <w:tc>
          <w:tcPr>
            <w:tcW w:w="587" w:type="dxa"/>
            <w:tcBorders>
              <w:bottom w:val="single" w:color="7F7F7F" w:sz="6" w:space="0"/>
            </w:tcBorders>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3</w:t>
            </w:r>
          </w:p>
        </w:tc>
        <w:tc>
          <w:tcPr>
            <w:tcW w:w="1822" w:type="dxa"/>
            <w:tcBorders>
              <w:bottom w:val="single" w:color="7F7F7F" w:sz="6" w:space="0"/>
            </w:tcBorders>
            <w:shd w:val="clear" w:color="auto" w:fill="auto"/>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Objectives</w:t>
            </w:r>
          </w:p>
        </w:tc>
        <w:tc>
          <w:tcPr>
            <w:tcW w:w="7041" w:type="dxa"/>
            <w:tcBorders>
              <w:bottom w:val="single" w:color="7F7F7F" w:sz="6" w:space="0"/>
            </w:tcBorders>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State specific objectives clearly, including pre-specified causal hypotheses (if any). State that MR is a method that, under specific assumptions, intends to estimate causal effects</w:t>
            </w:r>
          </w:p>
        </w:tc>
        <w:tc>
          <w:tcPr>
            <w:tcW w:w="720" w:type="dxa"/>
            <w:tcBorders>
              <w:bottom w:val="single" w:color="7F7F7F" w:sz="6" w:space="0"/>
            </w:tcBorders>
          </w:tcPr>
          <w:p>
            <w:pPr>
              <w:spacing w:before="96" w:beforeLines="40" w:after="96" w:afterLines="40" w:line="24" w:lineRule="atLeast"/>
              <w:rPr>
                <w:rFonts w:eastAsia="宋体"/>
                <w:sz w:val="18"/>
                <w:szCs w:val="18"/>
                <w:lang w:val="en-US" w:eastAsia="zh-CN"/>
              </w:rPr>
            </w:pPr>
            <w:r>
              <w:rPr>
                <w:rFonts w:hint="eastAsia" w:eastAsia="宋体"/>
                <w:sz w:val="18"/>
                <w:szCs w:val="18"/>
                <w:lang w:val="en-US" w:eastAsia="zh-CN"/>
              </w:rPr>
              <w:t>1</w:t>
            </w:r>
          </w:p>
        </w:tc>
        <w:tc>
          <w:tcPr>
            <w:tcW w:w="4320" w:type="dxa"/>
            <w:tcBorders>
              <w:bottom w:val="single" w:color="7F7F7F" w:sz="6" w:space="0"/>
            </w:tcBorders>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Mendelian randomization (MR) was used to identify the causal direction between circulating cytokines and sepsis in a two-sample study.</w:t>
            </w:r>
          </w:p>
        </w:tc>
      </w:tr>
      <w:tr>
        <w:tblPrEx>
          <w:tblCellMar>
            <w:top w:w="0" w:type="dxa"/>
            <w:left w:w="108" w:type="dxa"/>
            <w:bottom w:w="0" w:type="dxa"/>
            <w:right w:w="108" w:type="dxa"/>
          </w:tblCellMar>
        </w:tblPrEx>
        <w:tc>
          <w:tcPr>
            <w:tcW w:w="587" w:type="dxa"/>
            <w:tcBorders>
              <w:top w:val="single" w:color="7F7F7F" w:sz="6" w:space="0"/>
            </w:tcBorders>
            <w:shd w:val="clear" w:color="auto" w:fill="EEEEEE"/>
          </w:tcPr>
          <w:p>
            <w:pPr>
              <w:spacing w:before="96" w:beforeLines="40" w:after="96" w:afterLines="40" w:line="24" w:lineRule="atLeast"/>
              <w:rPr>
                <w:rFonts w:eastAsia="Times New Roman"/>
                <w:b/>
                <w:bCs/>
                <w:sz w:val="18"/>
                <w:szCs w:val="18"/>
                <w:lang w:val="en-GB" w:eastAsia="en-GB"/>
              </w:rPr>
            </w:pPr>
          </w:p>
        </w:tc>
        <w:tc>
          <w:tcPr>
            <w:tcW w:w="1822" w:type="dxa"/>
            <w:tcBorders>
              <w:top w:val="single" w:color="7F7F7F" w:sz="6" w:space="0"/>
            </w:tcBorders>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METHODS</w:t>
            </w:r>
          </w:p>
        </w:tc>
        <w:tc>
          <w:tcPr>
            <w:tcW w:w="7041" w:type="dxa"/>
            <w:tcBorders>
              <w:top w:val="single" w:color="7F7F7F" w:sz="6" w:space="0"/>
            </w:tcBorders>
            <w:shd w:val="clear" w:color="auto" w:fill="EEEEEE"/>
          </w:tcPr>
          <w:p>
            <w:pPr>
              <w:spacing w:before="96" w:beforeLines="40" w:after="96" w:afterLines="40" w:line="24" w:lineRule="atLeast"/>
              <w:rPr>
                <w:rFonts w:eastAsia="Cambria"/>
                <w:sz w:val="18"/>
                <w:szCs w:val="18"/>
                <w:lang w:val="en-GB" w:eastAsia="en-US"/>
              </w:rPr>
            </w:pPr>
          </w:p>
        </w:tc>
        <w:tc>
          <w:tcPr>
            <w:tcW w:w="720" w:type="dxa"/>
            <w:tcBorders>
              <w:top w:val="single" w:color="7F7F7F" w:sz="6" w:space="0"/>
            </w:tcBorders>
            <w:shd w:val="clear" w:color="auto" w:fill="EEEEEE"/>
          </w:tcPr>
          <w:p>
            <w:pPr>
              <w:spacing w:before="96" w:beforeLines="40" w:after="96" w:afterLines="40" w:line="24" w:lineRule="atLeast"/>
              <w:rPr>
                <w:rFonts w:eastAsia="Cambria"/>
                <w:sz w:val="18"/>
                <w:szCs w:val="18"/>
                <w:lang w:val="en-GB" w:eastAsia="en-US"/>
              </w:rPr>
            </w:pPr>
          </w:p>
        </w:tc>
        <w:tc>
          <w:tcPr>
            <w:tcW w:w="4320" w:type="dxa"/>
            <w:tcBorders>
              <w:top w:val="single" w:color="7F7F7F" w:sz="6" w:space="0"/>
            </w:tcBorders>
            <w:shd w:val="clear" w:color="auto" w:fill="EEEEEE"/>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4</w:t>
            </w:r>
          </w:p>
        </w:tc>
        <w:tc>
          <w:tcPr>
            <w:tcW w:w="1822"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Study design and data sources</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Present key elements of the study design early in the article. Consider including a table listing sources of data for all phases of the study. For each data source contributing to the analysis, describe the following: </w:t>
            </w:r>
          </w:p>
        </w:tc>
        <w:tc>
          <w:tcPr>
            <w:tcW w:w="720" w:type="dxa"/>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2</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Study design</w:t>
            </w:r>
          </w:p>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Genome-Wide Association Summary Data</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shd w:val="clear" w:color="auto" w:fill="FFFFFF"/>
                <w:lang w:val="en-GB" w:eastAsia="en-GB"/>
              </w:rPr>
              <w:t xml:space="preserve">Setting: </w:t>
            </w:r>
            <w:r>
              <w:rPr>
                <w:rFonts w:eastAsia="Times New Roman"/>
                <w:sz w:val="18"/>
                <w:szCs w:val="18"/>
                <w:lang w:val="en-GB" w:eastAsia="en-GB"/>
              </w:rPr>
              <w:t xml:space="preserve">Describe the study design and the underlying population, if possible. </w:t>
            </w:r>
            <w:r>
              <w:rPr>
                <w:rFonts w:eastAsia="Times New Roman"/>
                <w:sz w:val="18"/>
                <w:szCs w:val="18"/>
                <w:shd w:val="clear" w:color="auto" w:fill="FFFFFF"/>
                <w:lang w:val="en-GB" w:eastAsia="en-GB"/>
              </w:rPr>
              <w:t xml:space="preserve">Describe the setting, locations, and relevant dates, including periods </w:t>
            </w:r>
            <w:r>
              <w:rPr>
                <w:rFonts w:eastAsia="Times New Roman"/>
                <w:color w:val="000000"/>
                <w:sz w:val="18"/>
                <w:szCs w:val="18"/>
                <w:shd w:val="clear" w:color="auto" w:fill="FFFFFF"/>
                <w:lang w:val="en-GB" w:eastAsia="en-GB"/>
              </w:rPr>
              <w:t>of recruitment, exposure, follow-up, and data collection, when available.</w:t>
            </w:r>
          </w:p>
        </w:tc>
        <w:tc>
          <w:tcPr>
            <w:tcW w:w="720" w:type="dxa"/>
            <w:shd w:val="clear" w:color="auto" w:fill="EEEEEE"/>
          </w:tcPr>
          <w:p>
            <w:pPr>
              <w:spacing w:before="96" w:beforeLines="40" w:after="96" w:afterLines="40" w:line="24" w:lineRule="atLeast"/>
              <w:rPr>
                <w:rFonts w:hint="eastAsia" w:eastAsiaTheme="minorEastAsia"/>
                <w:sz w:val="18"/>
                <w:szCs w:val="18"/>
                <w:shd w:val="clear" w:color="auto" w:fill="FFFFFF"/>
                <w:lang w:val="en-GB" w:eastAsia="zh-CN"/>
              </w:rPr>
            </w:pPr>
            <w:r>
              <w:rPr>
                <w:rFonts w:hint="eastAsia" w:eastAsiaTheme="minorEastAsia"/>
                <w:sz w:val="18"/>
                <w:szCs w:val="18"/>
                <w:shd w:val="clear" w:color="auto" w:fill="FFFFFF"/>
                <w:lang w:val="en-GB" w:eastAsia="zh-CN"/>
              </w:rPr>
              <w:t>2</w:t>
            </w:r>
          </w:p>
        </w:tc>
        <w:tc>
          <w:tcPr>
            <w:tcW w:w="4320" w:type="dxa"/>
            <w:shd w:val="clear" w:color="auto" w:fill="EEEEEE"/>
          </w:tcPr>
          <w:p>
            <w:pPr>
              <w:spacing w:before="96" w:beforeLines="40" w:after="96" w:afterLines="40" w:line="24" w:lineRule="atLeast"/>
            </w:pPr>
            <w:r>
              <w:rPr>
                <w:rFonts w:eastAsia="Times New Roman"/>
                <w:sz w:val="18"/>
                <w:szCs w:val="18"/>
                <w:shd w:val="clear" w:color="auto" w:fill="FFFFFF"/>
                <w:lang w:val="en-GB" w:eastAsia="en-GB"/>
              </w:rPr>
              <w:t>The Cardiovascular Risk in Young Finns study, FINRISK 1997, and FINRISK 2002 provided summary-level data for 41 cytokines</w:t>
            </w:r>
            <w:r>
              <w:t xml:space="preserve"> </w:t>
            </w:r>
          </w:p>
          <w:p>
            <w:pPr>
              <w:spacing w:before="96" w:beforeLines="40" w:after="96" w:afterLines="40" w:line="24" w:lineRule="atLeast"/>
              <w:rPr>
                <w:rFonts w:eastAsia="Times New Roman"/>
                <w:sz w:val="18"/>
                <w:szCs w:val="18"/>
                <w:shd w:val="clear" w:color="auto" w:fill="FFFFFF"/>
                <w:lang w:val="en-GB" w:eastAsia="en-GB"/>
              </w:rPr>
            </w:pPr>
            <w:r>
              <w:rPr>
                <w:rFonts w:eastAsia="Times New Roman"/>
                <w:sz w:val="18"/>
                <w:szCs w:val="18"/>
                <w:shd w:val="clear" w:color="auto" w:fill="FFFFFF"/>
                <w:lang w:val="en-GB" w:eastAsia="en-GB"/>
              </w:rPr>
              <w:t>UK Biobank provided summary-level data of GWAS for sepsis, which included 10,154 cases and 452,764 controls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auto"/>
          </w:tcPr>
          <w:p>
            <w:pPr>
              <w:spacing w:before="96" w:beforeLines="40" w:after="96" w:afterLines="40" w:line="24" w:lineRule="atLeast"/>
              <w:textAlignment w:val="baseline"/>
              <w:rPr>
                <w:rFonts w:eastAsia="Cambria"/>
                <w:sz w:val="18"/>
                <w:szCs w:val="18"/>
                <w:lang w:val="en-GB" w:eastAsia="en-US"/>
              </w:rPr>
            </w:pPr>
            <w:r>
              <w:rPr>
                <w:rFonts w:eastAsia="Times New Roman"/>
                <w:sz w:val="18"/>
                <w:szCs w:val="18"/>
                <w:shd w:val="clear" w:color="auto" w:fill="FFFFFF"/>
                <w:lang w:val="en-GB" w:eastAsia="en-GB"/>
              </w:rPr>
              <w:t xml:space="preserve">Participants: Give the eligibility criteria, and the sources and methods of selection of participants. </w:t>
            </w:r>
            <w:r>
              <w:rPr>
                <w:rFonts w:eastAsia="Times New Roman"/>
                <w:color w:val="000000"/>
                <w:sz w:val="18"/>
                <w:szCs w:val="18"/>
              </w:rPr>
              <w:t>Report the sample size, and whether any power or sample size calculations were carried out prior to the main analysis</w:t>
            </w:r>
            <w:r>
              <w:rPr>
                <w:rFonts w:eastAsia="Times New Roman"/>
                <w:sz w:val="18"/>
                <w:szCs w:val="18"/>
                <w:lang w:val="en-GB" w:eastAsia="en-GB"/>
              </w:rPr>
              <w:t> </w:t>
            </w:r>
          </w:p>
        </w:tc>
        <w:tc>
          <w:tcPr>
            <w:tcW w:w="720" w:type="dxa"/>
          </w:tcPr>
          <w:p>
            <w:pPr>
              <w:spacing w:before="96" w:beforeLines="40" w:after="96" w:afterLines="40" w:line="24" w:lineRule="atLeast"/>
              <w:textAlignment w:val="baseline"/>
              <w:rPr>
                <w:rFonts w:hint="eastAsia" w:eastAsiaTheme="minorEastAsia"/>
                <w:sz w:val="18"/>
                <w:szCs w:val="18"/>
                <w:shd w:val="clear" w:color="auto" w:fill="FFFFFF"/>
                <w:lang w:val="en-GB" w:eastAsia="zh-CN"/>
              </w:rPr>
            </w:pPr>
            <w:r>
              <w:rPr>
                <w:rFonts w:hint="eastAsia" w:eastAsiaTheme="minorEastAsia"/>
                <w:sz w:val="18"/>
                <w:szCs w:val="18"/>
                <w:shd w:val="clear" w:color="auto" w:fill="FFFFFF"/>
                <w:lang w:val="en-GB" w:eastAsia="zh-CN"/>
              </w:rPr>
              <w:t>2</w:t>
            </w:r>
          </w:p>
        </w:tc>
        <w:tc>
          <w:tcPr>
            <w:tcW w:w="4320" w:type="dxa"/>
          </w:tcPr>
          <w:p>
            <w:pPr>
              <w:spacing w:before="96" w:beforeLines="40" w:after="96" w:afterLines="40"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 xml:space="preserve">UK Biobank provided summary-level data of GWAS for sepsis, which included 10,154 cases and 452,764 controls </w:t>
            </w:r>
          </w:p>
          <w:p>
            <w:pPr>
              <w:spacing w:before="96" w:beforeLines="40" w:after="96" w:afterLines="40"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And female constitute 54%. The median age of all participants was 58 years, and the median age of those suffering from sepsis was 60 years.</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measurement, quality control and selection of genetic variants</w:t>
            </w:r>
          </w:p>
        </w:tc>
        <w:tc>
          <w:tcPr>
            <w:tcW w:w="720" w:type="dxa"/>
            <w:shd w:val="clear" w:color="auto" w:fill="EEEEEE"/>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2</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In order to obtain reliable findings, this study was based on three major assumptions underlying MR studies. First, instrumental variables (IVs) must be strongly correlated with circulating cytokines. Second, instrumental variables are independent of confounding factors. Third, instrumental variables act on sepsis through circulating cytokines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auto"/>
          </w:tcPr>
          <w:p>
            <w:pPr>
              <w:spacing w:before="96" w:beforeLines="40" w:after="96" w:afterLines="40" w:line="24" w:lineRule="atLeast"/>
              <w:textAlignment w:val="baseline"/>
              <w:rPr>
                <w:rFonts w:eastAsia="Cambria"/>
                <w:sz w:val="18"/>
                <w:szCs w:val="18"/>
                <w:lang w:val="en-GB" w:eastAsia="en-US"/>
              </w:rPr>
            </w:pPr>
            <w:r>
              <w:rPr>
                <w:rFonts w:eastAsia="Times New Roman"/>
                <w:sz w:val="18"/>
                <w:szCs w:val="18"/>
                <w:shd w:val="clear" w:color="auto" w:fill="FFFFFF"/>
                <w:lang w:val="en-GB" w:eastAsia="en-GB"/>
              </w:rPr>
              <w:t>For each exposure, outcome, and other relevant variables, describe methods of assessment and diagnostic criteria for diseases</w:t>
            </w:r>
          </w:p>
        </w:tc>
        <w:tc>
          <w:tcPr>
            <w:tcW w:w="720" w:type="dxa"/>
          </w:tcPr>
          <w:p>
            <w:pPr>
              <w:spacing w:before="96" w:beforeLines="40" w:after="96" w:afterLines="40" w:line="24" w:lineRule="atLeast"/>
              <w:textAlignment w:val="baseline"/>
              <w:rPr>
                <w:rFonts w:hint="eastAsia" w:eastAsiaTheme="minorEastAsia"/>
                <w:sz w:val="18"/>
                <w:szCs w:val="18"/>
                <w:shd w:val="clear" w:color="auto" w:fill="FFFFFF"/>
                <w:lang w:val="en-GB" w:eastAsia="zh-CN"/>
              </w:rPr>
            </w:pPr>
            <w:r>
              <w:rPr>
                <w:rFonts w:hint="eastAsia" w:eastAsiaTheme="minorEastAsia"/>
                <w:sz w:val="18"/>
                <w:szCs w:val="18"/>
                <w:shd w:val="clear" w:color="auto" w:fill="FFFFFF"/>
                <w:lang w:val="en-GB" w:eastAsia="zh-CN"/>
              </w:rPr>
              <w:t>2</w:t>
            </w:r>
          </w:p>
        </w:tc>
        <w:tc>
          <w:tcPr>
            <w:tcW w:w="4320" w:type="dxa"/>
          </w:tcPr>
          <w:p>
            <w:pPr>
              <w:spacing w:before="96" w:beforeLines="40" w:after="96" w:afterLines="40"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Global Burden of Disease (GBD) study codes were used to define sepsis based on International Classification of Disease (ICD)-9 and ICD-10 codes Study design</w:t>
            </w:r>
          </w:p>
          <w:p>
            <w:pPr>
              <w:spacing w:before="96" w:beforeLines="40" w:after="96" w:afterLines="40"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Genome-Wide Association Summary Data</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e)</w:t>
            </w:r>
          </w:p>
        </w:tc>
        <w:tc>
          <w:tcPr>
            <w:tcW w:w="7041" w:type="dxa"/>
            <w:shd w:val="clear" w:color="auto" w:fill="EEEEEE"/>
          </w:tcPr>
          <w:p>
            <w:pPr>
              <w:spacing w:before="96" w:beforeLines="40" w:after="96" w:afterLines="40" w:line="24" w:lineRule="atLeast"/>
              <w:textAlignment w:val="baseline"/>
              <w:rPr>
                <w:rFonts w:eastAsia="Cambria"/>
                <w:sz w:val="18"/>
                <w:szCs w:val="18"/>
                <w:lang w:val="en-GB" w:eastAsia="en-US"/>
              </w:rPr>
            </w:pPr>
            <w:r>
              <w:rPr>
                <w:rFonts w:eastAsia="Times New Roman"/>
                <w:sz w:val="18"/>
                <w:szCs w:val="18"/>
                <w:shd w:val="clear" w:color="auto" w:fill="FFFFFF"/>
                <w:lang w:val="en-GB" w:eastAsia="en-GB"/>
              </w:rPr>
              <w:t>Provide details of ethics committee approval and participant informed consent, if relevant</w:t>
            </w:r>
          </w:p>
        </w:tc>
        <w:tc>
          <w:tcPr>
            <w:tcW w:w="720" w:type="dxa"/>
            <w:shd w:val="clear" w:color="auto" w:fill="EEEEEE"/>
          </w:tcPr>
          <w:p>
            <w:pPr>
              <w:spacing w:before="96" w:beforeLines="40" w:after="96" w:afterLines="40" w:line="24" w:lineRule="atLeast"/>
              <w:textAlignment w:val="baseline"/>
              <w:rPr>
                <w:rFonts w:hint="eastAsia" w:eastAsiaTheme="minorEastAsia"/>
                <w:sz w:val="18"/>
                <w:szCs w:val="18"/>
                <w:shd w:val="clear" w:color="auto" w:fill="FFFFFF"/>
                <w:lang w:val="en-GB" w:eastAsia="zh-CN"/>
              </w:rPr>
            </w:pPr>
            <w:r>
              <w:rPr>
                <w:rFonts w:hint="eastAsia" w:eastAsiaTheme="minorEastAsia"/>
                <w:sz w:val="18"/>
                <w:szCs w:val="18"/>
                <w:shd w:val="clear" w:color="auto" w:fill="FFFFFF"/>
                <w:lang w:val="en-GB" w:eastAsia="zh-CN"/>
              </w:rPr>
              <w:t>NA</w:t>
            </w:r>
          </w:p>
        </w:tc>
        <w:tc>
          <w:tcPr>
            <w:tcW w:w="4320" w:type="dxa"/>
            <w:shd w:val="clear" w:color="auto" w:fill="EEEEEE"/>
          </w:tcPr>
          <w:p>
            <w:pPr>
              <w:spacing w:before="96" w:beforeLines="40" w:after="96" w:afterLines="40"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NA</w:t>
            </w:r>
          </w:p>
          <w:p>
            <w:pPr>
              <w:spacing w:before="96" w:beforeLines="40" w:after="96" w:afterLines="40" w:line="24" w:lineRule="atLeast"/>
              <w:textAlignment w:val="baseline"/>
              <w:rPr>
                <w:rFonts w:eastAsia="Times New Roman"/>
                <w:sz w:val="18"/>
                <w:szCs w:val="18"/>
                <w:shd w:val="clear" w:color="auto" w:fill="FFFFFF"/>
                <w:lang w:val="en-GB" w:eastAsia="en-GB"/>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5</w:t>
            </w:r>
          </w:p>
        </w:tc>
        <w:tc>
          <w:tcPr>
            <w:tcW w:w="1822"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Assumptions</w:t>
            </w:r>
          </w:p>
          <w:p>
            <w:pPr>
              <w:spacing w:before="96" w:beforeLines="40" w:after="96" w:afterLines="40" w:line="24" w:lineRule="atLeast"/>
              <w:jc w:val="center"/>
              <w:rPr>
                <w:rFonts w:eastAsia="Cambria"/>
                <w:sz w:val="18"/>
                <w:szCs w:val="18"/>
                <w:lang w:val="en-GB" w:eastAsia="en-US"/>
              </w:rPr>
            </w:pPr>
          </w:p>
        </w:tc>
        <w:tc>
          <w:tcPr>
            <w:tcW w:w="7041"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Explicitly state the three core IV assumptions for the main analysis (relevance, independence and exclusion restriction) as well assumptions for any additional or sensitivity analysis</w:t>
            </w:r>
          </w:p>
        </w:tc>
        <w:tc>
          <w:tcPr>
            <w:tcW w:w="720" w:type="dxa"/>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2</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In order to obtain reliable findings, this study was based on three major assumptions underlying MR studies. First, instrumental variables (IVs) must be strongly correlated with circulating cytokines. Second, instrumental variables are independent of confounding factors. Third, instrumental variables act on sepsis through circulating cytokines</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6</w:t>
            </w:r>
          </w:p>
        </w:tc>
        <w:tc>
          <w:tcPr>
            <w:tcW w:w="1822" w:type="dxa"/>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Statistical methods: main analysis</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statistical methods and statistics used</w:t>
            </w:r>
          </w:p>
        </w:tc>
        <w:tc>
          <w:tcPr>
            <w:tcW w:w="720" w:type="dxa"/>
            <w:shd w:val="clear" w:color="auto" w:fill="EEEEEE"/>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2-</w:t>
            </w:r>
            <w:r>
              <w:rPr>
                <w:rFonts w:eastAsiaTheme="minorEastAsia"/>
                <w:sz w:val="18"/>
                <w:szCs w:val="18"/>
                <w:lang w:val="en-GB" w:eastAsia="zh-CN"/>
              </w:rPr>
              <w:t>4</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Selection of IVs</w:t>
            </w:r>
          </w:p>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Statistical Analyses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how quantitative variables were handled in the analyses (i.e., scale, units, model)</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We used the random-effects inverse variance weighting (IVW) method as the primary analysis to assess the association between circulating cytokines and sepsis risk</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how genetic variants were handled in the analyses and, if applicable, how their weights were selected</w:t>
            </w:r>
          </w:p>
        </w:tc>
        <w:tc>
          <w:tcPr>
            <w:tcW w:w="7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All SNPs with a P &lt;5×10-6 were considered significant variants associated with phenotypes and included in order to increase the number of SNPs for further sensitivity analysis and to find potential casual effects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the MR estimator (e.g. two-stage least squares, Wald ratio) and related statistics. Detail the included covariates and, in case of two-sample MR, whether the same covariate set was used for adjustment in the two samples</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tcPr>
          <w:p>
            <w:pPr>
              <w:spacing w:before="96" w:beforeLines="40" w:after="96" w:afterLines="40" w:line="24" w:lineRule="atLeast"/>
              <w:rPr>
                <w:rFonts w:eastAsia="Times New Roman"/>
                <w:sz w:val="18"/>
                <w:szCs w:val="18"/>
                <w:lang w:val="en-GB" w:eastAsia="en-GB"/>
              </w:rPr>
            </w:pPr>
            <w:r>
              <w:rPr>
                <w:rFonts w:ascii="Arial" w:hAnsi="Arial" w:eastAsia="Times New Roman" w:cs="Arial"/>
                <w:sz w:val="18"/>
                <w:szCs w:val="18"/>
                <w:lang w:val="en-GB" w:eastAsia="en-GB"/>
              </w:rPr>
              <w:t>We excluded SNPs with R2&lt;0.001 using linkage disequilibrium (LD) analysis. To avoid weak instrument bias</w:t>
            </w:r>
            <w:r>
              <w:rPr>
                <w:rFonts w:hint="eastAsia" w:ascii="Arial" w:hAnsi="Arial" w:eastAsia="Times New Roman" w:cs="Arial"/>
                <w:sz w:val="18"/>
                <w:szCs w:val="18"/>
                <w:lang w:val="en-GB" w:eastAsia="zh-CN"/>
              </w:rPr>
              <w:t>.</w:t>
            </w:r>
            <w:r>
              <w:rPr>
                <w:rFonts w:ascii="Arial" w:hAnsi="Arial" w:eastAsia="Times New Roman" w:cs="Arial"/>
                <w:sz w:val="18"/>
                <w:szCs w:val="18"/>
                <w:lang w:val="en-GB" w:eastAsia="en-GB"/>
              </w:rPr>
              <w:t xml:space="preserve"> An F-statistic value &gt;10 was regarded as strong enough to avoid weak instrument bi</w:t>
            </w:r>
            <w:r>
              <w:rPr>
                <w:rFonts w:hint="eastAsia" w:ascii="Arial" w:hAnsi="Arial" w:eastAsia="Times New Roman" w:cs="Arial"/>
                <w:sz w:val="18"/>
                <w:szCs w:val="18"/>
                <w:lang w:val="en-GB" w:eastAsia="en-GB"/>
              </w:rPr>
              <w:t>as. All IVs in this study had an F-statistic &gt;10</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Explain how missing data were addressed</w:t>
            </w:r>
          </w:p>
        </w:tc>
        <w:tc>
          <w:tcPr>
            <w:tcW w:w="7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Selection of IVs</w:t>
            </w:r>
          </w:p>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Statistical Analyses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e)</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If applicable, indicate how multiple testing was addressed</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NA</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NA</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7</w:t>
            </w:r>
          </w:p>
        </w:tc>
        <w:tc>
          <w:tcPr>
            <w:tcW w:w="1822" w:type="dxa"/>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Assessment of assumptions</w:t>
            </w:r>
          </w:p>
        </w:tc>
        <w:tc>
          <w:tcPr>
            <w:tcW w:w="7041" w:type="dxa"/>
            <w:shd w:val="clear" w:color="auto" w:fill="EEEEEE"/>
          </w:tcPr>
          <w:p>
            <w:pPr>
              <w:tabs>
                <w:tab w:val="left" w:pos="1620"/>
              </w:tabs>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any methods or prior knowledge used to assess the assumptions or justify their validity</w:t>
            </w:r>
            <w:r>
              <w:rPr>
                <w:rFonts w:eastAsia="Cambria"/>
                <w:sz w:val="18"/>
                <w:szCs w:val="18"/>
                <w:lang w:val="en-GB" w:eastAsia="en-US"/>
              </w:rPr>
              <w:tab/>
            </w:r>
          </w:p>
        </w:tc>
        <w:tc>
          <w:tcPr>
            <w:tcW w:w="720" w:type="dxa"/>
            <w:shd w:val="clear" w:color="auto" w:fill="EEEEEE"/>
          </w:tcPr>
          <w:p>
            <w:pPr>
              <w:tabs>
                <w:tab w:val="left" w:pos="1620"/>
              </w:tabs>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shd w:val="clear" w:color="auto" w:fill="EEEEEE"/>
          </w:tcPr>
          <w:p>
            <w:pPr>
              <w:tabs>
                <w:tab w:val="left" w:pos="1620"/>
              </w:tabs>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An F-statistic value &gt;10 was regarded as strong enough to avoid weak instrument bias. All IVs in this study had an F-statistic &gt;10</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8</w:t>
            </w:r>
          </w:p>
        </w:tc>
        <w:tc>
          <w:tcPr>
            <w:tcW w:w="1822" w:type="dxa"/>
            <w:shd w:val="clear" w:color="auto" w:fill="auto"/>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Sensitivity analyses and additional analyses</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Describe any sensitivity analyses or additional analyses performed (e.g. comparison of effect estimates from different approaches, independent replication, bias analytic techniques, validation of instruments, simulations)</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We require consistent causal effects across all three methods (IVW ,weighted median and MR-Egger ) and  P &lt; 0.05 to define a significant causal effect.The heterogeneity of the instrument variable was determined by  Cochran's Q statistic</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9</w:t>
            </w:r>
          </w:p>
        </w:tc>
        <w:tc>
          <w:tcPr>
            <w:tcW w:w="1822" w:type="dxa"/>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Software and pre-registration</w:t>
            </w:r>
          </w:p>
        </w:tc>
        <w:tc>
          <w:tcPr>
            <w:tcW w:w="7041" w:type="dxa"/>
            <w:shd w:val="clear" w:color="auto" w:fill="EEEEEE"/>
          </w:tcPr>
          <w:p>
            <w:pPr>
              <w:spacing w:before="96" w:beforeLines="40" w:after="96" w:afterLines="40" w:line="24" w:lineRule="atLeast"/>
              <w:rPr>
                <w:rFonts w:eastAsia="Cambria"/>
                <w:sz w:val="18"/>
                <w:szCs w:val="18"/>
                <w:lang w:val="en-GB" w:eastAsia="en-US"/>
              </w:rPr>
            </w:pPr>
          </w:p>
        </w:tc>
        <w:tc>
          <w:tcPr>
            <w:tcW w:w="720" w:type="dxa"/>
            <w:shd w:val="clear" w:color="auto" w:fill="EEEEEE"/>
          </w:tcPr>
          <w:p>
            <w:pPr>
              <w:spacing w:before="96" w:beforeLines="40" w:after="96" w:afterLines="40" w:line="24" w:lineRule="atLeast"/>
              <w:rPr>
                <w:rFonts w:eastAsia="Cambria"/>
                <w:sz w:val="18"/>
                <w:szCs w:val="18"/>
                <w:lang w:val="en-GB" w:eastAsia="en-US"/>
              </w:rPr>
            </w:pPr>
            <w:r>
              <w:rPr>
                <w:rFonts w:eastAsia="Cambria"/>
                <w:sz w:val="18"/>
                <w:szCs w:val="18"/>
                <w:lang w:val="en-GB" w:eastAsia="en-US"/>
              </w:rPr>
              <w:t>2-4</w:t>
            </w:r>
          </w:p>
        </w:tc>
        <w:tc>
          <w:tcPr>
            <w:tcW w:w="4320" w:type="dxa"/>
            <w:shd w:val="clear" w:color="auto" w:fill="EEEEEE"/>
          </w:tcPr>
          <w:p>
            <w:pPr>
              <w:spacing w:before="96" w:beforeLines="40" w:after="96" w:afterLines="40" w:line="24" w:lineRule="atLeast"/>
              <w:rPr>
                <w:rFonts w:eastAsia="Cambria"/>
                <w:sz w:val="18"/>
                <w:szCs w:val="18"/>
                <w:lang w:val="en-GB" w:eastAsia="en-US"/>
              </w:rPr>
            </w:pPr>
            <w:r>
              <w:rPr>
                <w:rFonts w:eastAsia="Cambria"/>
                <w:sz w:val="18"/>
                <w:szCs w:val="18"/>
                <w:lang w:val="en-GB" w:eastAsia="en-US"/>
              </w:rPr>
              <w:t>Statistical Analyses</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Name statistical software and package(s), including version and settings used </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2-4</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All MR analyses were performed using R (version 4.1.1, Vienna, Austria) with the TwoSampleMR package (version 0.5.6)</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tcBorders>
              <w:bottom w:val="single" w:color="7F7F7F" w:sz="6" w:space="0"/>
            </w:tcBorders>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tcBorders>
              <w:bottom w:val="single" w:color="7F7F7F" w:sz="6" w:space="0"/>
            </w:tcBorders>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State whether the study protocol and details were pre-registered (as well as when and where)</w:t>
            </w:r>
          </w:p>
        </w:tc>
        <w:tc>
          <w:tcPr>
            <w:tcW w:w="7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NA</w:t>
            </w:r>
          </w:p>
        </w:tc>
        <w:tc>
          <w:tcPr>
            <w:tcW w:w="43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NA</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eastAsia="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RESULTS</w:t>
            </w:r>
          </w:p>
        </w:tc>
        <w:tc>
          <w:tcPr>
            <w:tcW w:w="7041" w:type="dxa"/>
            <w:tcBorders>
              <w:top w:val="single" w:color="7F7F7F" w:sz="6" w:space="0"/>
            </w:tcBorders>
            <w:shd w:val="clear" w:color="auto" w:fill="auto"/>
          </w:tcPr>
          <w:p>
            <w:pPr>
              <w:spacing w:before="96" w:beforeLines="40" w:after="96" w:afterLines="40" w:line="24" w:lineRule="atLeast"/>
              <w:rPr>
                <w:rFonts w:eastAsia="Cambria"/>
                <w:sz w:val="18"/>
                <w:szCs w:val="18"/>
                <w:lang w:val="en-GB" w:eastAsia="en-US"/>
              </w:rPr>
            </w:pPr>
          </w:p>
        </w:tc>
        <w:tc>
          <w:tcPr>
            <w:tcW w:w="720" w:type="dxa"/>
            <w:tcBorders>
              <w:top w:val="single" w:color="7F7F7F" w:sz="6" w:space="0"/>
            </w:tcBorders>
          </w:tcPr>
          <w:p>
            <w:pPr>
              <w:spacing w:before="96" w:beforeLines="40" w:after="96" w:afterLines="40" w:line="24" w:lineRule="atLeast"/>
              <w:rPr>
                <w:rFonts w:eastAsia="Cambria"/>
                <w:sz w:val="18"/>
                <w:szCs w:val="18"/>
                <w:lang w:val="en-GB" w:eastAsia="en-US"/>
              </w:rPr>
            </w:pPr>
          </w:p>
        </w:tc>
        <w:tc>
          <w:tcPr>
            <w:tcW w:w="4320" w:type="dxa"/>
            <w:tcBorders>
              <w:top w:val="single" w:color="7F7F7F" w:sz="6" w:space="0"/>
            </w:tcBorders>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10</w:t>
            </w:r>
          </w:p>
        </w:tc>
        <w:tc>
          <w:tcPr>
            <w:tcW w:w="1822"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Descriptive data</w:t>
            </w:r>
          </w:p>
        </w:tc>
        <w:tc>
          <w:tcPr>
            <w:tcW w:w="7041" w:type="dxa"/>
            <w:shd w:val="clear" w:color="auto" w:fill="EEEEEE"/>
          </w:tcPr>
          <w:p>
            <w:pPr>
              <w:spacing w:before="96" w:beforeLines="40" w:after="96" w:afterLines="40" w:line="24" w:lineRule="atLeast"/>
              <w:rPr>
                <w:rFonts w:eastAsia="Cambria"/>
                <w:sz w:val="18"/>
                <w:szCs w:val="18"/>
                <w:lang w:val="en-GB" w:eastAsia="en-US"/>
              </w:rPr>
            </w:pPr>
          </w:p>
        </w:tc>
        <w:tc>
          <w:tcPr>
            <w:tcW w:w="720" w:type="dxa"/>
            <w:shd w:val="clear" w:color="auto" w:fill="EEEEEE"/>
          </w:tcPr>
          <w:p>
            <w:pPr>
              <w:spacing w:before="96" w:beforeLines="40" w:after="96" w:afterLines="40" w:line="24" w:lineRule="atLeast"/>
              <w:rPr>
                <w:rFonts w:eastAsia="Cambria"/>
                <w:sz w:val="18"/>
                <w:szCs w:val="18"/>
                <w:lang w:val="en-GB" w:eastAsia="en-US"/>
              </w:rPr>
            </w:pPr>
          </w:p>
        </w:tc>
        <w:tc>
          <w:tcPr>
            <w:tcW w:w="4320" w:type="dxa"/>
            <w:shd w:val="clear" w:color="auto" w:fill="EEEEEE"/>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Report the numbers of individuals at each stage of included studies and reasons for exclusion. Consider use of a flow diagram</w:t>
            </w:r>
          </w:p>
        </w:tc>
        <w:tc>
          <w:tcPr>
            <w:tcW w:w="720" w:type="dxa"/>
          </w:tcPr>
          <w:p>
            <w:pPr>
              <w:spacing w:before="96" w:beforeLines="40" w:after="96" w:afterLines="40" w:line="24" w:lineRule="atLeast"/>
              <w:rPr>
                <w:rFonts w:eastAsia="Times New Roman"/>
                <w:sz w:val="18"/>
                <w:szCs w:val="18"/>
                <w:lang w:val="en-GB" w:eastAsia="en-GB"/>
              </w:rPr>
            </w:pPr>
          </w:p>
        </w:tc>
        <w:tc>
          <w:tcPr>
            <w:tcW w:w="4320" w:type="dxa"/>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D</w:t>
            </w:r>
            <w:r>
              <w:rPr>
                <w:rFonts w:eastAsiaTheme="minorEastAsia"/>
                <w:sz w:val="18"/>
                <w:szCs w:val="18"/>
                <w:lang w:val="en-GB" w:eastAsia="zh-CN"/>
              </w:rPr>
              <w:t>etailed information can be found in supplementary material table S1</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Report summary statistics for phenotypic exposure(s), outcome(s), and other relevant variables (e.g. means, SDs, proportions)</w:t>
            </w:r>
          </w:p>
        </w:tc>
        <w:tc>
          <w:tcPr>
            <w:tcW w:w="720" w:type="dxa"/>
            <w:shd w:val="clear" w:color="auto" w:fill="EEEEEE"/>
          </w:tcPr>
          <w:p>
            <w:pPr>
              <w:spacing w:before="96" w:beforeLines="40" w:after="96" w:afterLines="40" w:line="24" w:lineRule="atLeast"/>
              <w:rPr>
                <w:rFonts w:eastAsia="Times New Roman"/>
                <w:sz w:val="18"/>
                <w:szCs w:val="18"/>
                <w:lang w:val="en-GB" w:eastAsia="en-GB"/>
              </w:rPr>
            </w:pP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Detailed information can be found in supplementary material table S2</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If the data sources include meta-analyses of previous studies, provide the assessments of heterogeneity across these studies</w:t>
            </w:r>
          </w:p>
        </w:tc>
        <w:tc>
          <w:tcPr>
            <w:tcW w:w="720" w:type="dxa"/>
          </w:tcPr>
          <w:p>
            <w:pPr>
              <w:spacing w:before="96" w:beforeLines="40" w:after="96" w:afterLines="40" w:line="24" w:lineRule="atLeast"/>
              <w:rPr>
                <w:rFonts w:eastAsia="Times New Roman"/>
                <w:sz w:val="18"/>
                <w:szCs w:val="18"/>
                <w:lang w:val="en-GB" w:eastAsia="en-GB"/>
              </w:rPr>
            </w:pPr>
          </w:p>
        </w:tc>
        <w:tc>
          <w:tcPr>
            <w:tcW w:w="4320" w:type="dxa"/>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N</w:t>
            </w:r>
            <w:r>
              <w:rPr>
                <w:rFonts w:eastAsiaTheme="minorEastAsia"/>
                <w:sz w:val="18"/>
                <w:szCs w:val="18"/>
                <w:lang w:val="en-GB" w:eastAsia="zh-CN"/>
              </w:rPr>
              <w:t>A</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 xml:space="preserve">For </w:t>
            </w:r>
            <w:r>
              <w:rPr>
                <w:rFonts w:eastAsia="Times New Roman"/>
                <w:iCs/>
                <w:sz w:val="18"/>
                <w:szCs w:val="18"/>
                <w:lang w:val="en-GB" w:eastAsia="en-GB"/>
              </w:rPr>
              <w:t>two-sample</w:t>
            </w:r>
            <w:r>
              <w:rPr>
                <w:rFonts w:eastAsia="Times New Roman"/>
                <w:sz w:val="18"/>
                <w:szCs w:val="18"/>
                <w:lang w:val="en-GB" w:eastAsia="en-GB"/>
              </w:rPr>
              <w:t xml:space="preserve"> MR:</w:t>
            </w:r>
          </w:p>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 xml:space="preserve">   i.  Provide justification of the similarity of the genetic variant-exposure associations between the exposure and outcome samples</w:t>
            </w:r>
          </w:p>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 xml:space="preserve">   ii.  Provide information on the number of individuals who overlap between the exposure and outcome studies</w:t>
            </w:r>
          </w:p>
        </w:tc>
        <w:tc>
          <w:tcPr>
            <w:tcW w:w="720" w:type="dxa"/>
            <w:shd w:val="clear" w:color="auto" w:fill="EEEEEE"/>
          </w:tcPr>
          <w:p>
            <w:pPr>
              <w:spacing w:before="96" w:beforeLines="40" w:after="96" w:afterLines="40" w:line="24" w:lineRule="atLeast"/>
              <w:rPr>
                <w:rFonts w:eastAsia="Times New Roman"/>
                <w:sz w:val="18"/>
                <w:szCs w:val="18"/>
                <w:lang w:val="en-GB" w:eastAsia="en-GB"/>
              </w:rPr>
            </w:pP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Detailed information can be found in supplementary material table S2/S3</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11</w:t>
            </w:r>
          </w:p>
        </w:tc>
        <w:tc>
          <w:tcPr>
            <w:tcW w:w="1822" w:type="dxa"/>
            <w:shd w:val="clear" w:color="auto" w:fill="auto"/>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Main results</w:t>
            </w:r>
          </w:p>
        </w:tc>
        <w:tc>
          <w:tcPr>
            <w:tcW w:w="7041" w:type="dxa"/>
            <w:shd w:val="clear" w:color="auto" w:fill="auto"/>
          </w:tcPr>
          <w:p>
            <w:pPr>
              <w:spacing w:before="96" w:beforeLines="40" w:after="96" w:afterLines="40" w:line="24" w:lineRule="atLeast"/>
              <w:rPr>
                <w:rFonts w:eastAsia="Cambria"/>
                <w:sz w:val="18"/>
                <w:szCs w:val="18"/>
                <w:lang w:val="en-GB" w:eastAsia="en-US"/>
              </w:rPr>
            </w:pPr>
          </w:p>
        </w:tc>
        <w:tc>
          <w:tcPr>
            <w:tcW w:w="720" w:type="dxa"/>
          </w:tcPr>
          <w:p>
            <w:pPr>
              <w:spacing w:before="96" w:beforeLines="40" w:after="96" w:afterLines="40" w:line="24" w:lineRule="atLeast"/>
              <w:rPr>
                <w:rFonts w:eastAsia="Cambria"/>
                <w:sz w:val="18"/>
                <w:szCs w:val="18"/>
                <w:lang w:val="en-GB" w:eastAsia="en-US"/>
              </w:rPr>
            </w:pPr>
          </w:p>
        </w:tc>
        <w:tc>
          <w:tcPr>
            <w:tcW w:w="4320" w:type="dxa"/>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Report the associations between genetic variant and exposure, and between genetic variant and outcome, preferably on an interpretable scale</w:t>
            </w:r>
          </w:p>
        </w:tc>
        <w:tc>
          <w:tcPr>
            <w:tcW w:w="720" w:type="dxa"/>
            <w:shd w:val="clear" w:color="auto" w:fill="EEEEEE"/>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4</w:t>
            </w:r>
            <w:r>
              <w:rPr>
                <w:rFonts w:eastAsiaTheme="minorEastAsia"/>
                <w:sz w:val="18"/>
                <w:szCs w:val="18"/>
                <w:lang w:val="en-GB" w:eastAsia="zh-CN"/>
              </w:rPr>
              <w:t>-5</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Detailed information can be found in Table1</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Report MR estimates of the relationship between exposure and outcome, and the measures of uncertainty from the MR analysis, on an interpretable scale, such as odds ratio or relative risk per SD difference</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4-5</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Detailed information can be found in Table1</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If relevant, consider translating estimates of relative risk into absolute risk for a meaningful time period</w:t>
            </w:r>
          </w:p>
        </w:tc>
        <w:tc>
          <w:tcPr>
            <w:tcW w:w="7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4-5</w:t>
            </w:r>
          </w:p>
        </w:tc>
        <w:tc>
          <w:tcPr>
            <w:tcW w:w="4320" w:type="dxa"/>
            <w:shd w:val="clear" w:color="auto" w:fill="EEEEEE"/>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N</w:t>
            </w:r>
            <w:r>
              <w:rPr>
                <w:rFonts w:eastAsiaTheme="minorEastAsia"/>
                <w:sz w:val="18"/>
                <w:szCs w:val="18"/>
                <w:lang w:val="en-GB" w:eastAsia="zh-CN"/>
              </w:rPr>
              <w:t>A</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Consider plots to visualize results (e.g. forest plot, scatterplot of associations between genetic variants and outcome versus between genetic variants and exposure)</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4-5</w:t>
            </w:r>
          </w:p>
        </w:tc>
        <w:tc>
          <w:tcPr>
            <w:tcW w:w="43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Detailed information can be found in figure 2</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12</w:t>
            </w:r>
          </w:p>
        </w:tc>
        <w:tc>
          <w:tcPr>
            <w:tcW w:w="1822" w:type="dxa"/>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Assessment of assumptions</w:t>
            </w:r>
          </w:p>
        </w:tc>
        <w:tc>
          <w:tcPr>
            <w:tcW w:w="7041" w:type="dxa"/>
            <w:shd w:val="clear" w:color="auto" w:fill="EEEEEE"/>
          </w:tcPr>
          <w:p>
            <w:pPr>
              <w:spacing w:before="96" w:beforeLines="40" w:after="96" w:afterLines="40" w:line="24" w:lineRule="atLeast"/>
              <w:rPr>
                <w:rFonts w:eastAsia="Cambria"/>
                <w:sz w:val="18"/>
                <w:szCs w:val="18"/>
                <w:lang w:val="en-GB" w:eastAsia="en-US"/>
              </w:rPr>
            </w:pPr>
          </w:p>
        </w:tc>
        <w:tc>
          <w:tcPr>
            <w:tcW w:w="720" w:type="dxa"/>
            <w:shd w:val="clear" w:color="auto" w:fill="EEEEEE"/>
          </w:tcPr>
          <w:p>
            <w:pPr>
              <w:spacing w:before="96" w:beforeLines="40" w:after="96" w:afterLines="40" w:line="24" w:lineRule="atLeast"/>
              <w:rPr>
                <w:rFonts w:eastAsia="Cambria"/>
                <w:sz w:val="18"/>
                <w:szCs w:val="18"/>
                <w:lang w:val="en-GB" w:eastAsia="en-US"/>
              </w:rPr>
            </w:pPr>
          </w:p>
        </w:tc>
        <w:tc>
          <w:tcPr>
            <w:tcW w:w="4320" w:type="dxa"/>
            <w:shd w:val="clear" w:color="auto" w:fill="EEEEEE"/>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Report the assessment of the validity of the assumptions</w:t>
            </w:r>
          </w:p>
        </w:tc>
        <w:tc>
          <w:tcPr>
            <w:tcW w:w="720" w:type="dxa"/>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4-5</w:t>
            </w:r>
          </w:p>
        </w:tc>
        <w:tc>
          <w:tcPr>
            <w:tcW w:w="4320" w:type="dxa"/>
          </w:tcPr>
          <w:p>
            <w:pPr>
              <w:spacing w:before="96" w:beforeLines="40" w:after="96" w:afterLines="40" w:line="24" w:lineRule="atLeast"/>
              <w:rPr>
                <w:rFonts w:hint="eastAsia" w:eastAsiaTheme="minorEastAsia"/>
                <w:sz w:val="18"/>
                <w:szCs w:val="18"/>
                <w:lang w:val="en-GB" w:eastAsia="zh-CN"/>
              </w:rPr>
            </w:pPr>
            <w:r>
              <w:rPr>
                <w:rFonts w:hint="eastAsia" w:eastAsiaTheme="minorEastAsia"/>
                <w:sz w:val="18"/>
                <w:szCs w:val="18"/>
                <w:lang w:val="en-GB" w:eastAsia="zh-CN"/>
              </w:rPr>
              <w:t>Th</w:t>
            </w:r>
            <w:r>
              <w:rPr>
                <w:rFonts w:hint="eastAsia" w:eastAsiaTheme="minorEastAsia"/>
                <w:sz w:val="18"/>
                <w:szCs w:val="18"/>
                <w:lang w:val="en-US" w:eastAsia="zh-CN"/>
              </w:rPr>
              <w:t>is</w:t>
            </w:r>
            <w:r>
              <w:rPr>
                <w:rFonts w:hint="eastAsia" w:eastAsiaTheme="minorEastAsia"/>
                <w:sz w:val="18"/>
                <w:szCs w:val="18"/>
                <w:lang w:val="en-GB" w:eastAsia="zh-CN"/>
              </w:rPr>
              <w:t xml:space="preserve"> paper reports the results of the assessment of the validity of the associated hypotheses in several places throughout the text and in the </w:t>
            </w:r>
            <w:r>
              <w:rPr>
                <w:rFonts w:hint="eastAsia" w:eastAsiaTheme="minorEastAsia"/>
                <w:sz w:val="18"/>
                <w:szCs w:val="18"/>
                <w:lang w:val="en-US" w:eastAsia="zh-CN"/>
              </w:rPr>
              <w:t>supplementary materials</w:t>
            </w:r>
            <w:r>
              <w:rPr>
                <w:rFonts w:hint="eastAsia" w:eastAsiaTheme="minorEastAsia"/>
                <w:sz w:val="18"/>
                <w:szCs w:val="18"/>
                <w:lang w:val="en-GB" w:eastAsia="zh-CN"/>
              </w:rPr>
              <w:t>, e.g.,  Table</w:t>
            </w:r>
            <w:r>
              <w:rPr>
                <w:rFonts w:hint="eastAsia" w:eastAsiaTheme="minorEastAsia"/>
                <w:sz w:val="18"/>
                <w:szCs w:val="18"/>
                <w:lang w:val="en-US" w:eastAsia="zh-CN"/>
              </w:rPr>
              <w:t>1, Table</w:t>
            </w:r>
            <w:r>
              <w:rPr>
                <w:rFonts w:hint="eastAsia" w:eastAsiaTheme="minorEastAsia"/>
                <w:sz w:val="18"/>
                <w:szCs w:val="18"/>
                <w:lang w:val="en-GB" w:eastAsia="zh-CN"/>
              </w:rPr>
              <w:t xml:space="preserve"> 2 and  Table </w:t>
            </w:r>
            <w:r>
              <w:rPr>
                <w:rFonts w:hint="eastAsia" w:eastAsiaTheme="minorEastAsia"/>
                <w:sz w:val="18"/>
                <w:szCs w:val="18"/>
                <w:lang w:val="en-US" w:eastAsia="zh-CN"/>
              </w:rPr>
              <w:t>S2</w:t>
            </w:r>
            <w:r>
              <w:rPr>
                <w:rFonts w:hint="eastAsia" w:eastAsiaTheme="minorEastAsia"/>
                <w:sz w:val="18"/>
                <w:szCs w:val="18"/>
                <w:lang w:val="en-GB" w:eastAsia="zh-CN"/>
              </w:rPr>
              <w:t xml:space="preserve"> . For example, In Table </w:t>
            </w:r>
            <w:r>
              <w:rPr>
                <w:rFonts w:hint="eastAsia" w:eastAsiaTheme="minorEastAsia"/>
                <w:sz w:val="18"/>
                <w:szCs w:val="18"/>
                <w:lang w:val="en-US" w:eastAsia="zh-CN"/>
              </w:rPr>
              <w:t>2</w:t>
            </w:r>
            <w:r>
              <w:rPr>
                <w:rFonts w:hint="eastAsia" w:eastAsiaTheme="minorEastAsia"/>
                <w:sz w:val="18"/>
                <w:szCs w:val="18"/>
                <w:lang w:val="en-GB" w:eastAsia="zh-CN"/>
              </w:rPr>
              <w:t>, the heterogeneity of the statistical model was tested with the Q-statistic to assess its stability</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 xml:space="preserve">Report any additional statistics (e.g., assessments of heterogeneity </w:t>
            </w:r>
            <w:r>
              <w:rPr>
                <w:rFonts w:eastAsia="Times New Roman"/>
                <w:sz w:val="18"/>
                <w:szCs w:val="18"/>
                <w:lang w:eastAsia="en-GB"/>
              </w:rPr>
              <w:t>across genetic variants</w:t>
            </w:r>
            <w:r>
              <w:rPr>
                <w:rFonts w:eastAsia="Times New Roman"/>
                <w:sz w:val="18"/>
                <w:szCs w:val="18"/>
                <w:lang w:val="en-GB" w:eastAsia="en-GB"/>
              </w:rPr>
              <w:t xml:space="preserve">, such as </w:t>
            </w:r>
            <w:r>
              <w:rPr>
                <w:rFonts w:eastAsia="Times New Roman"/>
                <w:i/>
                <w:sz w:val="18"/>
                <w:szCs w:val="18"/>
                <w:lang w:val="en-GB" w:eastAsia="en-GB"/>
              </w:rPr>
              <w:t>I</w:t>
            </w:r>
            <w:r>
              <w:rPr>
                <w:rFonts w:eastAsia="Times New Roman"/>
                <w:i/>
                <w:sz w:val="18"/>
                <w:szCs w:val="18"/>
                <w:vertAlign w:val="superscript"/>
                <w:lang w:val="en-GB" w:eastAsia="en-GB"/>
              </w:rPr>
              <w:t>2</w:t>
            </w:r>
            <w:r>
              <w:rPr>
                <w:rFonts w:eastAsia="Times New Roman"/>
                <w:sz w:val="18"/>
                <w:szCs w:val="18"/>
                <w:lang w:val="en-GB" w:eastAsia="en-GB"/>
              </w:rPr>
              <w:t>, Q statistic or E-value)</w:t>
            </w:r>
          </w:p>
        </w:tc>
        <w:tc>
          <w:tcPr>
            <w:tcW w:w="7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4-5</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hint="eastAsia" w:eastAsia="Times New Roman"/>
                <w:sz w:val="18"/>
                <w:szCs w:val="18"/>
                <w:lang w:val="en-GB" w:eastAsia="en-GB"/>
              </w:rPr>
              <w:t xml:space="preserve">the results of the Q-statistic in Table </w:t>
            </w:r>
            <w:r>
              <w:rPr>
                <w:rFonts w:hint="eastAsia" w:eastAsia="宋体"/>
                <w:sz w:val="18"/>
                <w:szCs w:val="18"/>
                <w:lang w:val="en-US" w:eastAsia="zh-CN"/>
              </w:rPr>
              <w:t>2</w:t>
            </w:r>
            <w:r>
              <w:rPr>
                <w:rFonts w:hint="eastAsia" w:eastAsia="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13</w:t>
            </w:r>
          </w:p>
        </w:tc>
        <w:tc>
          <w:tcPr>
            <w:tcW w:w="1822"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Sensitivity analyses and additional analyses</w:t>
            </w:r>
          </w:p>
        </w:tc>
        <w:tc>
          <w:tcPr>
            <w:tcW w:w="7041" w:type="dxa"/>
            <w:shd w:val="clear" w:color="auto" w:fill="auto"/>
          </w:tcPr>
          <w:p>
            <w:pPr>
              <w:spacing w:before="96" w:beforeLines="40" w:after="96" w:afterLines="40" w:line="24" w:lineRule="atLeast"/>
              <w:rPr>
                <w:rFonts w:eastAsia="Cambria"/>
                <w:sz w:val="18"/>
                <w:szCs w:val="18"/>
                <w:lang w:val="en-GB" w:eastAsia="en-US"/>
              </w:rPr>
            </w:pPr>
          </w:p>
        </w:tc>
        <w:tc>
          <w:tcPr>
            <w:tcW w:w="720" w:type="dxa"/>
          </w:tcPr>
          <w:p>
            <w:pPr>
              <w:spacing w:before="96" w:beforeLines="40" w:after="96" w:afterLines="40" w:line="24" w:lineRule="atLeast"/>
              <w:rPr>
                <w:rFonts w:eastAsia="Cambria"/>
                <w:sz w:val="18"/>
                <w:szCs w:val="18"/>
                <w:lang w:val="en-GB" w:eastAsia="en-US"/>
              </w:rPr>
            </w:pPr>
          </w:p>
        </w:tc>
        <w:tc>
          <w:tcPr>
            <w:tcW w:w="4320" w:type="dxa"/>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Report any sensitivity analyses to assess the robustness of the main results to violations of the assumptions</w:t>
            </w:r>
          </w:p>
        </w:tc>
        <w:tc>
          <w:tcPr>
            <w:tcW w:w="7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4-5</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hint="eastAsia" w:eastAsia="Times New Roman"/>
                <w:sz w:val="18"/>
                <w:szCs w:val="18"/>
                <w:lang w:val="en-GB" w:eastAsia="en-GB"/>
              </w:rPr>
              <w:t xml:space="preserve">The results of the MR analysis obtained by the three analytical methods, including the weighted median method, MR-Egger and MR-PRESSO, are presented in Table </w:t>
            </w:r>
            <w:r>
              <w:rPr>
                <w:rFonts w:hint="eastAsia" w:eastAsia="宋体"/>
                <w:sz w:val="18"/>
                <w:szCs w:val="18"/>
                <w:lang w:val="en-US" w:eastAsia="zh-CN"/>
              </w:rPr>
              <w:t>1 and Table S2</w:t>
            </w:r>
            <w:r>
              <w:rPr>
                <w:rFonts w:hint="eastAsia" w:eastAsia="Times New Roman"/>
                <w:sz w:val="18"/>
                <w:szCs w:val="18"/>
                <w:lang w:val="en-GB" w:eastAsia="en-GB"/>
              </w:rPr>
              <w:t xml:space="preserve"> .</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Report results from other sensitivity analyses or additional analyses</w:t>
            </w:r>
          </w:p>
        </w:tc>
        <w:tc>
          <w:tcPr>
            <w:tcW w:w="720" w:type="dxa"/>
          </w:tcPr>
          <w:p>
            <w:pPr>
              <w:spacing w:before="96" w:beforeLines="40" w:after="96" w:afterLines="40" w:line="24" w:lineRule="atLeast"/>
              <w:rPr>
                <w:rFonts w:eastAsia="Times New Roman"/>
                <w:sz w:val="18"/>
                <w:szCs w:val="18"/>
                <w:lang w:val="en-GB" w:eastAsia="en-GB"/>
              </w:rPr>
            </w:pPr>
          </w:p>
        </w:tc>
        <w:tc>
          <w:tcPr>
            <w:tcW w:w="4320" w:type="dxa"/>
          </w:tcPr>
          <w:p>
            <w:pPr>
              <w:spacing w:before="96" w:beforeLines="40" w:after="96" w:afterLines="40" w:line="24" w:lineRule="atLeast"/>
              <w:rPr>
                <w:rFonts w:hint="default" w:eastAsia="宋体"/>
                <w:sz w:val="18"/>
                <w:szCs w:val="18"/>
                <w:lang w:val="en-US" w:eastAsia="zh-CN"/>
              </w:rPr>
            </w:pPr>
            <w:r>
              <w:rPr>
                <w:rFonts w:hint="eastAsia" w:eastAsia="宋体"/>
                <w:sz w:val="18"/>
                <w:szCs w:val="18"/>
                <w:lang w:val="en-US" w:eastAsia="zh-CN"/>
              </w:rPr>
              <w:t>The results of leave-one-out analysis was shown in Supplementary figure 2/4/6.</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Report any assessment of direction of causal relationship (e.g., bidirectional MR)</w:t>
            </w:r>
          </w:p>
        </w:tc>
        <w:tc>
          <w:tcPr>
            <w:tcW w:w="720" w:type="dxa"/>
            <w:shd w:val="clear" w:color="auto" w:fill="EEEEEE"/>
          </w:tcPr>
          <w:p>
            <w:pPr>
              <w:spacing w:before="96" w:beforeLines="40" w:after="96" w:afterLines="40" w:line="24" w:lineRule="atLeast"/>
              <w:rPr>
                <w:rFonts w:hint="default" w:eastAsia="宋体"/>
                <w:sz w:val="18"/>
                <w:szCs w:val="18"/>
                <w:lang w:val="en-US" w:eastAsia="zh-CN"/>
              </w:rPr>
            </w:pPr>
            <w:r>
              <w:rPr>
                <w:rFonts w:hint="eastAsia" w:eastAsia="宋体"/>
                <w:sz w:val="18"/>
                <w:szCs w:val="18"/>
                <w:lang w:val="en-US" w:eastAsia="zh-CN"/>
              </w:rPr>
              <w:t xml:space="preserve">NA </w:t>
            </w:r>
          </w:p>
        </w:tc>
        <w:tc>
          <w:tcPr>
            <w:tcW w:w="4320" w:type="dxa"/>
            <w:shd w:val="clear" w:color="auto" w:fill="EEEEEE"/>
          </w:tcPr>
          <w:p>
            <w:pPr>
              <w:spacing w:before="96" w:beforeLines="40" w:after="96" w:afterLines="40" w:line="24" w:lineRule="atLeast"/>
              <w:rPr>
                <w:rFonts w:hint="default" w:eastAsia="宋体"/>
                <w:sz w:val="18"/>
                <w:szCs w:val="18"/>
                <w:lang w:val="en-US" w:eastAsia="zh-CN"/>
              </w:rPr>
            </w:pPr>
            <w:r>
              <w:rPr>
                <w:rFonts w:hint="eastAsia" w:eastAsia="宋体"/>
                <w:sz w:val="18"/>
                <w:szCs w:val="18"/>
                <w:lang w:val="en-US" w:eastAsia="zh-CN"/>
              </w:rPr>
              <w:t>NA</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d)</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When relevant, report and compare with estimates from non-MR analyses</w:t>
            </w:r>
          </w:p>
        </w:tc>
        <w:tc>
          <w:tcPr>
            <w:tcW w:w="720" w:type="dxa"/>
          </w:tcPr>
          <w:p>
            <w:pPr>
              <w:spacing w:before="96" w:beforeLines="40" w:after="96" w:afterLines="40" w:line="24" w:lineRule="atLeast"/>
              <w:rPr>
                <w:rFonts w:eastAsia="Times New Roman"/>
                <w:sz w:val="18"/>
                <w:szCs w:val="18"/>
                <w:lang w:val="en-GB" w:eastAsia="en-GB"/>
              </w:rPr>
            </w:pPr>
          </w:p>
        </w:tc>
        <w:tc>
          <w:tcPr>
            <w:tcW w:w="4320" w:type="dxa"/>
          </w:tcPr>
          <w:p>
            <w:pPr>
              <w:spacing w:before="96" w:beforeLines="40" w:after="96" w:afterLines="40" w:line="24" w:lineRule="atLeast"/>
              <w:rPr>
                <w:rFonts w:eastAsia="Times New Roman"/>
                <w:sz w:val="18"/>
                <w:szCs w:val="18"/>
                <w:lang w:val="en-GB" w:eastAsia="en-GB"/>
              </w:rPr>
            </w:pP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tcBorders>
              <w:bottom w:val="single" w:color="7F7F7F" w:sz="6" w:space="0"/>
            </w:tcBorders>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e)</w:t>
            </w:r>
          </w:p>
        </w:tc>
        <w:tc>
          <w:tcPr>
            <w:tcW w:w="7041"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Consider additional plots to visualize results (e.g., leave-one-out analyses)</w:t>
            </w:r>
          </w:p>
        </w:tc>
        <w:tc>
          <w:tcPr>
            <w:tcW w:w="7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p>
        </w:tc>
        <w:tc>
          <w:tcPr>
            <w:tcW w:w="43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hint="eastAsia" w:eastAsia="宋体"/>
                <w:sz w:val="18"/>
                <w:szCs w:val="18"/>
                <w:lang w:val="en-US" w:eastAsia="zh-CN"/>
              </w:rPr>
              <w:t>The results of leave-one-out analysis was shown in Supplementary figure 2/4/6.</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eastAsia="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DISCUSSION</w:t>
            </w:r>
          </w:p>
        </w:tc>
        <w:tc>
          <w:tcPr>
            <w:tcW w:w="7041" w:type="dxa"/>
            <w:tcBorders>
              <w:top w:val="single" w:color="7F7F7F" w:sz="6" w:space="0"/>
            </w:tcBorders>
            <w:shd w:val="clear" w:color="auto" w:fill="auto"/>
          </w:tcPr>
          <w:p>
            <w:pPr>
              <w:spacing w:before="96" w:beforeLines="40" w:after="96" w:afterLines="40" w:line="24" w:lineRule="atLeast"/>
              <w:rPr>
                <w:rFonts w:eastAsia="Cambria"/>
                <w:sz w:val="18"/>
                <w:szCs w:val="18"/>
                <w:lang w:val="en-GB" w:eastAsia="en-US"/>
              </w:rPr>
            </w:pPr>
          </w:p>
        </w:tc>
        <w:tc>
          <w:tcPr>
            <w:tcW w:w="720" w:type="dxa"/>
            <w:tcBorders>
              <w:top w:val="single" w:color="7F7F7F" w:sz="6" w:space="0"/>
            </w:tcBorders>
          </w:tcPr>
          <w:p>
            <w:pPr>
              <w:spacing w:before="96" w:beforeLines="40" w:after="96" w:afterLines="40" w:line="24" w:lineRule="atLeast"/>
              <w:rPr>
                <w:rFonts w:eastAsia="Cambria"/>
                <w:sz w:val="18"/>
                <w:szCs w:val="18"/>
                <w:lang w:val="en-GB" w:eastAsia="en-US"/>
              </w:rPr>
            </w:pPr>
          </w:p>
        </w:tc>
        <w:tc>
          <w:tcPr>
            <w:tcW w:w="4320" w:type="dxa"/>
            <w:tcBorders>
              <w:top w:val="single" w:color="7F7F7F" w:sz="6" w:space="0"/>
            </w:tcBorders>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14</w:t>
            </w:r>
          </w:p>
        </w:tc>
        <w:tc>
          <w:tcPr>
            <w:tcW w:w="1822"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Key results </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Summarize key results with reference to study objectives</w:t>
            </w:r>
          </w:p>
        </w:tc>
        <w:tc>
          <w:tcPr>
            <w:tcW w:w="720" w:type="dxa"/>
            <w:shd w:val="clear" w:color="auto" w:fill="EEEEEE"/>
          </w:tcPr>
          <w:p>
            <w:pPr>
              <w:spacing w:before="96" w:beforeLines="40" w:after="96" w:afterLines="40" w:line="24" w:lineRule="atLeast"/>
              <w:rPr>
                <w:rFonts w:hint="eastAsia" w:eastAsia="宋体"/>
                <w:sz w:val="18"/>
                <w:szCs w:val="18"/>
                <w:lang w:val="en-US" w:eastAsia="zh-CN"/>
              </w:rPr>
            </w:pPr>
            <w:r>
              <w:rPr>
                <w:rFonts w:hint="eastAsia" w:eastAsia="宋体"/>
                <w:sz w:val="18"/>
                <w:szCs w:val="18"/>
                <w:lang w:val="en-US" w:eastAsia="zh-CN"/>
              </w:rPr>
              <w:t>7</w:t>
            </w:r>
          </w:p>
        </w:tc>
        <w:tc>
          <w:tcPr>
            <w:tcW w:w="4320"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We found that elevated beta-nerve growth factor increased the risk of sepsis, while decreased RANTES and Fibroblast growth factor decreased the risk of sepsis.</w:t>
            </w:r>
          </w:p>
          <w:p>
            <w:pPr>
              <w:spacing w:before="96" w:beforeLines="40" w:after="96" w:afterLines="40" w:line="24" w:lineRule="atLeast"/>
              <w:rPr>
                <w:rFonts w:eastAsia="Times New Roman"/>
                <w:sz w:val="18"/>
                <w:szCs w:val="18"/>
                <w:lang w:val="en-GB" w:eastAsia="en-GB"/>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15</w:t>
            </w:r>
          </w:p>
        </w:tc>
        <w:tc>
          <w:tcPr>
            <w:tcW w:w="1822"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Limitations</w:t>
            </w:r>
          </w:p>
        </w:tc>
        <w:tc>
          <w:tcPr>
            <w:tcW w:w="7041"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Discuss limitations of the study, taking into account the validity of the IV assumptions, other sources of potential bias, and imprecision. Discuss both direction and magnitude of any potential bias and any efforts to address them</w:t>
            </w:r>
            <w:r>
              <w:rPr>
                <w:rFonts w:eastAsia="Times New Roman"/>
                <w:sz w:val="18"/>
                <w:szCs w:val="18"/>
                <w:shd w:val="clear" w:color="auto" w:fill="FFFFFF"/>
                <w:lang w:val="en-GB" w:eastAsia="en-GB"/>
              </w:rPr>
              <w:t> </w:t>
            </w:r>
          </w:p>
        </w:tc>
        <w:tc>
          <w:tcPr>
            <w:tcW w:w="720" w:type="dxa"/>
          </w:tcPr>
          <w:p>
            <w:pPr>
              <w:spacing w:before="96" w:beforeLines="40" w:after="96" w:afterLines="40" w:line="24" w:lineRule="atLeast"/>
              <w:rPr>
                <w:rFonts w:hint="eastAsia" w:eastAsia="宋体"/>
                <w:sz w:val="18"/>
                <w:szCs w:val="18"/>
                <w:lang w:val="en-US" w:eastAsia="zh-CN"/>
              </w:rPr>
            </w:pPr>
            <w:r>
              <w:rPr>
                <w:rFonts w:hint="eastAsia" w:eastAsia="宋体"/>
                <w:sz w:val="18"/>
                <w:szCs w:val="18"/>
                <w:lang w:val="en-US" w:eastAsia="zh-CN"/>
              </w:rPr>
              <w:t>8</w:t>
            </w:r>
          </w:p>
        </w:tc>
        <w:tc>
          <w:tcPr>
            <w:tcW w:w="4320" w:type="dxa"/>
          </w:tcPr>
          <w:p>
            <w:pPr>
              <w:spacing w:before="96" w:beforeLines="40" w:after="96" w:afterLines="40" w:line="24" w:lineRule="atLeast"/>
              <w:rPr>
                <w:rFonts w:eastAsia="Times New Roman"/>
                <w:sz w:val="18"/>
                <w:szCs w:val="18"/>
                <w:lang w:val="en-GB" w:eastAsia="en-GB"/>
              </w:rPr>
            </w:pPr>
            <w:r>
              <w:rPr>
                <w:rFonts w:hint="eastAsia" w:eastAsia="Times New Roman"/>
                <w:sz w:val="18"/>
                <w:szCs w:val="18"/>
                <w:lang w:val="en-GB" w:eastAsia="en-GB"/>
              </w:rPr>
              <w:t>The limitations of the study are discussed at great length in the example essay in terms of the data sources, the three main hypotheses, and the analytical process in detail</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16</w:t>
            </w:r>
          </w:p>
        </w:tc>
        <w:tc>
          <w:tcPr>
            <w:tcW w:w="1822"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Interpretation</w:t>
            </w:r>
          </w:p>
        </w:tc>
        <w:tc>
          <w:tcPr>
            <w:tcW w:w="7041" w:type="dxa"/>
            <w:shd w:val="clear" w:color="auto" w:fill="EEEEEE"/>
          </w:tcPr>
          <w:p>
            <w:pPr>
              <w:spacing w:before="96" w:beforeLines="40" w:after="96" w:afterLines="40" w:line="24" w:lineRule="atLeast"/>
              <w:rPr>
                <w:rFonts w:eastAsia="Cambria"/>
                <w:sz w:val="18"/>
                <w:szCs w:val="18"/>
                <w:lang w:val="en-GB" w:eastAsia="en-US"/>
              </w:rPr>
            </w:pPr>
          </w:p>
        </w:tc>
        <w:tc>
          <w:tcPr>
            <w:tcW w:w="720" w:type="dxa"/>
            <w:shd w:val="clear" w:color="auto" w:fill="EEEEEE"/>
          </w:tcPr>
          <w:p>
            <w:pPr>
              <w:spacing w:before="96" w:beforeLines="40" w:after="96" w:afterLines="40" w:line="24" w:lineRule="atLeast"/>
              <w:rPr>
                <w:rFonts w:eastAsia="Cambria"/>
                <w:sz w:val="18"/>
                <w:szCs w:val="18"/>
                <w:lang w:val="en-GB" w:eastAsia="en-US"/>
              </w:rPr>
            </w:pPr>
          </w:p>
        </w:tc>
        <w:tc>
          <w:tcPr>
            <w:tcW w:w="4320" w:type="dxa"/>
            <w:shd w:val="clear" w:color="auto" w:fill="EEEEEE"/>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a)</w:t>
            </w:r>
          </w:p>
        </w:tc>
        <w:tc>
          <w:tcPr>
            <w:tcW w:w="7041" w:type="dxa"/>
            <w:shd w:val="clear" w:color="auto" w:fill="auto"/>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Meaning: Give a cautious overall interpretation of results in the context of their limitations and in comparison with other studies</w:t>
            </w:r>
          </w:p>
        </w:tc>
        <w:tc>
          <w:tcPr>
            <w:tcW w:w="720" w:type="dxa"/>
          </w:tcPr>
          <w:p>
            <w:pPr>
              <w:spacing w:before="96" w:beforeLines="40" w:after="96" w:afterLines="40" w:line="24" w:lineRule="atLeast"/>
              <w:rPr>
                <w:rFonts w:hint="default" w:eastAsia="宋体"/>
                <w:sz w:val="18"/>
                <w:szCs w:val="18"/>
                <w:lang w:val="en-US" w:eastAsia="zh-CN"/>
              </w:rPr>
            </w:pPr>
            <w:r>
              <w:rPr>
                <w:rFonts w:hint="eastAsia" w:eastAsia="宋体"/>
                <w:sz w:val="18"/>
                <w:szCs w:val="18"/>
                <w:lang w:val="en-US" w:eastAsia="zh-CN"/>
              </w:rPr>
              <w:t>7-8</w:t>
            </w:r>
          </w:p>
        </w:tc>
        <w:tc>
          <w:tcPr>
            <w:tcW w:w="4320" w:type="dxa"/>
          </w:tcPr>
          <w:p>
            <w:pPr>
              <w:spacing w:before="96" w:beforeLines="40" w:after="96" w:afterLines="40" w:line="24" w:lineRule="atLeast"/>
              <w:rPr>
                <w:rFonts w:eastAsia="Times New Roman"/>
                <w:sz w:val="18"/>
                <w:szCs w:val="18"/>
                <w:lang w:val="en-GB" w:eastAsia="en-GB"/>
              </w:rPr>
            </w:pPr>
            <w:r>
              <w:rPr>
                <w:rFonts w:hint="eastAsia" w:eastAsia="Times New Roman"/>
                <w:sz w:val="18"/>
                <w:szCs w:val="18"/>
                <w:lang w:val="en-GB" w:eastAsia="en-GB"/>
              </w:rPr>
              <w:t>The entry is discussed at maximum length in the example text, which rationalizes the MR results by comparing them to multiple published studies.</w:t>
            </w: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EEEEEE"/>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b)</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 xml:space="preserve">Mechanism: Discuss underlying biological mechanisms that could drive a potential causal relationship between the investigated exposure and the outcome, and whether the gene-environment equivalence assumption is reasonable. Use causal language carefully, clarifying that IV estimates may provide causal effects only under certain assumptions </w:t>
            </w:r>
          </w:p>
        </w:tc>
        <w:tc>
          <w:tcPr>
            <w:tcW w:w="720" w:type="dxa"/>
            <w:shd w:val="clear" w:color="auto" w:fill="EEEEEE"/>
          </w:tcPr>
          <w:p>
            <w:pPr>
              <w:spacing w:before="96" w:beforeLines="40" w:after="96" w:afterLines="40" w:line="24" w:lineRule="atLeast"/>
              <w:rPr>
                <w:rFonts w:eastAsia="Times New Roman"/>
                <w:sz w:val="18"/>
                <w:szCs w:val="18"/>
                <w:lang w:val="en-GB" w:eastAsia="en-GB"/>
              </w:rPr>
            </w:pPr>
            <w:r>
              <w:rPr>
                <w:rFonts w:hint="eastAsia" w:eastAsia="宋体"/>
                <w:sz w:val="18"/>
                <w:szCs w:val="18"/>
                <w:lang w:val="en-US" w:eastAsia="zh-CN"/>
              </w:rPr>
              <w:t>7-8</w:t>
            </w:r>
          </w:p>
        </w:tc>
        <w:tc>
          <w:tcPr>
            <w:tcW w:w="4320" w:type="dxa"/>
            <w:shd w:val="clear" w:color="auto" w:fill="EEEEEE"/>
          </w:tcPr>
          <w:p>
            <w:pPr>
              <w:spacing w:before="96" w:beforeLines="40" w:after="96" w:afterLines="40" w:line="24" w:lineRule="atLeast"/>
              <w:rPr>
                <w:rFonts w:hint="eastAsia" w:eastAsia="宋体"/>
                <w:sz w:val="18"/>
                <w:szCs w:val="18"/>
                <w:lang w:val="en-US" w:eastAsia="zh-CN"/>
              </w:rPr>
            </w:pPr>
            <w:r>
              <w:rPr>
                <w:rFonts w:hint="eastAsia" w:eastAsia="Times New Roman"/>
                <w:sz w:val="18"/>
                <w:szCs w:val="18"/>
                <w:lang w:val="en-GB" w:eastAsia="en-GB"/>
              </w:rPr>
              <w:t>Th</w:t>
            </w:r>
            <w:r>
              <w:rPr>
                <w:rFonts w:hint="eastAsia" w:eastAsia="宋体"/>
                <w:sz w:val="18"/>
                <w:szCs w:val="18"/>
                <w:lang w:val="en-US" w:eastAsia="zh-CN"/>
              </w:rPr>
              <w:t>is study</w:t>
            </w:r>
            <w:r>
              <w:rPr>
                <w:rFonts w:hint="eastAsia" w:eastAsia="Times New Roman"/>
                <w:sz w:val="18"/>
                <w:szCs w:val="18"/>
                <w:lang w:val="en-GB" w:eastAsia="en-GB"/>
              </w:rPr>
              <w:t xml:space="preserve"> </w:t>
            </w:r>
            <w:r>
              <w:rPr>
                <w:rFonts w:hint="eastAsia" w:eastAsia="宋体"/>
                <w:sz w:val="18"/>
                <w:szCs w:val="18"/>
                <w:lang w:val="en-US" w:eastAsia="zh-CN"/>
              </w:rPr>
              <w:t>discussed</w:t>
            </w:r>
            <w:r>
              <w:rPr>
                <w:rFonts w:hint="eastAsia" w:eastAsia="Times New Roman"/>
                <w:sz w:val="18"/>
                <w:szCs w:val="18"/>
                <w:lang w:val="en-GB" w:eastAsia="en-GB"/>
              </w:rPr>
              <w:t xml:space="preserve"> the biological mechanism</w:t>
            </w:r>
            <w:r>
              <w:rPr>
                <w:rFonts w:hint="eastAsia" w:eastAsia="宋体"/>
                <w:sz w:val="18"/>
                <w:szCs w:val="18"/>
                <w:lang w:val="en-US" w:eastAsia="zh-CN"/>
              </w:rPr>
              <w:t>, for example, FGF5 protects against myocardial injury caused by sepsis by inhibiting CaMKII/NF-κB signaling</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jc w:val="right"/>
              <w:rPr>
                <w:rFonts w:eastAsia="Cambria"/>
                <w:b/>
                <w:bCs/>
                <w:sz w:val="18"/>
                <w:szCs w:val="18"/>
                <w:lang w:val="en-GB" w:eastAsia="en-US"/>
              </w:rPr>
            </w:pPr>
          </w:p>
        </w:tc>
        <w:tc>
          <w:tcPr>
            <w:tcW w:w="1822" w:type="dxa"/>
            <w:shd w:val="clear" w:color="auto" w:fill="auto"/>
          </w:tcPr>
          <w:p>
            <w:pPr>
              <w:spacing w:before="96" w:beforeLines="40" w:after="96" w:afterLines="40" w:line="24" w:lineRule="atLeast"/>
              <w:jc w:val="right"/>
              <w:rPr>
                <w:rFonts w:eastAsia="Cambria"/>
                <w:sz w:val="18"/>
                <w:szCs w:val="18"/>
                <w:lang w:val="en-GB" w:eastAsia="en-US"/>
              </w:rPr>
            </w:pPr>
            <w:r>
              <w:rPr>
                <w:rFonts w:eastAsia="Cambria"/>
                <w:sz w:val="18"/>
                <w:szCs w:val="18"/>
                <w:lang w:val="en-GB" w:eastAsia="en-US"/>
              </w:rPr>
              <w:t>c)</w:t>
            </w:r>
          </w:p>
        </w:tc>
        <w:tc>
          <w:tcPr>
            <w:tcW w:w="7041" w:type="dxa"/>
            <w:shd w:val="clear" w:color="auto" w:fill="auto"/>
          </w:tcPr>
          <w:p>
            <w:pPr>
              <w:tabs>
                <w:tab w:val="left" w:pos="1350"/>
              </w:tabs>
              <w:spacing w:before="96" w:beforeLines="40" w:after="96" w:afterLines="40" w:line="24" w:lineRule="atLeast"/>
              <w:rPr>
                <w:rFonts w:eastAsia="Cambria"/>
                <w:sz w:val="18"/>
                <w:szCs w:val="18"/>
                <w:lang w:val="en-GB" w:eastAsia="en-US"/>
              </w:rPr>
            </w:pPr>
            <w:r>
              <w:rPr>
                <w:rFonts w:eastAsia="Times New Roman"/>
                <w:sz w:val="18"/>
                <w:szCs w:val="18"/>
                <w:lang w:val="en-GB" w:eastAsia="en-GB"/>
              </w:rPr>
              <w:t xml:space="preserve">Clinical relevance: Discuss whether the results have clinical or public policy relevance, and </w:t>
            </w:r>
            <w:r>
              <w:rPr>
                <w:rFonts w:eastAsia="Times New Roman"/>
                <w:color w:val="000000"/>
                <w:sz w:val="18"/>
                <w:szCs w:val="18"/>
                <w:lang w:eastAsia="en-GB"/>
              </w:rPr>
              <w:t>to what extent they inform effect sizes of possible interventions</w:t>
            </w:r>
          </w:p>
        </w:tc>
        <w:tc>
          <w:tcPr>
            <w:tcW w:w="720" w:type="dxa"/>
          </w:tcPr>
          <w:p>
            <w:pPr>
              <w:tabs>
                <w:tab w:val="left" w:pos="1350"/>
              </w:tabs>
              <w:spacing w:before="96" w:beforeLines="40" w:after="96" w:afterLines="40" w:line="24" w:lineRule="atLeast"/>
              <w:rPr>
                <w:rFonts w:eastAsia="Times New Roman"/>
                <w:sz w:val="18"/>
                <w:szCs w:val="18"/>
                <w:lang w:val="en-GB" w:eastAsia="en-GB"/>
              </w:rPr>
            </w:pPr>
            <w:r>
              <w:rPr>
                <w:rFonts w:hint="eastAsia" w:eastAsia="宋体"/>
                <w:sz w:val="18"/>
                <w:szCs w:val="18"/>
                <w:lang w:val="en-US" w:eastAsia="zh-CN"/>
              </w:rPr>
              <w:t>7-8</w:t>
            </w:r>
          </w:p>
        </w:tc>
        <w:tc>
          <w:tcPr>
            <w:tcW w:w="4320" w:type="dxa"/>
          </w:tcPr>
          <w:p>
            <w:pPr>
              <w:tabs>
                <w:tab w:val="left" w:pos="1350"/>
              </w:tabs>
              <w:spacing w:before="96" w:beforeLines="40" w:after="96" w:afterLines="40" w:line="24" w:lineRule="atLeast"/>
              <w:rPr>
                <w:rFonts w:eastAsia="Times New Roman"/>
                <w:sz w:val="18"/>
                <w:szCs w:val="18"/>
                <w:lang w:val="en-GB" w:eastAsia="en-GB"/>
              </w:rPr>
            </w:pPr>
            <w:r>
              <w:rPr>
                <w:rFonts w:hint="eastAsia" w:eastAsia="Times New Roman"/>
                <w:sz w:val="18"/>
                <w:szCs w:val="18"/>
                <w:lang w:val="en-GB" w:eastAsia="en-GB"/>
              </w:rPr>
              <w:t xml:space="preserve">The example paper reports uncertainty in the degree of pleiotropy of the </w:t>
            </w:r>
            <w:r>
              <w:rPr>
                <w:rFonts w:hint="eastAsia" w:eastAsia="宋体"/>
                <w:sz w:val="18"/>
                <w:szCs w:val="18"/>
                <w:lang w:val="en-US" w:eastAsia="zh-CN"/>
              </w:rPr>
              <w:t>437</w:t>
            </w:r>
            <w:r>
              <w:rPr>
                <w:rFonts w:hint="eastAsia" w:eastAsia="Times New Roman"/>
                <w:sz w:val="18"/>
                <w:szCs w:val="18"/>
                <w:lang w:val="en-GB" w:eastAsia="en-GB"/>
              </w:rPr>
              <w:t xml:space="preserve"> SNPs, and therefore uncertainty in the MR results, but still leads to the conclusion that</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17</w:t>
            </w:r>
          </w:p>
        </w:tc>
        <w:tc>
          <w:tcPr>
            <w:tcW w:w="1822"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 xml:space="preserve">Generalizability  </w:t>
            </w:r>
            <w:r>
              <w:rPr>
                <w:rFonts w:eastAsia="Times New Roman"/>
                <w:sz w:val="18"/>
                <w:szCs w:val="18"/>
                <w:lang w:val="en-GB" w:eastAsia="en-GB"/>
              </w:rPr>
              <w:t> </w:t>
            </w:r>
          </w:p>
        </w:tc>
        <w:tc>
          <w:tcPr>
            <w:tcW w:w="7041" w:type="dxa"/>
            <w:tcBorders>
              <w:bottom w:val="single" w:color="7F7F7F" w:sz="6" w:space="0"/>
            </w:tcBorders>
            <w:shd w:val="clear" w:color="auto" w:fill="EEEEEE"/>
          </w:tcPr>
          <w:p>
            <w:pPr>
              <w:spacing w:before="96" w:beforeLines="40" w:after="96" w:afterLines="40" w:line="24" w:lineRule="atLeast"/>
              <w:rPr>
                <w:rFonts w:eastAsia="Cambria"/>
                <w:sz w:val="18"/>
                <w:szCs w:val="18"/>
                <w:lang w:val="en-GB" w:eastAsia="en-US"/>
              </w:rPr>
            </w:pPr>
            <w:r>
              <w:rPr>
                <w:rFonts w:eastAsia="Times New Roman"/>
                <w:sz w:val="18"/>
                <w:szCs w:val="18"/>
                <w:lang w:val="en-GB" w:eastAsia="en-GB"/>
              </w:rPr>
              <w:t>Discuss the generalizability of the study results (a) to other populations, (b) across other exposure periods/timings, and (c) across other levels of exposure</w:t>
            </w:r>
          </w:p>
        </w:tc>
        <w:tc>
          <w:tcPr>
            <w:tcW w:w="7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hint="eastAsia" w:eastAsia="宋体"/>
                <w:sz w:val="18"/>
                <w:szCs w:val="18"/>
                <w:lang w:val="en-US" w:eastAsia="zh-CN"/>
              </w:rPr>
              <w:t>7-8</w:t>
            </w:r>
          </w:p>
        </w:tc>
        <w:tc>
          <w:tcPr>
            <w:tcW w:w="43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 xml:space="preserve"> our data source is mainly European population, which makes our findings not directly applicable to others</w:t>
            </w:r>
          </w:p>
        </w:tc>
      </w:tr>
      <w:tr>
        <w:tblPrEx>
          <w:tblCellMar>
            <w:top w:w="0" w:type="dxa"/>
            <w:left w:w="108" w:type="dxa"/>
            <w:bottom w:w="0" w:type="dxa"/>
            <w:right w:w="108" w:type="dxa"/>
          </w:tblCellMar>
        </w:tblPrEx>
        <w:tc>
          <w:tcPr>
            <w:tcW w:w="587" w:type="dxa"/>
            <w:tcBorders>
              <w:top w:val="single" w:color="7F7F7F" w:sz="6" w:space="0"/>
            </w:tcBorders>
            <w:shd w:val="clear" w:color="auto" w:fill="auto"/>
          </w:tcPr>
          <w:p>
            <w:pPr>
              <w:spacing w:before="96" w:beforeLines="40" w:after="96" w:afterLines="40" w:line="24" w:lineRule="atLeast"/>
              <w:rPr>
                <w:rFonts w:eastAsia="Times New Roman"/>
                <w:b/>
                <w:bCs/>
                <w:sz w:val="18"/>
                <w:szCs w:val="18"/>
                <w:lang w:val="en-GB" w:eastAsia="en-GB"/>
              </w:rPr>
            </w:pPr>
          </w:p>
        </w:tc>
        <w:tc>
          <w:tcPr>
            <w:tcW w:w="1822" w:type="dxa"/>
            <w:tcBorders>
              <w:top w:val="single" w:color="7F7F7F" w:sz="6" w:space="0"/>
            </w:tcBorders>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OTHER INFORMATION</w:t>
            </w:r>
          </w:p>
        </w:tc>
        <w:tc>
          <w:tcPr>
            <w:tcW w:w="7041" w:type="dxa"/>
            <w:tcBorders>
              <w:top w:val="single" w:color="7F7F7F" w:sz="6" w:space="0"/>
            </w:tcBorders>
            <w:shd w:val="clear" w:color="auto" w:fill="auto"/>
          </w:tcPr>
          <w:p>
            <w:pPr>
              <w:spacing w:before="96" w:beforeLines="40" w:after="96" w:afterLines="40" w:line="24" w:lineRule="atLeast"/>
              <w:rPr>
                <w:rFonts w:eastAsia="Cambria"/>
                <w:sz w:val="18"/>
                <w:szCs w:val="18"/>
                <w:lang w:val="en-GB" w:eastAsia="en-US"/>
              </w:rPr>
            </w:pPr>
          </w:p>
        </w:tc>
        <w:tc>
          <w:tcPr>
            <w:tcW w:w="720" w:type="dxa"/>
            <w:tcBorders>
              <w:top w:val="single" w:color="7F7F7F" w:sz="6" w:space="0"/>
            </w:tcBorders>
          </w:tcPr>
          <w:p>
            <w:pPr>
              <w:spacing w:before="96" w:beforeLines="40" w:after="96" w:afterLines="40" w:line="24" w:lineRule="atLeast"/>
              <w:rPr>
                <w:rFonts w:eastAsia="Cambria"/>
                <w:sz w:val="18"/>
                <w:szCs w:val="18"/>
                <w:lang w:val="en-GB" w:eastAsia="en-US"/>
              </w:rPr>
            </w:pPr>
          </w:p>
        </w:tc>
        <w:tc>
          <w:tcPr>
            <w:tcW w:w="4320" w:type="dxa"/>
            <w:tcBorders>
              <w:top w:val="single" w:color="7F7F7F" w:sz="6" w:space="0"/>
            </w:tcBorders>
          </w:tcPr>
          <w:p>
            <w:pPr>
              <w:spacing w:before="96" w:beforeLines="40" w:after="96" w:afterLines="40" w:line="24" w:lineRule="atLeast"/>
              <w:rPr>
                <w:rFonts w:eastAsia="Cambria"/>
                <w:sz w:val="18"/>
                <w:szCs w:val="18"/>
                <w:lang w:val="en-GB" w:eastAsia="en-US"/>
              </w:rPr>
            </w:pPr>
          </w:p>
        </w:tc>
      </w:tr>
      <w:tr>
        <w:tblPrEx>
          <w:tblCellMar>
            <w:top w:w="0" w:type="dxa"/>
            <w:left w:w="108" w:type="dxa"/>
            <w:bottom w:w="0" w:type="dxa"/>
            <w:right w:w="108" w:type="dxa"/>
          </w:tblCellMar>
        </w:tblPrEx>
        <w:tc>
          <w:tcPr>
            <w:tcW w:w="587" w:type="dxa"/>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18</w:t>
            </w:r>
          </w:p>
        </w:tc>
        <w:tc>
          <w:tcPr>
            <w:tcW w:w="1822" w:type="dxa"/>
            <w:shd w:val="clear" w:color="auto" w:fill="EEEEEE"/>
          </w:tcPr>
          <w:p>
            <w:pPr>
              <w:spacing w:before="96" w:beforeLines="40" w:after="96" w:afterLines="40" w:line="24" w:lineRule="atLeast"/>
              <w:rPr>
                <w:rFonts w:eastAsia="Cambria"/>
                <w:sz w:val="18"/>
                <w:szCs w:val="18"/>
                <w:lang w:val="en-GB" w:eastAsia="en-US"/>
              </w:rPr>
            </w:pPr>
            <w:r>
              <w:rPr>
                <w:rFonts w:eastAsia="Times New Roman"/>
                <w:b/>
                <w:bCs/>
                <w:sz w:val="18"/>
                <w:szCs w:val="18"/>
                <w:lang w:val="en-GB" w:eastAsia="en-GB"/>
              </w:rPr>
              <w:t>Funding</w:t>
            </w:r>
          </w:p>
        </w:tc>
        <w:tc>
          <w:tcPr>
            <w:tcW w:w="7041" w:type="dxa"/>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Describe sources of funding and the role of funders in the present study and, if applicable, sources of funding for the databases and original study or studies on which the present study is based</w:t>
            </w:r>
          </w:p>
        </w:tc>
        <w:tc>
          <w:tcPr>
            <w:tcW w:w="720" w:type="dxa"/>
            <w:shd w:val="clear" w:color="auto" w:fill="EEEEEE"/>
          </w:tcPr>
          <w:p>
            <w:pPr>
              <w:spacing w:before="96" w:beforeLines="40" w:after="96" w:afterLines="40" w:line="24" w:lineRule="atLeast"/>
              <w:rPr>
                <w:rFonts w:ascii="Arial" w:hAnsi="Arial" w:eastAsia="Times New Roman" w:cs="Arial"/>
                <w:sz w:val="18"/>
                <w:szCs w:val="18"/>
                <w:lang w:val="en-GB" w:eastAsia="en-GB"/>
              </w:rPr>
            </w:pPr>
            <w:bookmarkStart w:id="0" w:name="_GoBack"/>
            <w:bookmarkEnd w:id="0"/>
          </w:p>
        </w:tc>
        <w:tc>
          <w:tcPr>
            <w:tcW w:w="4320" w:type="dxa"/>
            <w:shd w:val="clear" w:color="auto" w:fill="EEEEEE"/>
          </w:tcPr>
          <w:p>
            <w:pPr>
              <w:spacing w:before="96" w:beforeLines="40" w:after="96" w:afterLines="40" w:line="24" w:lineRule="atLeast"/>
              <w:rPr>
                <w:rFonts w:ascii="Arial" w:hAnsi="Arial" w:eastAsia="Times New Roman" w:cs="Arial"/>
                <w:sz w:val="18"/>
                <w:szCs w:val="18"/>
                <w:lang w:val="en-GB" w:eastAsia="en-GB"/>
              </w:rPr>
            </w:pPr>
            <w:r>
              <w:rPr>
                <w:rFonts w:ascii="Arial" w:hAnsi="Arial" w:eastAsia="Times New Roman" w:cs="Arial"/>
                <w:sz w:val="18"/>
                <w:szCs w:val="18"/>
                <w:lang w:val="en-GB" w:eastAsia="en-GB"/>
              </w:rPr>
              <w:t>The authors received no funding for this work.</w:t>
            </w:r>
          </w:p>
        </w:tc>
      </w:tr>
      <w:tr>
        <w:tblPrEx>
          <w:tblCellMar>
            <w:top w:w="0" w:type="dxa"/>
            <w:left w:w="108" w:type="dxa"/>
            <w:bottom w:w="0" w:type="dxa"/>
            <w:right w:w="108" w:type="dxa"/>
          </w:tblCellMar>
        </w:tblPrEx>
        <w:tc>
          <w:tcPr>
            <w:tcW w:w="587" w:type="dxa"/>
            <w:shd w:val="clear" w:color="auto" w:fill="auto"/>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19</w:t>
            </w:r>
          </w:p>
        </w:tc>
        <w:tc>
          <w:tcPr>
            <w:tcW w:w="1822"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Data and data sharing </w:t>
            </w:r>
          </w:p>
        </w:tc>
        <w:tc>
          <w:tcPr>
            <w:tcW w:w="7041" w:type="dxa"/>
            <w:shd w:val="clear" w:color="auto" w:fill="auto"/>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Provide the data used to perform all analyses or report where and how the data can be accessed, and reference these sources in the article. Provide the statistical code needed to reproduce the results in the article, or report whether the code is publicly accessible and if so, where</w:t>
            </w:r>
          </w:p>
        </w:tc>
        <w:tc>
          <w:tcPr>
            <w:tcW w:w="720" w:type="dxa"/>
          </w:tcPr>
          <w:p>
            <w:pPr>
              <w:spacing w:before="96" w:beforeLines="40" w:after="96" w:afterLines="40" w:line="24" w:lineRule="atLeast"/>
              <w:rPr>
                <w:rFonts w:eastAsia="Times New Roman"/>
                <w:sz w:val="18"/>
                <w:szCs w:val="18"/>
                <w:lang w:val="en-GB" w:eastAsia="en-GB"/>
              </w:rPr>
            </w:pPr>
          </w:p>
        </w:tc>
        <w:tc>
          <w:tcPr>
            <w:tcW w:w="4320" w:type="dxa"/>
          </w:tcPr>
          <w:p>
            <w:pPr>
              <w:spacing w:before="96" w:beforeLines="40" w:after="96" w:afterLines="40" w:line="24" w:lineRule="atLeast"/>
              <w:rPr>
                <w:rFonts w:hint="default" w:eastAsia="宋体"/>
                <w:sz w:val="18"/>
                <w:szCs w:val="18"/>
                <w:u w:val="none"/>
                <w:lang w:val="en-US" w:eastAsia="zh-CN"/>
              </w:rPr>
            </w:pPr>
            <w:r>
              <w:rPr>
                <w:rFonts w:hint="eastAsia" w:eastAsia="Times New Roman"/>
                <w:sz w:val="18"/>
                <w:szCs w:val="18"/>
                <w:lang w:val="en-GB" w:eastAsia="en-GB"/>
              </w:rPr>
              <w:t>Th</w:t>
            </w:r>
            <w:r>
              <w:rPr>
                <w:rFonts w:hint="eastAsia" w:eastAsia="宋体"/>
                <w:sz w:val="18"/>
                <w:szCs w:val="18"/>
                <w:lang w:val="en-US" w:eastAsia="zh-CN"/>
              </w:rPr>
              <w:t xml:space="preserve">is study </w:t>
            </w:r>
            <w:r>
              <w:rPr>
                <w:rFonts w:hint="eastAsia" w:eastAsia="Times New Roman"/>
                <w:sz w:val="18"/>
                <w:szCs w:val="18"/>
                <w:lang w:val="en-GB" w:eastAsia="en-GB"/>
              </w:rPr>
              <w:t>provides access to all the information in the beginning of the methodology section</w:t>
            </w:r>
            <w:r>
              <w:rPr>
                <w:rFonts w:hint="eastAsia" w:eastAsia="宋体"/>
                <w:sz w:val="18"/>
                <w:szCs w:val="18"/>
                <w:lang w:val="en-US" w:eastAsia="zh-CN"/>
              </w:rPr>
              <w:t xml:space="preserve">. </w:t>
            </w:r>
            <w:r>
              <w:fldChar w:fldCharType="begin"/>
            </w:r>
            <w:r>
              <w:instrText xml:space="preserve"> HYPERLINK "https://gwasmrcieu.ac.uk/" </w:instrText>
            </w:r>
            <w:r>
              <w:fldChar w:fldCharType="separate"/>
            </w:r>
            <w:r>
              <w:rPr>
                <w:rStyle w:val="7"/>
                <w:rFonts w:ascii="Times New Roman" w:hAnsi="Times New Roman" w:cs="Times New Roman"/>
                <w:sz w:val="24"/>
                <w:szCs w:val="24"/>
              </w:rPr>
              <w:t>https://gwasmrcieu.ac.uk/</w:t>
            </w:r>
            <w:r>
              <w:rPr>
                <w:rStyle w:val="7"/>
                <w:rFonts w:ascii="Times New Roman" w:hAnsi="Times New Roman" w:cs="Times New Roman"/>
                <w:sz w:val="24"/>
                <w:szCs w:val="24"/>
              </w:rPr>
              <w:fldChar w:fldCharType="end"/>
            </w:r>
            <w:r>
              <w:rPr>
                <w:rStyle w:val="7"/>
                <w:rFonts w:hint="eastAsia" w:ascii="Times New Roman" w:hAnsi="Times New Roman" w:eastAsia="宋体" w:cs="Times New Roman"/>
                <w:sz w:val="24"/>
                <w:szCs w:val="24"/>
                <w:lang w:val="en-US" w:eastAsia="zh-CN"/>
              </w:rPr>
              <w:t xml:space="preserve"> </w:t>
            </w:r>
            <w:r>
              <w:rPr>
                <w:rFonts w:hint="eastAsia" w:ascii="Arial" w:hAnsi="Arial" w:eastAsia="Times New Roman" w:cs="Arial"/>
                <w:sz w:val="18"/>
                <w:szCs w:val="18"/>
                <w:lang w:val="en-US" w:eastAsia="zh-CN"/>
              </w:rPr>
              <w:t>details can be found in supplementary Table 1</w:t>
            </w:r>
          </w:p>
        </w:tc>
      </w:tr>
      <w:tr>
        <w:tblPrEx>
          <w:tblCellMar>
            <w:top w:w="0" w:type="dxa"/>
            <w:left w:w="108" w:type="dxa"/>
            <w:bottom w:w="0" w:type="dxa"/>
            <w:right w:w="108" w:type="dxa"/>
          </w:tblCellMar>
        </w:tblPrEx>
        <w:tc>
          <w:tcPr>
            <w:tcW w:w="587" w:type="dxa"/>
            <w:tcBorders>
              <w:bottom w:val="single" w:color="7F7F7F" w:sz="6" w:space="0"/>
            </w:tcBorders>
            <w:shd w:val="clear" w:color="auto" w:fill="EEEEEE"/>
          </w:tcPr>
          <w:p>
            <w:pPr>
              <w:spacing w:before="96" w:beforeLines="40" w:after="96" w:afterLines="40" w:line="24" w:lineRule="atLeast"/>
              <w:rPr>
                <w:rFonts w:eastAsia="Times New Roman"/>
                <w:b/>
                <w:bCs/>
                <w:sz w:val="18"/>
                <w:szCs w:val="18"/>
                <w:lang w:val="en-GB" w:eastAsia="en-GB"/>
              </w:rPr>
            </w:pPr>
            <w:r>
              <w:rPr>
                <w:rFonts w:eastAsia="Times New Roman"/>
                <w:sz w:val="18"/>
                <w:szCs w:val="18"/>
                <w:lang w:val="en-GB" w:eastAsia="en-GB"/>
              </w:rPr>
              <w:t>20</w:t>
            </w:r>
          </w:p>
        </w:tc>
        <w:tc>
          <w:tcPr>
            <w:tcW w:w="1822"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b/>
                <w:bCs/>
                <w:sz w:val="18"/>
                <w:szCs w:val="18"/>
                <w:lang w:val="en-GB" w:eastAsia="en-GB"/>
              </w:rPr>
              <w:t>Conflicts of Interest  </w:t>
            </w:r>
          </w:p>
        </w:tc>
        <w:tc>
          <w:tcPr>
            <w:tcW w:w="7041"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All authors should declare all potential conflicts of interest</w:t>
            </w:r>
          </w:p>
        </w:tc>
        <w:tc>
          <w:tcPr>
            <w:tcW w:w="7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p>
        </w:tc>
        <w:tc>
          <w:tcPr>
            <w:tcW w:w="4320" w:type="dxa"/>
            <w:tcBorders>
              <w:bottom w:val="single" w:color="7F7F7F" w:sz="6" w:space="0"/>
            </w:tcBorders>
            <w:shd w:val="clear" w:color="auto" w:fill="EEEEEE"/>
          </w:tcPr>
          <w:p>
            <w:pPr>
              <w:spacing w:before="96" w:beforeLines="40" w:after="96" w:afterLines="40" w:line="24" w:lineRule="atLeast"/>
              <w:rPr>
                <w:rFonts w:eastAsia="Times New Roman"/>
                <w:sz w:val="18"/>
                <w:szCs w:val="18"/>
                <w:lang w:val="en-GB" w:eastAsia="en-GB"/>
              </w:rPr>
            </w:pPr>
            <w:r>
              <w:rPr>
                <w:rFonts w:eastAsia="Times New Roman"/>
                <w:sz w:val="18"/>
                <w:szCs w:val="18"/>
                <w:lang w:val="en-GB" w:eastAsia="en-GB"/>
              </w:rPr>
              <w:t>The authors declare that they have no competing interests.</w:t>
            </w:r>
          </w:p>
        </w:tc>
      </w:tr>
    </w:tbl>
    <w:p>
      <w:pPr>
        <w:spacing w:before="240" w:after="240"/>
        <w:rPr>
          <w:sz w:val="19"/>
          <w:szCs w:val="19"/>
        </w:rPr>
      </w:pPr>
      <w:r>
        <w:rPr>
          <w:sz w:val="19"/>
          <w:szCs w:val="19"/>
        </w:rPr>
        <w:t>This checklist is copyrighted by the Equator Network under the Creative Commons Attribution 3.0 Unported (CC BY 3.0) license.</w:t>
      </w:r>
    </w:p>
    <w:p>
      <w:pPr>
        <w:widowControl w:val="0"/>
        <w:autoSpaceDE w:val="0"/>
        <w:autoSpaceDN w:val="0"/>
        <w:adjustRightInd w:val="0"/>
        <w:spacing w:before="240" w:after="240" w:line="240" w:lineRule="auto"/>
        <w:ind w:left="640" w:hanging="640"/>
        <w:rPr>
          <w:sz w:val="19"/>
          <w:szCs w:val="19"/>
        </w:rPr>
      </w:pPr>
      <w:r>
        <w:rPr>
          <w:sz w:val="19"/>
          <w:szCs w:val="19"/>
        </w:rPr>
        <w:fldChar w:fldCharType="begin" w:fldLock="1"/>
      </w:r>
      <w:r>
        <w:rPr>
          <w:sz w:val="19"/>
          <w:szCs w:val="19"/>
        </w:rPr>
        <w:instrText xml:space="preserve">ADDIN Mendeley Bibliography CSL_BIBLIOGRAPHY </w:instrText>
      </w:r>
      <w:r>
        <w:rPr>
          <w:sz w:val="19"/>
          <w:szCs w:val="19"/>
        </w:rPr>
        <w:fldChar w:fldCharType="separate"/>
      </w:r>
      <w:r>
        <w:rPr>
          <w:sz w:val="19"/>
          <w:szCs w:val="19"/>
        </w:rPr>
        <w:t xml:space="preserve">1. </w:t>
      </w:r>
      <w:r>
        <w:rPr>
          <w:sz w:val="19"/>
          <w:szCs w:val="19"/>
        </w:rPr>
        <w:tab/>
      </w:r>
      <w:r>
        <w:rPr>
          <w:sz w:val="19"/>
          <w:szCs w:val="19"/>
        </w:rPr>
        <w:t xml:space="preserve">Skrivankova VW, Richmond RC, Woolf BAR, Yarmolinsky J, Davies NM, Swanson SA, et al. Strengthening the Reporting of Observational Studies in Epidemiology using Mendelian Randomization (STROBE-MR) Statement. JAMA. 2021;under review. </w:t>
      </w:r>
    </w:p>
    <w:p>
      <w:pPr>
        <w:widowControl w:val="0"/>
        <w:autoSpaceDE w:val="0"/>
        <w:autoSpaceDN w:val="0"/>
        <w:adjustRightInd w:val="0"/>
        <w:spacing w:before="240" w:after="240" w:line="240" w:lineRule="auto"/>
        <w:ind w:left="640" w:hanging="640"/>
        <w:rPr>
          <w:sz w:val="19"/>
          <w:szCs w:val="19"/>
        </w:rPr>
      </w:pPr>
      <w:r>
        <w:rPr>
          <w:sz w:val="19"/>
          <w:szCs w:val="19"/>
        </w:rPr>
        <w:t xml:space="preserve">2. </w:t>
      </w:r>
      <w:r>
        <w:rPr>
          <w:sz w:val="19"/>
          <w:szCs w:val="19"/>
        </w:rPr>
        <w:tab/>
      </w:r>
      <w:r>
        <w:rPr>
          <w:sz w:val="19"/>
          <w:szCs w:val="19"/>
        </w:rPr>
        <w:t xml:space="preserve">Skrivankova VW, Richmond RC, Woolf BAR, Davies NM, Swanson SA, VanderWeele TJ, et al. Strengthening the Reporting of Observational Studies in Epidemiology using Mendelian Randomisation (STROBE-MR): Explanation and Elaboration. BMJ. 2021;375:n2233. </w:t>
      </w:r>
    </w:p>
    <w:p>
      <w:pPr>
        <w:spacing w:before="240" w:after="240"/>
      </w:pPr>
      <w:r>
        <w:rPr>
          <w:sz w:val="19"/>
          <w:szCs w:val="19"/>
        </w:rPr>
        <w:fldChar w:fldCharType="end"/>
      </w:r>
    </w:p>
    <w:sectPr>
      <w:footerReference r:id="rId5" w:type="default"/>
      <w:footerReference r:id="rId6" w:type="even"/>
      <w:pgSz w:w="15840" w:h="12240" w:orient="landscape"/>
      <w:pgMar w:top="1008" w:right="720" w:bottom="1008" w:left="72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5"/>
      </w:rPr>
    </w:pP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yZjBhNDYwNjA5N2RlN2EzOWM4ZjEwM2E4MmUwY2EifQ=="/>
  </w:docVars>
  <w:rsids>
    <w:rsidRoot w:val="00914C56"/>
    <w:rsid w:val="00034148"/>
    <w:rsid w:val="000A4CE8"/>
    <w:rsid w:val="001E116A"/>
    <w:rsid w:val="002663E6"/>
    <w:rsid w:val="00356468"/>
    <w:rsid w:val="003D447D"/>
    <w:rsid w:val="003D47DD"/>
    <w:rsid w:val="004866C5"/>
    <w:rsid w:val="004B5CBB"/>
    <w:rsid w:val="004E11D4"/>
    <w:rsid w:val="00512483"/>
    <w:rsid w:val="00514462"/>
    <w:rsid w:val="00520037"/>
    <w:rsid w:val="005520ED"/>
    <w:rsid w:val="005A0D0D"/>
    <w:rsid w:val="00685D31"/>
    <w:rsid w:val="006912BF"/>
    <w:rsid w:val="006A41D0"/>
    <w:rsid w:val="006B08D5"/>
    <w:rsid w:val="007B14CF"/>
    <w:rsid w:val="00804498"/>
    <w:rsid w:val="008C1CBE"/>
    <w:rsid w:val="009129B2"/>
    <w:rsid w:val="00914C56"/>
    <w:rsid w:val="00950729"/>
    <w:rsid w:val="00956942"/>
    <w:rsid w:val="009854A9"/>
    <w:rsid w:val="00991A1E"/>
    <w:rsid w:val="009A3667"/>
    <w:rsid w:val="009E033F"/>
    <w:rsid w:val="00A11E71"/>
    <w:rsid w:val="00A641C0"/>
    <w:rsid w:val="00A92B3F"/>
    <w:rsid w:val="00B21CF1"/>
    <w:rsid w:val="00BB27A5"/>
    <w:rsid w:val="00BB6328"/>
    <w:rsid w:val="00BD1A96"/>
    <w:rsid w:val="00BD3E92"/>
    <w:rsid w:val="00C12B26"/>
    <w:rsid w:val="00D129C0"/>
    <w:rsid w:val="00D65199"/>
    <w:rsid w:val="00D8098C"/>
    <w:rsid w:val="00D87911"/>
    <w:rsid w:val="00E54981"/>
    <w:rsid w:val="00ED48A3"/>
    <w:rsid w:val="00EF4B94"/>
    <w:rsid w:val="00F13EF0"/>
    <w:rsid w:val="1FF8267A"/>
    <w:rsid w:val="51665216"/>
    <w:rsid w:val="6A6D4579"/>
    <w:rsid w:val="7F935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de-CH"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line="240" w:lineRule="auto"/>
    </w:pPr>
  </w:style>
  <w:style w:type="character" w:styleId="5">
    <w:name w:val="page number"/>
    <w:basedOn w:val="4"/>
    <w:semiHidden/>
    <w:unhideWhenUsed/>
    <w:uiPriority w:val="99"/>
  </w:style>
  <w:style w:type="character" w:styleId="6">
    <w:name w:val="line number"/>
    <w:basedOn w:val="4"/>
    <w:semiHidden/>
    <w:unhideWhenUsed/>
    <w:uiPriority w:val="99"/>
  </w:style>
  <w:style w:type="character" w:styleId="7">
    <w:name w:val="Hyperlink"/>
    <w:basedOn w:val="4"/>
    <w:unhideWhenUsed/>
    <w:qFormat/>
    <w:uiPriority w:val="99"/>
    <w:rPr>
      <w:color w:val="0563C1" w:themeColor="hyperlink"/>
      <w:u w:val="single"/>
      <w14:textFill>
        <w14:solidFill>
          <w14:schemeClr w14:val="hlink"/>
        </w14:solidFill>
      </w14:textFill>
    </w:rPr>
  </w:style>
  <w:style w:type="character" w:customStyle="1" w:styleId="8">
    <w:name w:val="页脚 字符"/>
    <w:basedOn w:val="4"/>
    <w:link w:val="2"/>
    <w:uiPriority w:val="99"/>
    <w:rPr>
      <w:rFonts w:ascii="Arial" w:hAnsi="Arial" w:eastAsia="Arial" w:cs="Arial"/>
      <w:lang w:val="en" w:eastAsia="de-CH"/>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6252F6EC97BD48BFC15397CDF87BCA" ma:contentTypeVersion="14" ma:contentTypeDescription="Ein neues Dokument erstellen." ma:contentTypeScope="" ma:versionID="99bba3a2774fdba6befc8d470ad041a8">
  <xsd:schema xmlns:xsd="http://www.w3.org/2001/XMLSchema" xmlns:xs="http://www.w3.org/2001/XMLSchema" xmlns:p="http://schemas.microsoft.com/office/2006/metadata/properties" xmlns:ns3="892d8916-a04a-483c-b38c-baf9957a1c5f" xmlns:ns4="697eed72-5420-4f01-93c1-7c9f4310e871" targetNamespace="http://schemas.microsoft.com/office/2006/metadata/properties" ma:root="true" ma:fieldsID="08b8b0ba8c484102a3bbe13611225d97" ns3:_="" ns4:_="">
    <xsd:import namespace="892d8916-a04a-483c-b38c-baf9957a1c5f"/>
    <xsd:import namespace="697eed72-5420-4f01-93c1-7c9f4310e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8916-a04a-483c-b38c-baf9957a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eed72-5420-4f01-93c1-7c9f4310e87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931C-FCE2-4CC4-80DE-15614B41F1F9}">
  <ds:schemaRefs/>
</ds:datastoreItem>
</file>

<file path=customXml/itemProps2.xml><?xml version="1.0" encoding="utf-8"?>
<ds:datastoreItem xmlns:ds="http://schemas.openxmlformats.org/officeDocument/2006/customXml" ds:itemID="{5DF20111-77FD-4F18-8E31-D737874646AB}">
  <ds:schemaRefs/>
</ds:datastoreItem>
</file>

<file path=customXml/itemProps3.xml><?xml version="1.0" encoding="utf-8"?>
<ds:datastoreItem xmlns:ds="http://schemas.openxmlformats.org/officeDocument/2006/customXml" ds:itemID="{A9898B61-61B7-44F1-9388-8B27875B1EDA}">
  <ds:schemaRefs/>
</ds:datastoreItem>
</file>

<file path=customXml/itemProps4.xml><?xml version="1.0" encoding="utf-8"?>
<ds:datastoreItem xmlns:ds="http://schemas.openxmlformats.org/officeDocument/2006/customXml" ds:itemID="{B7DA32DB-E5B8-4E32-AD11-08F2E668867B}">
  <ds:schemaRefs/>
</ds:datastoreItem>
</file>

<file path=docProps/app.xml><?xml version="1.0" encoding="utf-8"?>
<Properties xmlns="http://schemas.openxmlformats.org/officeDocument/2006/extended-properties" xmlns:vt="http://schemas.openxmlformats.org/officeDocument/2006/docPropsVTypes">
  <Template>Normal</Template>
  <Company>University of Bern</Company>
  <Pages>5</Pages>
  <Words>2465</Words>
  <Characters>14057</Characters>
  <Lines>117</Lines>
  <Paragraphs>32</Paragraphs>
  <TotalTime>0</TotalTime>
  <ScaleCrop>false</ScaleCrop>
  <LinksUpToDate>false</LinksUpToDate>
  <CharactersWithSpaces>16490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2022-04-07T08:09:00Z</dcterms:created>
  <dc:creator>Whitesell, Veronika (ISPM)</dc:creator>
  <cp:lastModifiedBy>不敗</cp:lastModifiedBy>
  <cp:lastPrinted>2021-09-28T07:08:00Z</cp:lastPrinted>
  <dcterms:modified xsi:type="dcterms:W3CDTF">2023-09-13T12:53:28Z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0x010100D76252F6EC97BD48BFC15397CDF87BCA</vt:lpwstr>
  </property>
  <property fmtid="{D5CDD505-2E9C-101B-9397-08002B2CF9AE}" pid="3" name="Mendeley Document_1">
    <vt:lpwstr>True</vt:lpwstr>
  </property>
  <property fmtid="{D5CDD505-2E9C-101B-9397-08002B2CF9AE}" pid="4" name="Mendeley Unique User Id_1">
    <vt:lpwstr>54eed440-5ecd-3ecc-9960-859334ccb0da</vt:lpwstr>
  </property>
  <property fmtid="{D5CDD505-2E9C-101B-9397-08002B2CF9AE}" pid="5" name="Mendeley Citation Style_1">
    <vt:lpwstr>http://www.zotero.org/styles/vancouver-superscript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http://www.zotero.org/styles/vancouver-imperial-college-london</vt:lpwstr>
  </property>
  <property fmtid="{D5CDD505-2E9C-101B-9397-08002B2CF9AE}" pid="21" name="Mendeley Recent Style Name 7_1">
    <vt:lpwstr>Imperial College London - Vancouver</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http://www.zotero.org/styles/vancouver-superscript</vt:lpwstr>
  </property>
  <property fmtid="{D5CDD505-2E9C-101B-9397-08002B2CF9AE}" pid="25" name="Mendeley Recent Style Name 9_1">
    <vt:lpwstr>Vancouver (superscript)</vt:lpwstr>
  </property>
  <property fmtid="{D5CDD505-2E9C-101B-9397-08002B2CF9AE}" pid="26" name="KSOProductBuildVer">
    <vt:lpwstr>2052-12.1.0.15374</vt:lpwstr>
  </property>
  <property fmtid="{D5CDD505-2E9C-101B-9397-08002B2CF9AE}" pid="27" name="ICV">
    <vt:lpwstr>0000FC9D0A9E4CA2A7B66EAB3D5935C0_12</vt:lpwstr>
  </property>
</Properties>
</file>