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611B"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1C57499D"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850"/>
        <w:gridCol w:w="3544"/>
      </w:tblGrid>
      <w:tr w:rsidR="00191A23" w:rsidRPr="0022554A" w14:paraId="52BC35D9" w14:textId="77777777" w:rsidTr="003200E2">
        <w:tc>
          <w:tcPr>
            <w:tcW w:w="1951" w:type="dxa"/>
          </w:tcPr>
          <w:p w14:paraId="5BAFC8CD"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01B7463B"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6F0DEC2B"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850" w:type="dxa"/>
          </w:tcPr>
          <w:p w14:paraId="042A2A4F"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3544" w:type="dxa"/>
          </w:tcPr>
          <w:p w14:paraId="60A5C67B"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746479F0" w14:textId="77777777" w:rsidTr="003200E2">
        <w:tc>
          <w:tcPr>
            <w:tcW w:w="1951" w:type="dxa"/>
            <w:vMerge w:val="restart"/>
          </w:tcPr>
          <w:p w14:paraId="196AA585" w14:textId="0D5E4F8E"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2B5C9112" w14:textId="77777777" w:rsidR="00191A23" w:rsidRPr="0022554A" w:rsidRDefault="00191A23" w:rsidP="0022554A">
            <w:pPr>
              <w:tabs>
                <w:tab w:val="left" w:pos="5400"/>
              </w:tabs>
              <w:jc w:val="center"/>
              <w:rPr>
                <w:sz w:val="20"/>
              </w:rPr>
            </w:pPr>
            <w:r w:rsidRPr="0022554A">
              <w:rPr>
                <w:sz w:val="20"/>
              </w:rPr>
              <w:t>1</w:t>
            </w:r>
          </w:p>
        </w:tc>
        <w:tc>
          <w:tcPr>
            <w:tcW w:w="8031" w:type="dxa"/>
          </w:tcPr>
          <w:p w14:paraId="76DA5393" w14:textId="30C5387F" w:rsidR="00191A23" w:rsidRPr="000D3E25" w:rsidRDefault="00191A23" w:rsidP="000D3E25">
            <w:pPr>
              <w:pStyle w:val="affd"/>
              <w:numPr>
                <w:ilvl w:val="0"/>
                <w:numId w:val="22"/>
              </w:numPr>
              <w:tabs>
                <w:tab w:val="left" w:pos="5400"/>
              </w:tabs>
              <w:ind w:firstLineChars="0"/>
              <w:rPr>
                <w:sz w:val="20"/>
              </w:rPr>
            </w:pPr>
            <w:r w:rsidRPr="000D3E25">
              <w:rPr>
                <w:sz w:val="20"/>
              </w:rPr>
              <w:t>Indicate the study’s design with a commonly used term in the title or the abstract</w:t>
            </w:r>
          </w:p>
          <w:p w14:paraId="19362A65" w14:textId="37997AF6" w:rsidR="000D3E25" w:rsidRPr="000D3E25" w:rsidRDefault="000D3E25" w:rsidP="000D3E25">
            <w:pPr>
              <w:tabs>
                <w:tab w:val="left" w:pos="5400"/>
              </w:tabs>
              <w:rPr>
                <w:rFonts w:hint="eastAsia"/>
                <w:sz w:val="20"/>
                <w:lang w:eastAsia="zh-CN"/>
              </w:rPr>
            </w:pPr>
            <w:r>
              <w:rPr>
                <w:rFonts w:hint="eastAsia"/>
                <w:sz w:val="20"/>
                <w:lang w:eastAsia="zh-CN"/>
              </w:rPr>
              <w:t xml:space="preserve"> </w:t>
            </w:r>
            <w:r>
              <w:rPr>
                <w:sz w:val="20"/>
                <w:lang w:eastAsia="zh-CN"/>
              </w:rPr>
              <w:t xml:space="preserve">  </w:t>
            </w:r>
          </w:p>
        </w:tc>
        <w:tc>
          <w:tcPr>
            <w:tcW w:w="850" w:type="dxa"/>
          </w:tcPr>
          <w:p w14:paraId="4E0529C6" w14:textId="142B6683" w:rsidR="00191A23" w:rsidRPr="0022554A" w:rsidRDefault="003200E2" w:rsidP="0022554A">
            <w:pPr>
              <w:tabs>
                <w:tab w:val="left" w:pos="5400"/>
              </w:tabs>
              <w:rPr>
                <w:sz w:val="20"/>
                <w:lang w:eastAsia="zh-CN"/>
              </w:rPr>
            </w:pPr>
            <w:r>
              <w:rPr>
                <w:rFonts w:hint="eastAsia"/>
                <w:sz w:val="20"/>
                <w:lang w:eastAsia="zh-CN"/>
              </w:rPr>
              <w:t>1</w:t>
            </w:r>
          </w:p>
        </w:tc>
        <w:tc>
          <w:tcPr>
            <w:tcW w:w="3544" w:type="dxa"/>
          </w:tcPr>
          <w:p w14:paraId="37207CE7" w14:textId="61A310C7" w:rsidR="00191A23" w:rsidRPr="000D3E25" w:rsidRDefault="000D3E25" w:rsidP="000D3E25">
            <w:pPr>
              <w:tabs>
                <w:tab w:val="left" w:pos="5400"/>
              </w:tabs>
              <w:jc w:val="both"/>
              <w:rPr>
                <w:sz w:val="20"/>
              </w:rPr>
            </w:pPr>
            <w:r w:rsidRPr="000D3E25">
              <w:rPr>
                <w:sz w:val="20"/>
              </w:rPr>
              <w:t>The objective of this study was to appraise the prognostic impact of lymph nodes in patients diagnosed with pT1c33N0M0 non-small cell lung cancer (NSCLC) and to delve into the prognostic significance of lymph nodes located at the N1 lymph node station in this patient cohort.</w:t>
            </w:r>
          </w:p>
        </w:tc>
      </w:tr>
      <w:tr w:rsidR="00191A23" w:rsidRPr="003200E2" w14:paraId="4B7E0953" w14:textId="77777777" w:rsidTr="003200E2">
        <w:tc>
          <w:tcPr>
            <w:tcW w:w="1951" w:type="dxa"/>
            <w:vMerge/>
          </w:tcPr>
          <w:p w14:paraId="4DA6EC17"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17BC0A98" w14:textId="77777777" w:rsidR="00191A23" w:rsidRPr="0022554A" w:rsidRDefault="00191A23" w:rsidP="0022554A">
            <w:pPr>
              <w:tabs>
                <w:tab w:val="left" w:pos="5400"/>
              </w:tabs>
              <w:jc w:val="center"/>
              <w:rPr>
                <w:sz w:val="20"/>
              </w:rPr>
            </w:pPr>
          </w:p>
        </w:tc>
        <w:tc>
          <w:tcPr>
            <w:tcW w:w="8031" w:type="dxa"/>
          </w:tcPr>
          <w:p w14:paraId="23EF33B3"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850" w:type="dxa"/>
          </w:tcPr>
          <w:p w14:paraId="2A9F22A2" w14:textId="0202853F" w:rsidR="00191A23" w:rsidRPr="0022554A" w:rsidRDefault="003200E2" w:rsidP="0022554A">
            <w:pPr>
              <w:tabs>
                <w:tab w:val="left" w:pos="5400"/>
              </w:tabs>
              <w:rPr>
                <w:sz w:val="20"/>
                <w:lang w:eastAsia="zh-CN"/>
              </w:rPr>
            </w:pPr>
            <w:r>
              <w:rPr>
                <w:rFonts w:hint="eastAsia"/>
                <w:sz w:val="20"/>
                <w:lang w:eastAsia="zh-CN"/>
              </w:rPr>
              <w:t>1</w:t>
            </w:r>
          </w:p>
        </w:tc>
        <w:tc>
          <w:tcPr>
            <w:tcW w:w="3544" w:type="dxa"/>
          </w:tcPr>
          <w:p w14:paraId="36007B11" w14:textId="5CF67D2F" w:rsidR="00191A23" w:rsidRPr="000D3E25" w:rsidRDefault="000D3E25" w:rsidP="000D3E25">
            <w:pPr>
              <w:tabs>
                <w:tab w:val="left" w:pos="5400"/>
              </w:tabs>
              <w:jc w:val="both"/>
              <w:rPr>
                <w:sz w:val="20"/>
              </w:rPr>
            </w:pPr>
            <w:r w:rsidRPr="000D3E25">
              <w:rPr>
                <w:sz w:val="20"/>
              </w:rPr>
              <w:t>A retrospective analysis of clinical data was conducted for 255 patients diagnosed with pT1c33N0M0 NSCLC. Lymph nodes were tabulated and categorized into three groups (0-10 nodes, 11-16 nodes, &gt;16 nodes). Clinical data among these three groups of pT1c33N0M0 NSCLC patients were compared. We conducted both univariate and multivariate analyses to pinpoint the factors that impact the prognosis of patients with pT1c33N0M0 non-small cell lung cancer (NSCLC). Additionally, we employed Receiver Operating Characteristic (ROC) curve analysis to pinpoint the optimal lymph node criteria at the N1 station for prognostic prediction in pT1c33N0M0 NSCLC patients.</w:t>
            </w:r>
            <w:r w:rsidRPr="000D3E25">
              <w:rPr>
                <w:sz w:val="20"/>
                <w:lang w:val="en-US"/>
              </w:rPr>
              <w:t xml:space="preserve"> The study found that</w:t>
            </w:r>
            <w:r>
              <w:rPr>
                <w:sz w:val="20"/>
                <w:lang w:val="en-US"/>
              </w:rPr>
              <w:t xml:space="preserve"> l</w:t>
            </w:r>
            <w:r w:rsidRPr="000D3E25">
              <w:rPr>
                <w:sz w:val="20"/>
                <w:lang w:val="en-US"/>
              </w:rPr>
              <w:t xml:space="preserve">ymph nodes serve as an independent prognostic factor for </w:t>
            </w:r>
            <w:r w:rsidRPr="000D3E25">
              <w:rPr>
                <w:sz w:val="20"/>
                <w:lang w:val="en-US"/>
              </w:rPr>
              <w:lastRenderedPageBreak/>
              <w:t>pT1c33N0M0 NSCLC patients. Detecting at least 3 or more lymph nodes at the N1 station is associated with a more favourable prognosis in pT1c33N0M0 NSCLC patients.</w:t>
            </w:r>
          </w:p>
        </w:tc>
      </w:tr>
      <w:tr w:rsidR="00191A23" w:rsidRPr="0022554A" w14:paraId="4FD9E50C" w14:textId="77777777" w:rsidTr="003200E2">
        <w:tc>
          <w:tcPr>
            <w:tcW w:w="11448" w:type="dxa"/>
            <w:gridSpan w:val="4"/>
          </w:tcPr>
          <w:p w14:paraId="3D38A04D"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lastRenderedPageBreak/>
              <w:t>Introduction</w:t>
            </w:r>
          </w:p>
        </w:tc>
        <w:bookmarkEnd w:id="13"/>
        <w:bookmarkEnd w:id="14"/>
        <w:tc>
          <w:tcPr>
            <w:tcW w:w="3544" w:type="dxa"/>
          </w:tcPr>
          <w:p w14:paraId="406A7A12" w14:textId="77777777" w:rsidR="00191A23" w:rsidRPr="0022554A" w:rsidRDefault="00191A23" w:rsidP="0022554A">
            <w:pPr>
              <w:pStyle w:val="TableSubHead"/>
              <w:tabs>
                <w:tab w:val="left" w:pos="5400"/>
              </w:tabs>
              <w:rPr>
                <w:sz w:val="20"/>
              </w:rPr>
            </w:pPr>
          </w:p>
        </w:tc>
      </w:tr>
      <w:tr w:rsidR="00191A23" w:rsidRPr="0022554A" w14:paraId="21FCFDDF" w14:textId="77777777" w:rsidTr="003200E2">
        <w:tc>
          <w:tcPr>
            <w:tcW w:w="1951" w:type="dxa"/>
          </w:tcPr>
          <w:p w14:paraId="7534D566" w14:textId="034A10A9"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06EB944F" w14:textId="77777777" w:rsidR="00191A23" w:rsidRPr="0022554A" w:rsidRDefault="00191A23" w:rsidP="0022554A">
            <w:pPr>
              <w:tabs>
                <w:tab w:val="left" w:pos="5400"/>
              </w:tabs>
              <w:jc w:val="center"/>
              <w:rPr>
                <w:sz w:val="20"/>
              </w:rPr>
            </w:pPr>
            <w:r w:rsidRPr="0022554A">
              <w:rPr>
                <w:sz w:val="20"/>
              </w:rPr>
              <w:t>2</w:t>
            </w:r>
          </w:p>
        </w:tc>
        <w:tc>
          <w:tcPr>
            <w:tcW w:w="8031" w:type="dxa"/>
          </w:tcPr>
          <w:p w14:paraId="16A53DB2"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850" w:type="dxa"/>
          </w:tcPr>
          <w:p w14:paraId="5C3C8278" w14:textId="232F056E" w:rsidR="00191A23" w:rsidRPr="0022554A" w:rsidRDefault="000D3E25" w:rsidP="0022554A">
            <w:pPr>
              <w:tabs>
                <w:tab w:val="left" w:pos="5400"/>
              </w:tabs>
              <w:rPr>
                <w:sz w:val="20"/>
                <w:lang w:eastAsia="zh-CN"/>
              </w:rPr>
            </w:pPr>
            <w:r>
              <w:rPr>
                <w:rFonts w:hint="eastAsia"/>
                <w:sz w:val="20"/>
                <w:lang w:eastAsia="zh-CN"/>
              </w:rPr>
              <w:t>1</w:t>
            </w:r>
            <w:r>
              <w:rPr>
                <w:sz w:val="20"/>
                <w:lang w:eastAsia="zh-CN"/>
              </w:rPr>
              <w:t>-2</w:t>
            </w:r>
          </w:p>
        </w:tc>
        <w:tc>
          <w:tcPr>
            <w:tcW w:w="3544" w:type="dxa"/>
          </w:tcPr>
          <w:p w14:paraId="18662743" w14:textId="09BFC1B5" w:rsidR="00191A23" w:rsidRPr="0022554A" w:rsidRDefault="000D3E25" w:rsidP="003E747B">
            <w:pPr>
              <w:tabs>
                <w:tab w:val="left" w:pos="5400"/>
              </w:tabs>
              <w:jc w:val="both"/>
              <w:rPr>
                <w:sz w:val="20"/>
              </w:rPr>
            </w:pPr>
            <w:r w:rsidRPr="000D3E25">
              <w:rPr>
                <w:sz w:val="20"/>
                <w:lang w:val="en-US"/>
              </w:rPr>
              <w:t>Current clinical management of NSCLC often involves surgical removal of the affected lung lobe followed by comprehensive mediastinal lymph node dissection. For patients with lymph node involvement, adjuvant chemotherapy is usually necessary to reduce the risk of recurrence. The accuracy of lymph node detection is pivotal in tailoring treatment strategies . Lymph nodes play a significant role in pathological staging and prognosis assessment, as examining an appropriate number of lymph nodes enhances the reliability of staging and the precision of prognosis evaluation</w:t>
            </w:r>
            <w:r w:rsidRPr="000D3E25">
              <w:rPr>
                <w:sz w:val="20"/>
                <w:lang w:val="en-US"/>
              </w:rPr>
              <w:t xml:space="preserve"> </w:t>
            </w:r>
            <w:r w:rsidRPr="000D3E25">
              <w:rPr>
                <w:sz w:val="20"/>
                <w:lang w:val="en-US"/>
              </w:rPr>
              <w:t>However, there is no established consensus on the optimal number of lymph nodes to be removed during surgery for pT1c33N0M0 NSCLC patients. Furthermore, most research has concentrated on the number of mediastinal lymph nodes, with limited investigation into lymph nodes at the N1 lymph nodes station (stations 10-14).</w:t>
            </w:r>
          </w:p>
        </w:tc>
      </w:tr>
      <w:tr w:rsidR="00191A23" w:rsidRPr="0022554A" w14:paraId="34428E58" w14:textId="77777777" w:rsidTr="003200E2">
        <w:tc>
          <w:tcPr>
            <w:tcW w:w="1951" w:type="dxa"/>
          </w:tcPr>
          <w:p w14:paraId="01A42743"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14:paraId="1182E140" w14:textId="77777777" w:rsidR="00191A23" w:rsidRPr="0022554A" w:rsidRDefault="00191A23" w:rsidP="0022554A">
            <w:pPr>
              <w:tabs>
                <w:tab w:val="left" w:pos="5400"/>
              </w:tabs>
              <w:jc w:val="center"/>
              <w:rPr>
                <w:sz w:val="20"/>
              </w:rPr>
            </w:pPr>
            <w:r w:rsidRPr="0022554A">
              <w:rPr>
                <w:sz w:val="20"/>
              </w:rPr>
              <w:t>3</w:t>
            </w:r>
          </w:p>
        </w:tc>
        <w:tc>
          <w:tcPr>
            <w:tcW w:w="8031" w:type="dxa"/>
          </w:tcPr>
          <w:p w14:paraId="650818A9"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850" w:type="dxa"/>
          </w:tcPr>
          <w:p w14:paraId="02A6EA85" w14:textId="5F4164F8" w:rsidR="00191A23" w:rsidRPr="00D61281" w:rsidRDefault="00D61281" w:rsidP="0022554A">
            <w:pPr>
              <w:tabs>
                <w:tab w:val="left" w:pos="5400"/>
              </w:tabs>
              <w:rPr>
                <w:color w:val="000000" w:themeColor="text1"/>
                <w:sz w:val="20"/>
                <w:lang w:eastAsia="zh-CN"/>
              </w:rPr>
            </w:pPr>
            <w:r w:rsidRPr="00D61281">
              <w:rPr>
                <w:rFonts w:hint="eastAsia"/>
                <w:color w:val="000000" w:themeColor="text1"/>
                <w:sz w:val="20"/>
                <w:lang w:eastAsia="zh-CN"/>
              </w:rPr>
              <w:t>2</w:t>
            </w:r>
          </w:p>
        </w:tc>
        <w:tc>
          <w:tcPr>
            <w:tcW w:w="3544" w:type="dxa"/>
          </w:tcPr>
          <w:p w14:paraId="587FA750" w14:textId="7784F2C5" w:rsidR="00191A23" w:rsidRPr="00D61281" w:rsidRDefault="003E747B" w:rsidP="00D61281">
            <w:pPr>
              <w:tabs>
                <w:tab w:val="left" w:pos="5400"/>
              </w:tabs>
              <w:jc w:val="both"/>
              <w:rPr>
                <w:color w:val="000000" w:themeColor="text1"/>
                <w:sz w:val="20"/>
              </w:rPr>
            </w:pPr>
            <w:r w:rsidRPr="003E747B">
              <w:rPr>
                <w:color w:val="000000" w:themeColor="text1"/>
                <w:sz w:val="20"/>
              </w:rPr>
              <w:t>Henceforth, this study conducts a retrospective examination of clinical data pertaining to 255 patients diagnosed with pT1c33N0M0 NSCLC who underwent curative lung cancer surgery. The primary goal is to investigate the correlation between various lymph nodes and the most advantageous quantity of N1 station lymph node dissections concerning the prognosis of pT1c33N0M0 NSCLC patients, with the ultimate aim of furnishing dependable guidance for clinical treatment decisions.</w:t>
            </w:r>
          </w:p>
        </w:tc>
      </w:tr>
      <w:tr w:rsidR="00191A23" w:rsidRPr="0022554A" w14:paraId="18483B5B" w14:textId="77777777" w:rsidTr="003200E2">
        <w:tc>
          <w:tcPr>
            <w:tcW w:w="11448" w:type="dxa"/>
            <w:gridSpan w:val="4"/>
          </w:tcPr>
          <w:p w14:paraId="785B8E1F"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3544" w:type="dxa"/>
          </w:tcPr>
          <w:p w14:paraId="6B683864" w14:textId="77777777" w:rsidR="00191A23" w:rsidRPr="0022554A" w:rsidRDefault="00191A23" w:rsidP="0022554A">
            <w:pPr>
              <w:pStyle w:val="TableSubHead"/>
              <w:tabs>
                <w:tab w:val="left" w:pos="5400"/>
              </w:tabs>
              <w:rPr>
                <w:sz w:val="20"/>
              </w:rPr>
            </w:pPr>
          </w:p>
        </w:tc>
      </w:tr>
      <w:tr w:rsidR="00191A23" w:rsidRPr="0022554A" w14:paraId="5763D89C" w14:textId="77777777" w:rsidTr="003200E2">
        <w:tc>
          <w:tcPr>
            <w:tcW w:w="1951" w:type="dxa"/>
          </w:tcPr>
          <w:p w14:paraId="2619E29C"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4A173843" w14:textId="77777777" w:rsidR="00191A23" w:rsidRPr="0022554A" w:rsidRDefault="00191A23" w:rsidP="0022554A">
            <w:pPr>
              <w:tabs>
                <w:tab w:val="left" w:pos="5400"/>
              </w:tabs>
              <w:jc w:val="center"/>
              <w:rPr>
                <w:sz w:val="20"/>
              </w:rPr>
            </w:pPr>
            <w:r w:rsidRPr="0022554A">
              <w:rPr>
                <w:sz w:val="20"/>
              </w:rPr>
              <w:t>4</w:t>
            </w:r>
          </w:p>
        </w:tc>
        <w:tc>
          <w:tcPr>
            <w:tcW w:w="8031" w:type="dxa"/>
          </w:tcPr>
          <w:p w14:paraId="77D64804"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850" w:type="dxa"/>
          </w:tcPr>
          <w:p w14:paraId="7295ADF2" w14:textId="2E91237B" w:rsidR="00191A23" w:rsidRPr="0022554A" w:rsidRDefault="00AA42CB" w:rsidP="0022554A">
            <w:pPr>
              <w:tabs>
                <w:tab w:val="left" w:pos="5400"/>
              </w:tabs>
              <w:rPr>
                <w:sz w:val="20"/>
                <w:lang w:eastAsia="zh-CN"/>
              </w:rPr>
            </w:pPr>
            <w:r>
              <w:rPr>
                <w:rFonts w:hint="eastAsia"/>
                <w:sz w:val="20"/>
                <w:lang w:eastAsia="zh-CN"/>
              </w:rPr>
              <w:t>2</w:t>
            </w:r>
          </w:p>
        </w:tc>
        <w:tc>
          <w:tcPr>
            <w:tcW w:w="3544" w:type="dxa"/>
          </w:tcPr>
          <w:p w14:paraId="733F1DB7" w14:textId="5A2C46EB" w:rsidR="00191A23" w:rsidRPr="0022554A" w:rsidRDefault="00AA42CB" w:rsidP="0022554A">
            <w:pPr>
              <w:tabs>
                <w:tab w:val="left" w:pos="5400"/>
              </w:tabs>
              <w:rPr>
                <w:sz w:val="20"/>
              </w:rPr>
            </w:pPr>
            <w:r w:rsidRPr="00AA42CB">
              <w:rPr>
                <w:sz w:val="20"/>
              </w:rPr>
              <w:t xml:space="preserve">We undertook a retrospective examination of 255 individuals diagnosed with pT1c33N0M0 NSCLC </w:t>
            </w:r>
            <w:r>
              <w:rPr>
                <w:sz w:val="20"/>
              </w:rPr>
              <w:t>.</w:t>
            </w:r>
          </w:p>
        </w:tc>
      </w:tr>
      <w:tr w:rsidR="00191A23" w:rsidRPr="0022554A" w14:paraId="41123D50" w14:textId="77777777" w:rsidTr="003200E2">
        <w:tc>
          <w:tcPr>
            <w:tcW w:w="1951" w:type="dxa"/>
          </w:tcPr>
          <w:p w14:paraId="2C79BE80"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558E0892" w14:textId="77777777" w:rsidR="00191A23" w:rsidRPr="0022554A" w:rsidRDefault="00191A23" w:rsidP="0022554A">
            <w:pPr>
              <w:tabs>
                <w:tab w:val="left" w:pos="5400"/>
              </w:tabs>
              <w:jc w:val="center"/>
              <w:rPr>
                <w:sz w:val="20"/>
              </w:rPr>
            </w:pPr>
            <w:r w:rsidRPr="0022554A">
              <w:rPr>
                <w:sz w:val="20"/>
              </w:rPr>
              <w:t>5</w:t>
            </w:r>
          </w:p>
        </w:tc>
        <w:tc>
          <w:tcPr>
            <w:tcW w:w="8031" w:type="dxa"/>
          </w:tcPr>
          <w:p w14:paraId="44EB9B3C"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850" w:type="dxa"/>
          </w:tcPr>
          <w:p w14:paraId="1DAF309B" w14:textId="69EEB7E8" w:rsidR="00191A23" w:rsidRPr="0022554A" w:rsidRDefault="00AA42CB" w:rsidP="0022554A">
            <w:pPr>
              <w:tabs>
                <w:tab w:val="left" w:pos="5400"/>
              </w:tabs>
              <w:rPr>
                <w:sz w:val="20"/>
                <w:lang w:eastAsia="zh-CN"/>
              </w:rPr>
            </w:pPr>
            <w:r>
              <w:rPr>
                <w:rFonts w:hint="eastAsia"/>
                <w:sz w:val="20"/>
                <w:lang w:eastAsia="zh-CN"/>
              </w:rPr>
              <w:t>2</w:t>
            </w:r>
          </w:p>
        </w:tc>
        <w:tc>
          <w:tcPr>
            <w:tcW w:w="3544" w:type="dxa"/>
          </w:tcPr>
          <w:p w14:paraId="64E85BAF" w14:textId="060D2F01" w:rsidR="00191A23" w:rsidRPr="0022554A" w:rsidRDefault="00BA4818" w:rsidP="00851968">
            <w:pPr>
              <w:tabs>
                <w:tab w:val="left" w:pos="5400"/>
              </w:tabs>
              <w:jc w:val="both"/>
              <w:rPr>
                <w:sz w:val="20"/>
              </w:rPr>
            </w:pPr>
            <w:r w:rsidRPr="00851968">
              <w:rPr>
                <w:sz w:val="20"/>
              </w:rPr>
              <w:t xml:space="preserve">We conducted a </w:t>
            </w:r>
            <w:r w:rsidR="00851968" w:rsidRPr="00851968">
              <w:rPr>
                <w:sz w:val="20"/>
              </w:rPr>
              <w:t>two years and a half</w:t>
            </w:r>
            <w:r w:rsidRPr="00851968">
              <w:rPr>
                <w:sz w:val="20"/>
              </w:rPr>
              <w:t xml:space="preserve"> </w:t>
            </w:r>
            <w:r w:rsidR="00AA42CB" w:rsidRPr="00851968">
              <w:rPr>
                <w:sz w:val="20"/>
              </w:rPr>
              <w:t>(</w:t>
            </w:r>
            <w:bookmarkStart w:id="27" w:name="OLE_LINK15"/>
            <w:r w:rsidR="00AA42CB" w:rsidRPr="00851968">
              <w:rPr>
                <w:sz w:val="20"/>
                <w:lang w:val="en-US"/>
              </w:rPr>
              <w:t>January 2020 to July 2022</w:t>
            </w:r>
            <w:bookmarkEnd w:id="27"/>
            <w:r w:rsidR="00AA42CB" w:rsidRPr="00851968">
              <w:rPr>
                <w:sz w:val="20"/>
              </w:rPr>
              <w:t xml:space="preserve">) </w:t>
            </w:r>
            <w:r w:rsidR="00851968" w:rsidRPr="00851968">
              <w:rPr>
                <w:sz w:val="20"/>
              </w:rPr>
              <w:t>retrospective analysis</w:t>
            </w:r>
            <w:r w:rsidR="00851968" w:rsidRPr="00851968">
              <w:rPr>
                <w:sz w:val="20"/>
              </w:rPr>
              <w:t xml:space="preserve"> </w:t>
            </w:r>
            <w:r w:rsidRPr="00851968">
              <w:rPr>
                <w:sz w:val="20"/>
              </w:rPr>
              <w:t>in</w:t>
            </w:r>
            <w:r w:rsidR="00851968" w:rsidRPr="00851968">
              <w:rPr>
                <w:sz w:val="20"/>
              </w:rPr>
              <w:t xml:space="preserve"> </w:t>
            </w:r>
            <w:r w:rsidR="00851968" w:rsidRPr="00851968">
              <w:rPr>
                <w:sz w:val="20"/>
                <w:lang w:val="en-US"/>
              </w:rPr>
              <w:t>Beijing Chest Hospital, Capital Medical University</w:t>
            </w:r>
            <w:r w:rsidR="00851968" w:rsidRPr="00851968">
              <w:rPr>
                <w:sz w:val="20"/>
                <w:lang w:val="en-US"/>
              </w:rPr>
              <w:t>.</w:t>
            </w:r>
          </w:p>
        </w:tc>
      </w:tr>
      <w:bookmarkEnd w:id="25"/>
      <w:bookmarkEnd w:id="26"/>
      <w:tr w:rsidR="00191A23" w:rsidRPr="0022554A" w14:paraId="1E9C1A83" w14:textId="77777777" w:rsidTr="003200E2">
        <w:tc>
          <w:tcPr>
            <w:tcW w:w="1951" w:type="dxa"/>
            <w:vMerge w:val="restart"/>
          </w:tcPr>
          <w:p w14:paraId="73C6FFC0"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344E52D9" w14:textId="77777777" w:rsidR="00191A23" w:rsidRPr="0022554A" w:rsidRDefault="00191A23" w:rsidP="0022554A">
            <w:pPr>
              <w:tabs>
                <w:tab w:val="left" w:pos="5400"/>
              </w:tabs>
              <w:jc w:val="center"/>
              <w:rPr>
                <w:sz w:val="20"/>
              </w:rPr>
            </w:pPr>
            <w:r w:rsidRPr="0022554A">
              <w:rPr>
                <w:sz w:val="20"/>
              </w:rPr>
              <w:t>6</w:t>
            </w:r>
          </w:p>
        </w:tc>
        <w:tc>
          <w:tcPr>
            <w:tcW w:w="8031" w:type="dxa"/>
          </w:tcPr>
          <w:p w14:paraId="3BCD307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49C912B5"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41DF7C8D"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850" w:type="dxa"/>
          </w:tcPr>
          <w:p w14:paraId="35B9FC0C" w14:textId="07379DE2" w:rsidR="00191A23" w:rsidRPr="0022554A" w:rsidRDefault="00851968" w:rsidP="0022554A">
            <w:pPr>
              <w:tabs>
                <w:tab w:val="left" w:pos="5400"/>
              </w:tabs>
              <w:rPr>
                <w:sz w:val="20"/>
                <w:lang w:eastAsia="zh-CN"/>
              </w:rPr>
            </w:pPr>
            <w:r>
              <w:rPr>
                <w:rFonts w:hint="eastAsia"/>
                <w:sz w:val="20"/>
                <w:lang w:eastAsia="zh-CN"/>
              </w:rPr>
              <w:t>2</w:t>
            </w:r>
          </w:p>
        </w:tc>
        <w:tc>
          <w:tcPr>
            <w:tcW w:w="3544" w:type="dxa"/>
          </w:tcPr>
          <w:p w14:paraId="3B07357F" w14:textId="52184446" w:rsidR="00191A23" w:rsidRPr="0022554A" w:rsidRDefault="00BA4818" w:rsidP="00851968">
            <w:pPr>
              <w:tabs>
                <w:tab w:val="left" w:pos="5400"/>
              </w:tabs>
              <w:jc w:val="both"/>
              <w:rPr>
                <w:sz w:val="20"/>
              </w:rPr>
            </w:pPr>
            <w:r w:rsidRPr="00BA4818">
              <w:rPr>
                <w:sz w:val="20"/>
              </w:rPr>
              <w:t xml:space="preserve">The inclusion criteria of patients in this retrospective study were: </w:t>
            </w:r>
            <w:r w:rsidR="00851968" w:rsidRPr="00851968">
              <w:rPr>
                <w:sz w:val="20"/>
                <w:lang w:val="en-US"/>
              </w:rPr>
              <w:t xml:space="preserve">(1) histopathologically confirmed NSCLC with a pathological stage of pT1c33N0M0, (2) patients who underwent systematic mediastinal lymph node dissection, and (3) availability of complete medical records. Exclusion criteria included: (1) patients with severe cardiopulmonary insufficiency, (2) </w:t>
            </w:r>
            <w:r w:rsidR="00851968" w:rsidRPr="00851968">
              <w:rPr>
                <w:sz w:val="20"/>
                <w:lang w:val="en-US"/>
              </w:rPr>
              <w:lastRenderedPageBreak/>
              <w:t>preoperative neoadjuvant therapy, (3) sublobar resection or the absence of systematic lymph node dissection, (4) intraoperative discovery of thoracic or distant metastasis, and (5) incomplete medical records.</w:t>
            </w:r>
          </w:p>
        </w:tc>
      </w:tr>
      <w:tr w:rsidR="00191A23" w:rsidRPr="0022554A" w14:paraId="775DA61A" w14:textId="77777777" w:rsidTr="003200E2">
        <w:tc>
          <w:tcPr>
            <w:tcW w:w="1951" w:type="dxa"/>
            <w:vMerge/>
          </w:tcPr>
          <w:p w14:paraId="65B1D11B" w14:textId="77777777" w:rsidR="00191A23" w:rsidRPr="0022554A" w:rsidRDefault="00191A23" w:rsidP="0022554A">
            <w:pPr>
              <w:tabs>
                <w:tab w:val="left" w:pos="5400"/>
              </w:tabs>
              <w:rPr>
                <w:bCs/>
                <w:sz w:val="20"/>
              </w:rPr>
            </w:pPr>
            <w:bookmarkStart w:id="28" w:name="bold14" w:colFirst="0" w:colLast="0"/>
            <w:bookmarkStart w:id="29" w:name="italic15" w:colFirst="0" w:colLast="0"/>
          </w:p>
        </w:tc>
        <w:tc>
          <w:tcPr>
            <w:tcW w:w="616" w:type="dxa"/>
            <w:vMerge/>
          </w:tcPr>
          <w:p w14:paraId="71AFD784" w14:textId="77777777" w:rsidR="00191A23" w:rsidRPr="0022554A" w:rsidRDefault="00191A23" w:rsidP="0022554A">
            <w:pPr>
              <w:tabs>
                <w:tab w:val="left" w:pos="5400"/>
              </w:tabs>
              <w:jc w:val="center"/>
              <w:rPr>
                <w:sz w:val="20"/>
              </w:rPr>
            </w:pPr>
          </w:p>
        </w:tc>
        <w:tc>
          <w:tcPr>
            <w:tcW w:w="8031" w:type="dxa"/>
          </w:tcPr>
          <w:p w14:paraId="01EBD393"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4F20622D"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850" w:type="dxa"/>
          </w:tcPr>
          <w:p w14:paraId="286345E6" w14:textId="77777777" w:rsidR="00191A23" w:rsidRPr="0022554A" w:rsidRDefault="00191A23" w:rsidP="0022554A">
            <w:pPr>
              <w:tabs>
                <w:tab w:val="left" w:pos="5400"/>
              </w:tabs>
              <w:rPr>
                <w:sz w:val="20"/>
              </w:rPr>
            </w:pPr>
          </w:p>
        </w:tc>
        <w:tc>
          <w:tcPr>
            <w:tcW w:w="3544" w:type="dxa"/>
          </w:tcPr>
          <w:p w14:paraId="037D421B" w14:textId="77777777" w:rsidR="00191A23" w:rsidRPr="0022554A" w:rsidRDefault="00191A23" w:rsidP="0022554A">
            <w:pPr>
              <w:tabs>
                <w:tab w:val="left" w:pos="5400"/>
              </w:tabs>
              <w:rPr>
                <w:sz w:val="20"/>
              </w:rPr>
            </w:pPr>
          </w:p>
        </w:tc>
      </w:tr>
      <w:tr w:rsidR="00191A23" w:rsidRPr="0022554A" w14:paraId="61F3F792" w14:textId="77777777" w:rsidTr="003200E2">
        <w:tc>
          <w:tcPr>
            <w:tcW w:w="1951" w:type="dxa"/>
          </w:tcPr>
          <w:p w14:paraId="5EBA184C" w14:textId="77777777" w:rsidR="00191A23" w:rsidRPr="0022554A" w:rsidRDefault="00191A23" w:rsidP="0022554A">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616" w:type="dxa"/>
          </w:tcPr>
          <w:p w14:paraId="24430855" w14:textId="77777777" w:rsidR="00191A23" w:rsidRPr="0022554A" w:rsidRDefault="00191A23" w:rsidP="0022554A">
            <w:pPr>
              <w:tabs>
                <w:tab w:val="left" w:pos="5400"/>
              </w:tabs>
              <w:jc w:val="center"/>
              <w:rPr>
                <w:sz w:val="20"/>
              </w:rPr>
            </w:pPr>
            <w:r w:rsidRPr="0022554A">
              <w:rPr>
                <w:sz w:val="20"/>
              </w:rPr>
              <w:t>7</w:t>
            </w:r>
          </w:p>
        </w:tc>
        <w:tc>
          <w:tcPr>
            <w:tcW w:w="8031" w:type="dxa"/>
          </w:tcPr>
          <w:p w14:paraId="3AA36DDC"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850" w:type="dxa"/>
          </w:tcPr>
          <w:p w14:paraId="2ABA679E" w14:textId="0AAE0217" w:rsidR="00191A23" w:rsidRPr="0022554A" w:rsidRDefault="00851968" w:rsidP="0022554A">
            <w:pPr>
              <w:tabs>
                <w:tab w:val="left" w:pos="5400"/>
              </w:tabs>
              <w:rPr>
                <w:sz w:val="20"/>
                <w:lang w:eastAsia="zh-CN"/>
              </w:rPr>
            </w:pPr>
            <w:r>
              <w:rPr>
                <w:rFonts w:hint="eastAsia"/>
                <w:sz w:val="20"/>
                <w:lang w:eastAsia="zh-CN"/>
              </w:rPr>
              <w:t>2</w:t>
            </w:r>
          </w:p>
        </w:tc>
        <w:tc>
          <w:tcPr>
            <w:tcW w:w="3544" w:type="dxa"/>
          </w:tcPr>
          <w:p w14:paraId="4C25D1F1" w14:textId="32CC90AA" w:rsidR="00191A23" w:rsidRPr="0022554A" w:rsidRDefault="00851968" w:rsidP="0022554A">
            <w:pPr>
              <w:tabs>
                <w:tab w:val="left" w:pos="5400"/>
              </w:tabs>
              <w:rPr>
                <w:sz w:val="20"/>
              </w:rPr>
            </w:pPr>
            <w:r w:rsidRPr="00851968">
              <w:rPr>
                <w:color w:val="000000" w:themeColor="text1"/>
                <w:sz w:val="20"/>
                <w:lang w:val="en-US"/>
              </w:rPr>
              <w:t>Within the group of 255 patients diagnosed with pT1c33N0M0 NSCLC, 169 were male, and 86 were female, spanning an age range of 33 to 81 years. A collective count of 3902 lymph nodes was identified, equating to an average of 15.3 lymph nodes per patient. Lymph nodes were divided into three groups based on quartiles: &lt;10 nodes, 11-16 nodes, and &gt;16 nodes, as there were no specific grouping criteria for lymph nodes.</w:t>
            </w:r>
          </w:p>
        </w:tc>
      </w:tr>
      <w:tr w:rsidR="00191A23" w:rsidRPr="0022554A" w14:paraId="52E9BDB4" w14:textId="77777777" w:rsidTr="003200E2">
        <w:trPr>
          <w:trHeight w:val="294"/>
        </w:trPr>
        <w:tc>
          <w:tcPr>
            <w:tcW w:w="1951" w:type="dxa"/>
          </w:tcPr>
          <w:p w14:paraId="676D80E4" w14:textId="69DC760E" w:rsidR="00191A23" w:rsidRPr="0022554A" w:rsidRDefault="00191A23" w:rsidP="0022554A">
            <w:pPr>
              <w:tabs>
                <w:tab w:val="left" w:pos="5400"/>
              </w:tabs>
              <w:rPr>
                <w:bCs/>
                <w:sz w:val="20"/>
              </w:rPr>
            </w:pPr>
            <w:bookmarkStart w:id="32" w:name="bold17"/>
            <w:bookmarkStart w:id="33" w:name="italic18"/>
            <w:bookmarkEnd w:id="30"/>
            <w:bookmarkEnd w:id="31"/>
            <w:r w:rsidRPr="0022554A">
              <w:rPr>
                <w:bCs/>
                <w:sz w:val="20"/>
              </w:rPr>
              <w:t>Data sources/</w:t>
            </w:r>
            <w:bookmarkStart w:id="34" w:name="bold18"/>
            <w:bookmarkStart w:id="35" w:name="italic19"/>
            <w:bookmarkEnd w:id="32"/>
            <w:bookmarkEnd w:id="33"/>
            <w:r>
              <w:rPr>
                <w:bCs/>
                <w:sz w:val="20"/>
              </w:rPr>
              <w:t xml:space="preserve"> </w:t>
            </w:r>
            <w:r w:rsidRPr="0022554A">
              <w:rPr>
                <w:bCs/>
                <w:sz w:val="20"/>
              </w:rPr>
              <w:t>measurement</w:t>
            </w:r>
            <w:bookmarkEnd w:id="34"/>
            <w:bookmarkEnd w:id="35"/>
          </w:p>
        </w:tc>
        <w:tc>
          <w:tcPr>
            <w:tcW w:w="616" w:type="dxa"/>
          </w:tcPr>
          <w:p w14:paraId="6EF69766" w14:textId="77777777" w:rsidR="00191A23" w:rsidRPr="0022554A" w:rsidRDefault="00191A23" w:rsidP="0022554A">
            <w:pPr>
              <w:tabs>
                <w:tab w:val="left" w:pos="5400"/>
              </w:tabs>
              <w:jc w:val="center"/>
              <w:rPr>
                <w:sz w:val="20"/>
              </w:rPr>
            </w:pPr>
            <w:r w:rsidRPr="0022554A">
              <w:rPr>
                <w:sz w:val="20"/>
              </w:rPr>
              <w:t>8</w:t>
            </w:r>
            <w:bookmarkStart w:id="36" w:name="bold19"/>
            <w:r w:rsidRPr="0022554A">
              <w:rPr>
                <w:bCs/>
                <w:sz w:val="20"/>
              </w:rPr>
              <w:t>*</w:t>
            </w:r>
            <w:bookmarkEnd w:id="36"/>
          </w:p>
        </w:tc>
        <w:tc>
          <w:tcPr>
            <w:tcW w:w="8031" w:type="dxa"/>
          </w:tcPr>
          <w:p w14:paraId="051B0577"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850" w:type="dxa"/>
          </w:tcPr>
          <w:p w14:paraId="78AD5ECC" w14:textId="77777777" w:rsidR="00191A23" w:rsidRPr="0022554A" w:rsidRDefault="00191A23" w:rsidP="0022554A">
            <w:pPr>
              <w:tabs>
                <w:tab w:val="left" w:pos="5400"/>
              </w:tabs>
              <w:rPr>
                <w:i/>
                <w:sz w:val="20"/>
              </w:rPr>
            </w:pPr>
          </w:p>
        </w:tc>
        <w:tc>
          <w:tcPr>
            <w:tcW w:w="3544" w:type="dxa"/>
          </w:tcPr>
          <w:p w14:paraId="2E1ABDA2" w14:textId="13912CF5" w:rsidR="00191A23" w:rsidRPr="0022554A" w:rsidRDefault="00BA4818" w:rsidP="0022554A">
            <w:pPr>
              <w:tabs>
                <w:tab w:val="left" w:pos="5400"/>
              </w:tabs>
              <w:rPr>
                <w:i/>
                <w:sz w:val="20"/>
                <w:lang w:eastAsia="zh-CN"/>
              </w:rPr>
            </w:pPr>
            <w:r>
              <w:rPr>
                <w:rFonts w:hint="eastAsia"/>
                <w:i/>
                <w:sz w:val="20"/>
                <w:lang w:eastAsia="zh-CN"/>
              </w:rPr>
              <w:t>N</w:t>
            </w:r>
            <w:r>
              <w:rPr>
                <w:i/>
                <w:sz w:val="20"/>
                <w:lang w:eastAsia="zh-CN"/>
              </w:rPr>
              <w:t>/A</w:t>
            </w:r>
          </w:p>
        </w:tc>
      </w:tr>
      <w:tr w:rsidR="00191A23" w:rsidRPr="0022554A" w14:paraId="23D0C206" w14:textId="77777777" w:rsidTr="003200E2">
        <w:tc>
          <w:tcPr>
            <w:tcW w:w="1951" w:type="dxa"/>
          </w:tcPr>
          <w:p w14:paraId="6C1F71AA" w14:textId="77777777" w:rsidR="00191A23" w:rsidRPr="0022554A" w:rsidRDefault="00191A23" w:rsidP="0022554A">
            <w:pPr>
              <w:tabs>
                <w:tab w:val="left" w:pos="5400"/>
              </w:tabs>
              <w:rPr>
                <w:bCs/>
                <w:color w:val="000000"/>
                <w:sz w:val="20"/>
              </w:rPr>
            </w:pPr>
            <w:bookmarkStart w:id="37" w:name="bold20" w:colFirst="0" w:colLast="0"/>
            <w:bookmarkStart w:id="38" w:name="italic20" w:colFirst="0" w:colLast="0"/>
            <w:r w:rsidRPr="0022554A">
              <w:rPr>
                <w:bCs/>
                <w:color w:val="000000"/>
                <w:sz w:val="20"/>
              </w:rPr>
              <w:t>Bias</w:t>
            </w:r>
          </w:p>
        </w:tc>
        <w:tc>
          <w:tcPr>
            <w:tcW w:w="616" w:type="dxa"/>
          </w:tcPr>
          <w:p w14:paraId="0D586758" w14:textId="77777777" w:rsidR="00191A23" w:rsidRPr="0022554A" w:rsidRDefault="00191A23" w:rsidP="0022554A">
            <w:pPr>
              <w:tabs>
                <w:tab w:val="left" w:pos="5400"/>
              </w:tabs>
              <w:jc w:val="center"/>
              <w:rPr>
                <w:sz w:val="20"/>
              </w:rPr>
            </w:pPr>
            <w:r w:rsidRPr="0022554A">
              <w:rPr>
                <w:sz w:val="20"/>
              </w:rPr>
              <w:t>9</w:t>
            </w:r>
          </w:p>
        </w:tc>
        <w:tc>
          <w:tcPr>
            <w:tcW w:w="8031" w:type="dxa"/>
          </w:tcPr>
          <w:p w14:paraId="138153B1"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850" w:type="dxa"/>
          </w:tcPr>
          <w:p w14:paraId="63747408" w14:textId="77777777" w:rsidR="00191A23" w:rsidRPr="0022554A" w:rsidRDefault="00191A23" w:rsidP="0022554A">
            <w:pPr>
              <w:tabs>
                <w:tab w:val="left" w:pos="5400"/>
              </w:tabs>
              <w:rPr>
                <w:color w:val="000000"/>
                <w:sz w:val="20"/>
              </w:rPr>
            </w:pPr>
          </w:p>
        </w:tc>
        <w:tc>
          <w:tcPr>
            <w:tcW w:w="3544" w:type="dxa"/>
          </w:tcPr>
          <w:p w14:paraId="059442BB" w14:textId="1251EE63" w:rsidR="00191A23" w:rsidRPr="0022554A" w:rsidRDefault="00BA4818" w:rsidP="0022554A">
            <w:pPr>
              <w:tabs>
                <w:tab w:val="left" w:pos="5400"/>
              </w:tabs>
              <w:rPr>
                <w:color w:val="000000"/>
                <w:sz w:val="20"/>
                <w:lang w:eastAsia="zh-CN"/>
              </w:rPr>
            </w:pPr>
            <w:r>
              <w:rPr>
                <w:rFonts w:hint="eastAsia"/>
                <w:color w:val="000000"/>
                <w:sz w:val="20"/>
                <w:lang w:eastAsia="zh-CN"/>
              </w:rPr>
              <w:t>N</w:t>
            </w:r>
            <w:r>
              <w:rPr>
                <w:color w:val="000000"/>
                <w:sz w:val="20"/>
                <w:lang w:eastAsia="zh-CN"/>
              </w:rPr>
              <w:t>/A</w:t>
            </w:r>
          </w:p>
        </w:tc>
      </w:tr>
      <w:tr w:rsidR="00191A23" w:rsidRPr="0022554A" w14:paraId="4D9BA582" w14:textId="77777777" w:rsidTr="003200E2">
        <w:tc>
          <w:tcPr>
            <w:tcW w:w="1951" w:type="dxa"/>
          </w:tcPr>
          <w:p w14:paraId="1AB01B9A" w14:textId="77777777" w:rsidR="00191A23" w:rsidRPr="0022554A" w:rsidRDefault="00191A23" w:rsidP="0022554A">
            <w:pPr>
              <w:tabs>
                <w:tab w:val="left" w:pos="5400"/>
              </w:tabs>
              <w:rPr>
                <w:bCs/>
                <w:sz w:val="20"/>
              </w:rPr>
            </w:pPr>
            <w:bookmarkStart w:id="39" w:name="bold21" w:colFirst="0" w:colLast="0"/>
            <w:bookmarkStart w:id="40" w:name="italic21" w:colFirst="0" w:colLast="0"/>
            <w:bookmarkEnd w:id="37"/>
            <w:bookmarkEnd w:id="38"/>
            <w:r w:rsidRPr="0022554A">
              <w:rPr>
                <w:bCs/>
                <w:sz w:val="20"/>
              </w:rPr>
              <w:t>Study size</w:t>
            </w:r>
          </w:p>
        </w:tc>
        <w:tc>
          <w:tcPr>
            <w:tcW w:w="616" w:type="dxa"/>
          </w:tcPr>
          <w:p w14:paraId="711F97FE" w14:textId="77777777" w:rsidR="00191A23" w:rsidRPr="0022554A" w:rsidRDefault="00191A23" w:rsidP="0022554A">
            <w:pPr>
              <w:tabs>
                <w:tab w:val="left" w:pos="5400"/>
              </w:tabs>
              <w:jc w:val="center"/>
              <w:rPr>
                <w:sz w:val="20"/>
              </w:rPr>
            </w:pPr>
            <w:r w:rsidRPr="0022554A">
              <w:rPr>
                <w:sz w:val="20"/>
              </w:rPr>
              <w:t>10</w:t>
            </w:r>
          </w:p>
        </w:tc>
        <w:tc>
          <w:tcPr>
            <w:tcW w:w="8031" w:type="dxa"/>
          </w:tcPr>
          <w:p w14:paraId="6416DC30" w14:textId="77777777" w:rsidR="00191A23" w:rsidRPr="0022554A" w:rsidRDefault="00191A23" w:rsidP="0022554A">
            <w:pPr>
              <w:tabs>
                <w:tab w:val="left" w:pos="5400"/>
              </w:tabs>
              <w:rPr>
                <w:sz w:val="20"/>
              </w:rPr>
            </w:pPr>
            <w:r w:rsidRPr="0022554A">
              <w:rPr>
                <w:sz w:val="20"/>
              </w:rPr>
              <w:t>Explain how the study size was arrived at</w:t>
            </w:r>
          </w:p>
        </w:tc>
        <w:tc>
          <w:tcPr>
            <w:tcW w:w="850" w:type="dxa"/>
          </w:tcPr>
          <w:p w14:paraId="5C0A1373" w14:textId="77777777" w:rsidR="00191A23" w:rsidRPr="0022554A" w:rsidRDefault="00191A23" w:rsidP="0022554A">
            <w:pPr>
              <w:tabs>
                <w:tab w:val="left" w:pos="5400"/>
              </w:tabs>
              <w:rPr>
                <w:sz w:val="20"/>
              </w:rPr>
            </w:pPr>
          </w:p>
        </w:tc>
        <w:tc>
          <w:tcPr>
            <w:tcW w:w="3544" w:type="dxa"/>
          </w:tcPr>
          <w:p w14:paraId="0998FFD8" w14:textId="0650FF56" w:rsidR="00191A23" w:rsidRPr="0022554A" w:rsidRDefault="00BA4818" w:rsidP="00062772">
            <w:pPr>
              <w:tabs>
                <w:tab w:val="left" w:pos="5400"/>
              </w:tabs>
              <w:jc w:val="both"/>
              <w:rPr>
                <w:sz w:val="20"/>
              </w:rPr>
            </w:pPr>
            <w:r w:rsidRPr="00BA4818">
              <w:rPr>
                <w:sz w:val="20"/>
              </w:rPr>
              <w:t xml:space="preserve">Through the electronic medical records, </w:t>
            </w:r>
            <w:r w:rsidR="00062772">
              <w:rPr>
                <w:sz w:val="20"/>
              </w:rPr>
              <w:t xml:space="preserve">255 </w:t>
            </w:r>
            <w:r w:rsidRPr="00BA4818">
              <w:rPr>
                <w:sz w:val="20"/>
              </w:rPr>
              <w:t xml:space="preserve"> patients who</w:t>
            </w:r>
            <w:r w:rsidR="00062772" w:rsidRPr="00062772">
              <w:rPr>
                <w:rFonts w:eastAsia="宋体"/>
                <w:kern w:val="2"/>
                <w:szCs w:val="24"/>
                <w:lang w:val="en-US" w:eastAsia="zh-CN"/>
                <w14:ligatures w14:val="standardContextual"/>
              </w:rPr>
              <w:t xml:space="preserve"> </w:t>
            </w:r>
            <w:r w:rsidR="00062772" w:rsidRPr="00062772">
              <w:rPr>
                <w:rFonts w:eastAsia="宋体"/>
                <w:kern w:val="2"/>
                <w:szCs w:val="24"/>
                <w:lang w:val="en-US" w:eastAsia="zh-CN"/>
                <w14:ligatures w14:val="standardContextual"/>
              </w:rPr>
              <w:t>diagnosed</w:t>
            </w:r>
            <w:r w:rsidR="00062772" w:rsidRPr="00062772">
              <w:rPr>
                <w:rFonts w:eastAsia="宋体"/>
                <w:kern w:val="2"/>
                <w:szCs w:val="24"/>
                <w:lang w:val="en-US" w:eastAsia="zh-CN"/>
                <w14:ligatures w14:val="standardContextual"/>
              </w:rPr>
              <w:t xml:space="preserve"> </w:t>
            </w:r>
            <w:r w:rsidR="00062772">
              <w:rPr>
                <w:rFonts w:eastAsia="宋体"/>
                <w:kern w:val="2"/>
                <w:szCs w:val="24"/>
                <w:lang w:val="en-US" w:eastAsia="zh-CN"/>
                <w14:ligatures w14:val="standardContextual"/>
              </w:rPr>
              <w:t xml:space="preserve">with </w:t>
            </w:r>
            <w:r w:rsidR="00062772" w:rsidRPr="00062772">
              <w:rPr>
                <w:sz w:val="20"/>
                <w:lang w:val="en-US"/>
              </w:rPr>
              <w:t>pT1c33N0M0 NSCLC</w:t>
            </w:r>
            <w:r w:rsidRPr="00BA4818">
              <w:rPr>
                <w:sz w:val="20"/>
              </w:rPr>
              <w:t xml:space="preserve"> in our hospital from </w:t>
            </w:r>
            <w:r w:rsidR="00062772" w:rsidRPr="00062772">
              <w:rPr>
                <w:sz w:val="20"/>
                <w:lang w:val="en-US"/>
              </w:rPr>
              <w:t>January 2020 to July 2022</w:t>
            </w:r>
            <w:r w:rsidRPr="00BA4818">
              <w:rPr>
                <w:sz w:val="20"/>
              </w:rPr>
              <w:t xml:space="preserve"> were selected.</w:t>
            </w:r>
          </w:p>
        </w:tc>
      </w:tr>
    </w:tbl>
    <w:p w14:paraId="6729543A" w14:textId="77777777" w:rsidR="00191A23" w:rsidRDefault="00191A23">
      <w:bookmarkStart w:id="41" w:name="bold22"/>
      <w:bookmarkStart w:id="42" w:name="italic22"/>
      <w:bookmarkEnd w:id="39"/>
      <w:bookmarkEnd w:id="40"/>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18EF8D1A" w14:textId="77777777" w:rsidTr="00517788">
        <w:tc>
          <w:tcPr>
            <w:tcW w:w="1521" w:type="dxa"/>
          </w:tcPr>
          <w:p w14:paraId="37911368" w14:textId="77777777" w:rsidR="00191A23" w:rsidRPr="0022554A" w:rsidRDefault="00191A23" w:rsidP="00191A23">
            <w:pPr>
              <w:tabs>
                <w:tab w:val="left" w:pos="5400"/>
              </w:tabs>
              <w:rPr>
                <w:bCs/>
                <w:sz w:val="20"/>
              </w:rPr>
            </w:pPr>
            <w:r w:rsidRPr="0022554A">
              <w:rPr>
                <w:bCs/>
                <w:sz w:val="20"/>
              </w:rPr>
              <w:lastRenderedPageBreak/>
              <w:t>Quantitative</w:t>
            </w:r>
            <w:bookmarkStart w:id="43" w:name="bold23"/>
            <w:bookmarkStart w:id="44" w:name="italic23"/>
            <w:bookmarkEnd w:id="41"/>
            <w:bookmarkEnd w:id="42"/>
            <w:r w:rsidRPr="0022554A">
              <w:rPr>
                <w:bCs/>
                <w:sz w:val="20"/>
              </w:rPr>
              <w:t xml:space="preserve"> variables</w:t>
            </w:r>
            <w:bookmarkEnd w:id="43"/>
            <w:bookmarkEnd w:id="44"/>
          </w:p>
        </w:tc>
        <w:tc>
          <w:tcPr>
            <w:tcW w:w="749" w:type="dxa"/>
          </w:tcPr>
          <w:p w14:paraId="53A24A8E" w14:textId="77777777" w:rsidR="00191A23" w:rsidRPr="0022554A" w:rsidRDefault="00191A23" w:rsidP="00191A23">
            <w:pPr>
              <w:tabs>
                <w:tab w:val="left" w:pos="5400"/>
              </w:tabs>
              <w:jc w:val="center"/>
              <w:rPr>
                <w:sz w:val="20"/>
              </w:rPr>
            </w:pPr>
            <w:r w:rsidRPr="0022554A">
              <w:rPr>
                <w:sz w:val="20"/>
              </w:rPr>
              <w:t>11</w:t>
            </w:r>
          </w:p>
        </w:tc>
        <w:tc>
          <w:tcPr>
            <w:tcW w:w="8328" w:type="dxa"/>
          </w:tcPr>
          <w:p w14:paraId="14131842"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3B965A51" w14:textId="77777777" w:rsidR="00191A23" w:rsidRPr="0022554A" w:rsidRDefault="00191A23" w:rsidP="00191A23">
            <w:pPr>
              <w:tabs>
                <w:tab w:val="left" w:pos="5400"/>
              </w:tabs>
              <w:rPr>
                <w:sz w:val="20"/>
              </w:rPr>
            </w:pPr>
          </w:p>
        </w:tc>
        <w:tc>
          <w:tcPr>
            <w:tcW w:w="3118" w:type="dxa"/>
          </w:tcPr>
          <w:p w14:paraId="1213B410" w14:textId="10E77D0A" w:rsidR="00191A23" w:rsidRPr="0022554A" w:rsidRDefault="00F14EE2" w:rsidP="00191A23">
            <w:pPr>
              <w:tabs>
                <w:tab w:val="left" w:pos="5400"/>
              </w:tabs>
              <w:rPr>
                <w:sz w:val="20"/>
                <w:lang w:eastAsia="zh-CN"/>
              </w:rPr>
            </w:pPr>
            <w:r>
              <w:rPr>
                <w:rFonts w:hint="eastAsia"/>
                <w:sz w:val="20"/>
                <w:lang w:eastAsia="zh-CN"/>
              </w:rPr>
              <w:t>N</w:t>
            </w:r>
            <w:r>
              <w:rPr>
                <w:sz w:val="20"/>
                <w:lang w:eastAsia="zh-CN"/>
              </w:rPr>
              <w:t>/A</w:t>
            </w:r>
          </w:p>
        </w:tc>
      </w:tr>
      <w:tr w:rsidR="00191A23" w:rsidRPr="0022554A" w14:paraId="328EC510" w14:textId="77777777" w:rsidTr="00517788">
        <w:tc>
          <w:tcPr>
            <w:tcW w:w="1521" w:type="dxa"/>
            <w:vMerge w:val="restart"/>
          </w:tcPr>
          <w:p w14:paraId="3904D645" w14:textId="77777777" w:rsidR="00191A23" w:rsidRPr="0022554A" w:rsidRDefault="00191A23" w:rsidP="00191A23">
            <w:pPr>
              <w:tabs>
                <w:tab w:val="left" w:pos="5400"/>
              </w:tabs>
              <w:rPr>
                <w:sz w:val="20"/>
              </w:rPr>
            </w:pPr>
            <w:bookmarkStart w:id="45" w:name="italic24"/>
            <w:r w:rsidRPr="0022554A">
              <w:rPr>
                <w:sz w:val="20"/>
              </w:rPr>
              <w:t>Statistical</w:t>
            </w:r>
            <w:bookmarkStart w:id="46" w:name="italic25"/>
            <w:bookmarkEnd w:id="45"/>
            <w:r w:rsidRPr="0022554A">
              <w:rPr>
                <w:sz w:val="20"/>
              </w:rPr>
              <w:t xml:space="preserve"> methods</w:t>
            </w:r>
            <w:bookmarkEnd w:id="46"/>
          </w:p>
        </w:tc>
        <w:tc>
          <w:tcPr>
            <w:tcW w:w="749" w:type="dxa"/>
            <w:vMerge w:val="restart"/>
          </w:tcPr>
          <w:p w14:paraId="099CD4E9" w14:textId="77777777" w:rsidR="00191A23" w:rsidRPr="0022554A" w:rsidRDefault="00191A23" w:rsidP="00191A23">
            <w:pPr>
              <w:tabs>
                <w:tab w:val="left" w:pos="5400"/>
              </w:tabs>
              <w:jc w:val="center"/>
              <w:rPr>
                <w:sz w:val="20"/>
              </w:rPr>
            </w:pPr>
            <w:r w:rsidRPr="0022554A">
              <w:rPr>
                <w:sz w:val="20"/>
              </w:rPr>
              <w:t>12</w:t>
            </w:r>
          </w:p>
        </w:tc>
        <w:tc>
          <w:tcPr>
            <w:tcW w:w="8328" w:type="dxa"/>
          </w:tcPr>
          <w:p w14:paraId="60A098D4"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0C13E0F9" w14:textId="3DFAC753" w:rsidR="00191A23" w:rsidRPr="0022554A" w:rsidRDefault="00062772" w:rsidP="00191A23">
            <w:pPr>
              <w:tabs>
                <w:tab w:val="left" w:pos="5400"/>
              </w:tabs>
              <w:rPr>
                <w:sz w:val="20"/>
                <w:lang w:eastAsia="zh-CN"/>
              </w:rPr>
            </w:pPr>
            <w:r>
              <w:rPr>
                <w:rFonts w:hint="eastAsia"/>
                <w:sz w:val="20"/>
                <w:lang w:eastAsia="zh-CN"/>
              </w:rPr>
              <w:t>3</w:t>
            </w:r>
          </w:p>
        </w:tc>
        <w:tc>
          <w:tcPr>
            <w:tcW w:w="3118" w:type="dxa"/>
          </w:tcPr>
          <w:p w14:paraId="2E0C4C7C" w14:textId="77777777" w:rsidR="00062772" w:rsidRPr="00062772" w:rsidRDefault="00062772" w:rsidP="00062772">
            <w:pPr>
              <w:tabs>
                <w:tab w:val="left" w:pos="5400"/>
              </w:tabs>
              <w:rPr>
                <w:sz w:val="20"/>
              </w:rPr>
            </w:pPr>
            <w:r w:rsidRPr="00062772">
              <w:rPr>
                <w:sz w:val="20"/>
              </w:rPr>
              <w:t xml:space="preserve">Data were analyzed using SPSS 25.0 software. Chi-square tests were used to compare clinical and pathological data among multiple patient groups. Kaplan-Meier analysis was employed to calculate survival rates, and differences between groups were assessed using the Log-rank test, including trend tests. Variables with </w:t>
            </w:r>
            <w:r w:rsidRPr="00062772">
              <w:rPr>
                <w:i/>
                <w:iCs/>
                <w:sz w:val="20"/>
              </w:rPr>
              <w:t>P</w:t>
            </w:r>
            <w:r w:rsidRPr="00062772">
              <w:rPr>
                <w:sz w:val="20"/>
              </w:rPr>
              <w:t xml:space="preserve"> &lt; 0.3 in univariate analysis were included in a Cox proportional hazards model for multivariate survival analysis. The receiver operating characteristic (ROC) curve analysis was employed to establish the ideal cutoff value for prognostic predictions in pT1c33N0M0 NSCLC patients, focusing on the N1 station. Statistically significant distinctions were recognized (</w:t>
            </w:r>
            <w:r w:rsidRPr="00062772">
              <w:rPr>
                <w:i/>
                <w:iCs/>
                <w:sz w:val="20"/>
              </w:rPr>
              <w:t xml:space="preserve">P </w:t>
            </w:r>
            <w:r w:rsidRPr="00062772">
              <w:rPr>
                <w:sz w:val="20"/>
              </w:rPr>
              <w:t>&lt; 0.3).</w:t>
            </w:r>
          </w:p>
          <w:p w14:paraId="71AA6FC5" w14:textId="7A61571A" w:rsidR="00191A23" w:rsidRPr="0022554A" w:rsidRDefault="00191A23" w:rsidP="00191A23">
            <w:pPr>
              <w:tabs>
                <w:tab w:val="left" w:pos="5400"/>
              </w:tabs>
              <w:rPr>
                <w:sz w:val="20"/>
              </w:rPr>
            </w:pPr>
          </w:p>
        </w:tc>
      </w:tr>
      <w:tr w:rsidR="00191A23" w:rsidRPr="0022554A" w14:paraId="53EDDADC" w14:textId="77777777" w:rsidTr="00517788">
        <w:tc>
          <w:tcPr>
            <w:tcW w:w="1521" w:type="dxa"/>
            <w:vMerge/>
          </w:tcPr>
          <w:p w14:paraId="2A2AD141" w14:textId="77777777" w:rsidR="00191A23" w:rsidRPr="0022554A" w:rsidRDefault="00191A23" w:rsidP="00191A23">
            <w:pPr>
              <w:tabs>
                <w:tab w:val="left" w:pos="5400"/>
              </w:tabs>
              <w:rPr>
                <w:bCs/>
                <w:sz w:val="20"/>
              </w:rPr>
            </w:pPr>
            <w:bookmarkStart w:id="47" w:name="bold24" w:colFirst="0" w:colLast="0"/>
            <w:bookmarkStart w:id="48" w:name="italic26" w:colFirst="0" w:colLast="0"/>
          </w:p>
        </w:tc>
        <w:tc>
          <w:tcPr>
            <w:tcW w:w="749" w:type="dxa"/>
            <w:vMerge/>
          </w:tcPr>
          <w:p w14:paraId="47AA674E" w14:textId="77777777" w:rsidR="00191A23" w:rsidRPr="0022554A" w:rsidRDefault="00191A23" w:rsidP="00191A23">
            <w:pPr>
              <w:tabs>
                <w:tab w:val="left" w:pos="5400"/>
              </w:tabs>
              <w:jc w:val="center"/>
              <w:rPr>
                <w:sz w:val="20"/>
              </w:rPr>
            </w:pPr>
          </w:p>
        </w:tc>
        <w:tc>
          <w:tcPr>
            <w:tcW w:w="8328" w:type="dxa"/>
          </w:tcPr>
          <w:p w14:paraId="6F49FA1E"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040D487D" w14:textId="77777777" w:rsidR="00191A23" w:rsidRPr="0022554A" w:rsidRDefault="00191A23" w:rsidP="00191A23">
            <w:pPr>
              <w:tabs>
                <w:tab w:val="left" w:pos="5400"/>
              </w:tabs>
              <w:rPr>
                <w:sz w:val="20"/>
              </w:rPr>
            </w:pPr>
          </w:p>
        </w:tc>
        <w:tc>
          <w:tcPr>
            <w:tcW w:w="3118" w:type="dxa"/>
          </w:tcPr>
          <w:p w14:paraId="0CA292FE" w14:textId="77777777" w:rsidR="00191A23" w:rsidRPr="0022554A" w:rsidRDefault="00191A23" w:rsidP="00191A23">
            <w:pPr>
              <w:tabs>
                <w:tab w:val="left" w:pos="5400"/>
              </w:tabs>
              <w:rPr>
                <w:sz w:val="20"/>
              </w:rPr>
            </w:pPr>
          </w:p>
        </w:tc>
      </w:tr>
      <w:tr w:rsidR="00191A23" w:rsidRPr="0022554A" w14:paraId="0B6DE512" w14:textId="77777777" w:rsidTr="00517788">
        <w:tc>
          <w:tcPr>
            <w:tcW w:w="1521" w:type="dxa"/>
            <w:vMerge/>
          </w:tcPr>
          <w:p w14:paraId="66F219CA" w14:textId="77777777" w:rsidR="00191A23" w:rsidRPr="0022554A" w:rsidRDefault="00191A23" w:rsidP="00191A23">
            <w:pPr>
              <w:tabs>
                <w:tab w:val="left" w:pos="5400"/>
              </w:tabs>
              <w:rPr>
                <w:bCs/>
                <w:sz w:val="20"/>
              </w:rPr>
            </w:pPr>
            <w:bookmarkStart w:id="49" w:name="bold25" w:colFirst="0" w:colLast="0"/>
            <w:bookmarkStart w:id="50" w:name="italic27" w:colFirst="0" w:colLast="0"/>
            <w:bookmarkEnd w:id="47"/>
            <w:bookmarkEnd w:id="48"/>
          </w:p>
        </w:tc>
        <w:tc>
          <w:tcPr>
            <w:tcW w:w="749" w:type="dxa"/>
            <w:vMerge/>
          </w:tcPr>
          <w:p w14:paraId="70D43B7D" w14:textId="77777777" w:rsidR="00191A23" w:rsidRPr="0022554A" w:rsidRDefault="00191A23" w:rsidP="00191A23">
            <w:pPr>
              <w:tabs>
                <w:tab w:val="left" w:pos="5400"/>
              </w:tabs>
              <w:jc w:val="center"/>
              <w:rPr>
                <w:sz w:val="20"/>
              </w:rPr>
            </w:pPr>
          </w:p>
        </w:tc>
        <w:tc>
          <w:tcPr>
            <w:tcW w:w="8328" w:type="dxa"/>
          </w:tcPr>
          <w:p w14:paraId="18FB13D6"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7334C218" w14:textId="77777777" w:rsidR="00191A23" w:rsidRPr="0022554A" w:rsidRDefault="00191A23" w:rsidP="00191A23">
            <w:pPr>
              <w:tabs>
                <w:tab w:val="left" w:pos="5400"/>
              </w:tabs>
              <w:rPr>
                <w:sz w:val="20"/>
              </w:rPr>
            </w:pPr>
          </w:p>
        </w:tc>
        <w:tc>
          <w:tcPr>
            <w:tcW w:w="3118" w:type="dxa"/>
          </w:tcPr>
          <w:p w14:paraId="4A070C41" w14:textId="77777777" w:rsidR="00191A23" w:rsidRPr="0022554A" w:rsidRDefault="00191A23" w:rsidP="00191A23">
            <w:pPr>
              <w:tabs>
                <w:tab w:val="left" w:pos="5400"/>
              </w:tabs>
              <w:rPr>
                <w:sz w:val="20"/>
              </w:rPr>
            </w:pPr>
          </w:p>
        </w:tc>
      </w:tr>
      <w:tr w:rsidR="00191A23" w:rsidRPr="0022554A" w14:paraId="4D426732" w14:textId="77777777" w:rsidTr="00517788">
        <w:tc>
          <w:tcPr>
            <w:tcW w:w="1521" w:type="dxa"/>
            <w:vMerge/>
          </w:tcPr>
          <w:p w14:paraId="11F993A5" w14:textId="77777777" w:rsidR="00191A23" w:rsidRPr="0022554A" w:rsidRDefault="00191A23" w:rsidP="00191A23">
            <w:pPr>
              <w:tabs>
                <w:tab w:val="left" w:pos="5400"/>
              </w:tabs>
              <w:rPr>
                <w:bCs/>
                <w:sz w:val="20"/>
              </w:rPr>
            </w:pPr>
            <w:bookmarkStart w:id="51" w:name="bold26" w:colFirst="0" w:colLast="0"/>
            <w:bookmarkStart w:id="52" w:name="italic28" w:colFirst="0" w:colLast="0"/>
            <w:bookmarkEnd w:id="49"/>
            <w:bookmarkEnd w:id="50"/>
          </w:p>
        </w:tc>
        <w:tc>
          <w:tcPr>
            <w:tcW w:w="749" w:type="dxa"/>
            <w:vMerge/>
          </w:tcPr>
          <w:p w14:paraId="2EA1EBF2" w14:textId="77777777" w:rsidR="00191A23" w:rsidRPr="0022554A" w:rsidRDefault="00191A23" w:rsidP="00191A23">
            <w:pPr>
              <w:tabs>
                <w:tab w:val="left" w:pos="5400"/>
              </w:tabs>
              <w:jc w:val="center"/>
              <w:rPr>
                <w:sz w:val="20"/>
              </w:rPr>
            </w:pPr>
          </w:p>
        </w:tc>
        <w:tc>
          <w:tcPr>
            <w:tcW w:w="8328" w:type="dxa"/>
          </w:tcPr>
          <w:p w14:paraId="14E575F0"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1EA358E"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5115595C"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3B11F0EB" w14:textId="77777777" w:rsidR="00191A23" w:rsidRPr="0022554A" w:rsidRDefault="00191A23" w:rsidP="00191A23">
            <w:pPr>
              <w:tabs>
                <w:tab w:val="left" w:pos="5400"/>
              </w:tabs>
              <w:rPr>
                <w:sz w:val="20"/>
              </w:rPr>
            </w:pPr>
          </w:p>
        </w:tc>
        <w:tc>
          <w:tcPr>
            <w:tcW w:w="3118" w:type="dxa"/>
          </w:tcPr>
          <w:p w14:paraId="3A5440B0" w14:textId="77777777" w:rsidR="00191A23" w:rsidRPr="0022554A" w:rsidRDefault="00191A23" w:rsidP="00191A23">
            <w:pPr>
              <w:tabs>
                <w:tab w:val="left" w:pos="5400"/>
              </w:tabs>
              <w:rPr>
                <w:sz w:val="20"/>
              </w:rPr>
            </w:pPr>
          </w:p>
        </w:tc>
      </w:tr>
      <w:tr w:rsidR="00191A23" w:rsidRPr="0022554A" w14:paraId="568B765F" w14:textId="77777777" w:rsidTr="00517788">
        <w:tc>
          <w:tcPr>
            <w:tcW w:w="1521" w:type="dxa"/>
            <w:vMerge/>
          </w:tcPr>
          <w:p w14:paraId="077DB90B" w14:textId="77777777" w:rsidR="00191A23" w:rsidRPr="0022554A" w:rsidRDefault="00191A23" w:rsidP="00191A23">
            <w:pPr>
              <w:tabs>
                <w:tab w:val="left" w:pos="5400"/>
              </w:tabs>
              <w:rPr>
                <w:bCs/>
                <w:sz w:val="20"/>
              </w:rPr>
            </w:pPr>
            <w:bookmarkStart w:id="53" w:name="bold27" w:colFirst="0" w:colLast="0"/>
            <w:bookmarkStart w:id="54" w:name="italic29" w:colFirst="0" w:colLast="0"/>
            <w:bookmarkEnd w:id="51"/>
            <w:bookmarkEnd w:id="52"/>
          </w:p>
        </w:tc>
        <w:tc>
          <w:tcPr>
            <w:tcW w:w="749" w:type="dxa"/>
            <w:vMerge/>
          </w:tcPr>
          <w:p w14:paraId="7D30803B" w14:textId="77777777" w:rsidR="00191A23" w:rsidRPr="0022554A" w:rsidRDefault="00191A23" w:rsidP="00191A23">
            <w:pPr>
              <w:tabs>
                <w:tab w:val="left" w:pos="5400"/>
              </w:tabs>
              <w:jc w:val="center"/>
              <w:rPr>
                <w:sz w:val="20"/>
              </w:rPr>
            </w:pPr>
          </w:p>
        </w:tc>
        <w:tc>
          <w:tcPr>
            <w:tcW w:w="8328" w:type="dxa"/>
          </w:tcPr>
          <w:p w14:paraId="48B46233"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4B2827A7" w14:textId="77777777" w:rsidR="00191A23" w:rsidRPr="0022554A" w:rsidRDefault="00191A23" w:rsidP="00191A23">
            <w:pPr>
              <w:tabs>
                <w:tab w:val="left" w:pos="5400"/>
              </w:tabs>
              <w:rPr>
                <w:sz w:val="20"/>
              </w:rPr>
            </w:pPr>
          </w:p>
        </w:tc>
        <w:tc>
          <w:tcPr>
            <w:tcW w:w="3118" w:type="dxa"/>
          </w:tcPr>
          <w:p w14:paraId="5E860570" w14:textId="77777777" w:rsidR="00191A23" w:rsidRPr="0022554A" w:rsidRDefault="00191A23" w:rsidP="00191A23">
            <w:pPr>
              <w:tabs>
                <w:tab w:val="left" w:pos="5400"/>
              </w:tabs>
              <w:rPr>
                <w:sz w:val="20"/>
              </w:rPr>
            </w:pPr>
          </w:p>
        </w:tc>
      </w:tr>
      <w:bookmarkEnd w:id="53"/>
      <w:bookmarkEnd w:id="54"/>
      <w:tr w:rsidR="00191A23" w:rsidRPr="0022554A" w14:paraId="70C9A4B6" w14:textId="77777777" w:rsidTr="00191A23">
        <w:tc>
          <w:tcPr>
            <w:tcW w:w="14992" w:type="dxa"/>
            <w:gridSpan w:val="5"/>
          </w:tcPr>
          <w:p w14:paraId="3F490ECD" w14:textId="77777777" w:rsidR="00191A23" w:rsidRPr="0022554A" w:rsidRDefault="00191A23" w:rsidP="00191A23">
            <w:pPr>
              <w:pStyle w:val="TableSubHead"/>
              <w:tabs>
                <w:tab w:val="left" w:pos="5400"/>
              </w:tabs>
              <w:rPr>
                <w:sz w:val="20"/>
              </w:rPr>
            </w:pPr>
            <w:r w:rsidRPr="0022554A">
              <w:rPr>
                <w:sz w:val="20"/>
              </w:rPr>
              <w:t>Results</w:t>
            </w:r>
          </w:p>
        </w:tc>
      </w:tr>
      <w:tr w:rsidR="00191A23" w:rsidRPr="00C269D7" w14:paraId="71A41BD0" w14:textId="77777777" w:rsidTr="00517788">
        <w:tc>
          <w:tcPr>
            <w:tcW w:w="0" w:type="auto"/>
            <w:vMerge w:val="restart"/>
          </w:tcPr>
          <w:p w14:paraId="02C0DCF2" w14:textId="77777777" w:rsidR="00191A23" w:rsidRPr="0022554A" w:rsidRDefault="00191A23" w:rsidP="00191A23">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14:paraId="3BE8E916" w14:textId="77777777" w:rsidR="00191A23" w:rsidRPr="0022554A" w:rsidRDefault="00191A23" w:rsidP="00191A23">
            <w:pPr>
              <w:tabs>
                <w:tab w:val="left" w:pos="5400"/>
              </w:tabs>
              <w:jc w:val="center"/>
              <w:rPr>
                <w:sz w:val="20"/>
              </w:rPr>
            </w:pPr>
            <w:r w:rsidRPr="0022554A">
              <w:rPr>
                <w:sz w:val="20"/>
              </w:rPr>
              <w:t>13</w:t>
            </w:r>
            <w:bookmarkStart w:id="57" w:name="bold30"/>
            <w:r w:rsidRPr="0022554A">
              <w:rPr>
                <w:bCs/>
                <w:sz w:val="20"/>
              </w:rPr>
              <w:t>*</w:t>
            </w:r>
            <w:bookmarkEnd w:id="57"/>
          </w:p>
        </w:tc>
        <w:tc>
          <w:tcPr>
            <w:tcW w:w="8328" w:type="dxa"/>
          </w:tcPr>
          <w:p w14:paraId="7142BB2C"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28137116" w14:textId="629FC7A7" w:rsidR="00191A23" w:rsidRDefault="00C269D7" w:rsidP="00191A23">
            <w:pPr>
              <w:tabs>
                <w:tab w:val="left" w:pos="5400"/>
              </w:tabs>
              <w:rPr>
                <w:sz w:val="20"/>
                <w:lang w:eastAsia="zh-CN"/>
              </w:rPr>
            </w:pPr>
            <w:r>
              <w:rPr>
                <w:rFonts w:hint="eastAsia"/>
                <w:sz w:val="20"/>
                <w:lang w:eastAsia="zh-CN"/>
              </w:rPr>
              <w:t>3</w:t>
            </w:r>
          </w:p>
        </w:tc>
        <w:tc>
          <w:tcPr>
            <w:tcW w:w="3118" w:type="dxa"/>
          </w:tcPr>
          <w:p w14:paraId="0CE61444" w14:textId="3DAE26FF" w:rsidR="00191A23" w:rsidRPr="00C269D7" w:rsidRDefault="00F14EE2" w:rsidP="00C269D7">
            <w:pPr>
              <w:tabs>
                <w:tab w:val="left" w:pos="5400"/>
              </w:tabs>
              <w:jc w:val="both"/>
              <w:rPr>
                <w:sz w:val="20"/>
              </w:rPr>
            </w:pPr>
            <w:r w:rsidRPr="00C269D7">
              <w:rPr>
                <w:sz w:val="20"/>
              </w:rPr>
              <w:t xml:space="preserve">The original investigation of our hospital's electronic medical system showed </w:t>
            </w:r>
            <w:r w:rsidR="00C269D7" w:rsidRPr="00C269D7">
              <w:rPr>
                <w:sz w:val="20"/>
              </w:rPr>
              <w:t>308</w:t>
            </w:r>
            <w:r w:rsidR="00C269D7" w:rsidRPr="00C269D7">
              <w:rPr>
                <w:sz w:val="20"/>
                <w:lang w:val="en-US"/>
              </w:rPr>
              <w:t xml:space="preserve"> individuals diagnosed with pT1c33N0M0 NSCLC who received treatment</w:t>
            </w:r>
            <w:r w:rsidR="00C269D7" w:rsidRPr="00C269D7">
              <w:rPr>
                <w:sz w:val="20"/>
              </w:rPr>
              <w:t xml:space="preserve"> </w:t>
            </w:r>
            <w:r w:rsidRPr="00C269D7">
              <w:rPr>
                <w:sz w:val="20"/>
              </w:rPr>
              <w:t>from</w:t>
            </w:r>
            <w:r w:rsidR="00C269D7" w:rsidRPr="00C269D7">
              <w:rPr>
                <w:rFonts w:eastAsia="宋体"/>
                <w:kern w:val="2"/>
                <w:szCs w:val="24"/>
                <w:lang w:val="en-US" w:eastAsia="zh-CN"/>
                <w14:ligatures w14:val="standardContextual"/>
              </w:rPr>
              <w:t xml:space="preserve"> </w:t>
            </w:r>
            <w:r w:rsidR="00C269D7" w:rsidRPr="00C269D7">
              <w:rPr>
                <w:sz w:val="20"/>
                <w:lang w:val="en-US"/>
              </w:rPr>
              <w:t>January 2020 to July 2022</w:t>
            </w:r>
            <w:r w:rsidRPr="00C269D7">
              <w:rPr>
                <w:sz w:val="20"/>
              </w:rPr>
              <w:t xml:space="preserve">. </w:t>
            </w:r>
            <w:r w:rsidR="00C269D7" w:rsidRPr="00C269D7">
              <w:rPr>
                <w:sz w:val="20"/>
              </w:rPr>
              <w:t>Fifty-three patients meeting the exclusion criteria were removed from the study</w:t>
            </w:r>
            <w:r w:rsidR="00C269D7" w:rsidRPr="00C269D7">
              <w:rPr>
                <w:sz w:val="20"/>
              </w:rPr>
              <w:t>.</w:t>
            </w:r>
          </w:p>
        </w:tc>
      </w:tr>
      <w:tr w:rsidR="00191A23" w:rsidRPr="0022554A" w14:paraId="5FAA327E" w14:textId="77777777" w:rsidTr="00517788">
        <w:tc>
          <w:tcPr>
            <w:tcW w:w="0" w:type="auto"/>
            <w:vMerge/>
          </w:tcPr>
          <w:p w14:paraId="3FCBF3B9" w14:textId="77777777" w:rsidR="00191A23" w:rsidRPr="0022554A" w:rsidRDefault="00191A23" w:rsidP="00191A23">
            <w:pPr>
              <w:tabs>
                <w:tab w:val="left" w:pos="5400"/>
              </w:tabs>
              <w:rPr>
                <w:bCs/>
                <w:sz w:val="20"/>
              </w:rPr>
            </w:pPr>
            <w:bookmarkStart w:id="58" w:name="bold31" w:colFirst="0" w:colLast="0"/>
            <w:bookmarkStart w:id="59" w:name="italic32" w:colFirst="0" w:colLast="0"/>
          </w:p>
        </w:tc>
        <w:tc>
          <w:tcPr>
            <w:tcW w:w="0" w:type="auto"/>
            <w:vMerge/>
          </w:tcPr>
          <w:p w14:paraId="0E51CF1C" w14:textId="77777777" w:rsidR="00191A23" w:rsidRPr="0022554A" w:rsidRDefault="00191A23" w:rsidP="00191A23">
            <w:pPr>
              <w:tabs>
                <w:tab w:val="left" w:pos="5400"/>
              </w:tabs>
              <w:jc w:val="center"/>
              <w:rPr>
                <w:sz w:val="20"/>
              </w:rPr>
            </w:pPr>
          </w:p>
        </w:tc>
        <w:tc>
          <w:tcPr>
            <w:tcW w:w="8328" w:type="dxa"/>
          </w:tcPr>
          <w:p w14:paraId="738322E9"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08DF3843" w14:textId="6E3C9A68" w:rsidR="00191A23" w:rsidRDefault="00C269D7" w:rsidP="00191A23">
            <w:pPr>
              <w:tabs>
                <w:tab w:val="left" w:pos="5400"/>
              </w:tabs>
              <w:rPr>
                <w:sz w:val="20"/>
                <w:lang w:eastAsia="zh-CN"/>
              </w:rPr>
            </w:pPr>
            <w:r>
              <w:rPr>
                <w:rFonts w:hint="eastAsia"/>
                <w:sz w:val="20"/>
                <w:lang w:eastAsia="zh-CN"/>
              </w:rPr>
              <w:t>3</w:t>
            </w:r>
          </w:p>
        </w:tc>
        <w:tc>
          <w:tcPr>
            <w:tcW w:w="3118" w:type="dxa"/>
          </w:tcPr>
          <w:p w14:paraId="767E204D" w14:textId="51A86D90" w:rsidR="00191A23" w:rsidRDefault="00F14EE2" w:rsidP="00191A23">
            <w:pPr>
              <w:tabs>
                <w:tab w:val="left" w:pos="5400"/>
              </w:tabs>
              <w:rPr>
                <w:sz w:val="20"/>
              </w:rPr>
            </w:pPr>
            <w:r w:rsidRPr="00F14EE2">
              <w:rPr>
                <w:sz w:val="20"/>
              </w:rPr>
              <w:t xml:space="preserve">After excluding </w:t>
            </w:r>
            <w:r w:rsidR="00C269D7">
              <w:rPr>
                <w:sz w:val="20"/>
              </w:rPr>
              <w:t>17</w:t>
            </w:r>
            <w:r w:rsidRPr="00F14EE2">
              <w:rPr>
                <w:sz w:val="20"/>
              </w:rPr>
              <w:t xml:space="preserve"> patients complicated with severe chronic physical diseases and </w:t>
            </w:r>
            <w:r w:rsidR="00C269D7">
              <w:rPr>
                <w:sz w:val="20"/>
              </w:rPr>
              <w:t>36</w:t>
            </w:r>
            <w:r w:rsidRPr="00F14EE2">
              <w:rPr>
                <w:sz w:val="20"/>
              </w:rPr>
              <w:t xml:space="preserve"> cases with incomplete data, </w:t>
            </w:r>
            <w:r w:rsidR="00C269D7">
              <w:rPr>
                <w:sz w:val="20"/>
              </w:rPr>
              <w:t>255</w:t>
            </w:r>
            <w:r w:rsidRPr="00F14EE2">
              <w:rPr>
                <w:sz w:val="20"/>
              </w:rPr>
              <w:t xml:space="preserve"> patients were eligible for this study.</w:t>
            </w:r>
          </w:p>
        </w:tc>
      </w:tr>
      <w:tr w:rsidR="00191A23" w:rsidRPr="0022554A" w14:paraId="79E28D98" w14:textId="77777777" w:rsidTr="00517788">
        <w:tc>
          <w:tcPr>
            <w:tcW w:w="0" w:type="auto"/>
            <w:vMerge/>
          </w:tcPr>
          <w:p w14:paraId="1F5FE3D1" w14:textId="77777777" w:rsidR="00191A23" w:rsidRPr="0022554A" w:rsidRDefault="00191A23" w:rsidP="00191A23">
            <w:pPr>
              <w:tabs>
                <w:tab w:val="left" w:pos="5400"/>
              </w:tabs>
              <w:rPr>
                <w:bCs/>
                <w:sz w:val="20"/>
              </w:rPr>
            </w:pPr>
            <w:bookmarkStart w:id="60" w:name="bold32" w:colFirst="0" w:colLast="0"/>
            <w:bookmarkStart w:id="61" w:name="italic33" w:colFirst="0" w:colLast="0"/>
            <w:bookmarkEnd w:id="58"/>
            <w:bookmarkEnd w:id="59"/>
          </w:p>
        </w:tc>
        <w:tc>
          <w:tcPr>
            <w:tcW w:w="0" w:type="auto"/>
            <w:vMerge/>
          </w:tcPr>
          <w:p w14:paraId="3CB38CD0" w14:textId="77777777" w:rsidR="00191A23" w:rsidRPr="0022554A" w:rsidRDefault="00191A23" w:rsidP="00191A23">
            <w:pPr>
              <w:tabs>
                <w:tab w:val="left" w:pos="5400"/>
              </w:tabs>
              <w:jc w:val="center"/>
              <w:rPr>
                <w:sz w:val="20"/>
              </w:rPr>
            </w:pPr>
          </w:p>
        </w:tc>
        <w:tc>
          <w:tcPr>
            <w:tcW w:w="8328" w:type="dxa"/>
          </w:tcPr>
          <w:p w14:paraId="4F2DD0C4" w14:textId="77777777" w:rsidR="00191A23" w:rsidRPr="0022554A" w:rsidRDefault="00191A23" w:rsidP="00191A23">
            <w:pPr>
              <w:tabs>
                <w:tab w:val="left" w:pos="5400"/>
              </w:tabs>
              <w:rPr>
                <w:sz w:val="20"/>
              </w:rPr>
            </w:pPr>
            <w:bookmarkStart w:id="62" w:name="OLE_LINK4"/>
            <w:r>
              <w:rPr>
                <w:sz w:val="20"/>
              </w:rPr>
              <w:t xml:space="preserve">(c) </w:t>
            </w:r>
            <w:r w:rsidRPr="0022554A">
              <w:rPr>
                <w:sz w:val="20"/>
              </w:rPr>
              <w:t>Consider use of a flow diagram</w:t>
            </w:r>
            <w:bookmarkEnd w:id="62"/>
          </w:p>
        </w:tc>
        <w:tc>
          <w:tcPr>
            <w:tcW w:w="1276" w:type="dxa"/>
          </w:tcPr>
          <w:p w14:paraId="2BAEDACD" w14:textId="77777777" w:rsidR="00191A23" w:rsidRDefault="00191A23" w:rsidP="00191A23">
            <w:pPr>
              <w:tabs>
                <w:tab w:val="left" w:pos="5400"/>
              </w:tabs>
              <w:rPr>
                <w:sz w:val="20"/>
              </w:rPr>
            </w:pPr>
          </w:p>
        </w:tc>
        <w:tc>
          <w:tcPr>
            <w:tcW w:w="3118" w:type="dxa"/>
          </w:tcPr>
          <w:p w14:paraId="6E0CBE04" w14:textId="77777777" w:rsidR="00191A23" w:rsidRDefault="00191A23" w:rsidP="00191A23">
            <w:pPr>
              <w:tabs>
                <w:tab w:val="left" w:pos="5400"/>
              </w:tabs>
              <w:rPr>
                <w:sz w:val="20"/>
              </w:rPr>
            </w:pPr>
          </w:p>
        </w:tc>
      </w:tr>
      <w:tr w:rsidR="00191A23" w:rsidRPr="0022554A" w14:paraId="1C694B44" w14:textId="77777777" w:rsidTr="00517788">
        <w:tc>
          <w:tcPr>
            <w:tcW w:w="0" w:type="auto"/>
            <w:vMerge w:val="restart"/>
          </w:tcPr>
          <w:p w14:paraId="035F0106" w14:textId="77777777" w:rsidR="00191A23" w:rsidRPr="0022554A" w:rsidRDefault="00191A23" w:rsidP="00191A23">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14:paraId="6EB6FFF2" w14:textId="77777777" w:rsidR="00191A23" w:rsidRPr="0022554A" w:rsidRDefault="00191A23" w:rsidP="00191A23">
            <w:pPr>
              <w:tabs>
                <w:tab w:val="left" w:pos="5400"/>
              </w:tabs>
              <w:jc w:val="center"/>
              <w:rPr>
                <w:sz w:val="20"/>
              </w:rPr>
            </w:pPr>
            <w:r w:rsidRPr="0022554A">
              <w:rPr>
                <w:sz w:val="20"/>
              </w:rPr>
              <w:t>14</w:t>
            </w:r>
            <w:bookmarkStart w:id="67" w:name="bold35"/>
            <w:r w:rsidRPr="0022554A">
              <w:rPr>
                <w:bCs/>
                <w:sz w:val="20"/>
              </w:rPr>
              <w:t>*</w:t>
            </w:r>
            <w:bookmarkEnd w:id="67"/>
          </w:p>
        </w:tc>
        <w:tc>
          <w:tcPr>
            <w:tcW w:w="8328" w:type="dxa"/>
          </w:tcPr>
          <w:p w14:paraId="7D85CCAA"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11098960" w14:textId="77777777" w:rsidR="00191A23" w:rsidRDefault="00191A23" w:rsidP="00191A23">
            <w:pPr>
              <w:tabs>
                <w:tab w:val="left" w:pos="5400"/>
              </w:tabs>
              <w:rPr>
                <w:sz w:val="20"/>
              </w:rPr>
            </w:pPr>
          </w:p>
        </w:tc>
        <w:tc>
          <w:tcPr>
            <w:tcW w:w="3118" w:type="dxa"/>
          </w:tcPr>
          <w:p w14:paraId="35E7E5D7" w14:textId="77777777" w:rsidR="00191A23" w:rsidRDefault="00191A23" w:rsidP="00191A23">
            <w:pPr>
              <w:tabs>
                <w:tab w:val="left" w:pos="5400"/>
              </w:tabs>
              <w:rPr>
                <w:sz w:val="20"/>
              </w:rPr>
            </w:pPr>
          </w:p>
        </w:tc>
      </w:tr>
      <w:tr w:rsidR="00191A23" w:rsidRPr="0022554A" w14:paraId="76388305" w14:textId="77777777" w:rsidTr="00517788">
        <w:tc>
          <w:tcPr>
            <w:tcW w:w="0" w:type="auto"/>
            <w:vMerge/>
          </w:tcPr>
          <w:p w14:paraId="0E79213C" w14:textId="77777777" w:rsidR="00191A23" w:rsidRPr="0022554A" w:rsidRDefault="00191A23" w:rsidP="00191A23">
            <w:pPr>
              <w:tabs>
                <w:tab w:val="left" w:pos="5400"/>
              </w:tabs>
              <w:rPr>
                <w:bCs/>
                <w:sz w:val="20"/>
              </w:rPr>
            </w:pPr>
            <w:bookmarkStart w:id="68" w:name="bold36" w:colFirst="0" w:colLast="0"/>
            <w:bookmarkStart w:id="69" w:name="italic36" w:colFirst="0" w:colLast="0"/>
          </w:p>
        </w:tc>
        <w:tc>
          <w:tcPr>
            <w:tcW w:w="0" w:type="auto"/>
            <w:vMerge/>
          </w:tcPr>
          <w:p w14:paraId="57FCB0BE" w14:textId="77777777" w:rsidR="00191A23" w:rsidRPr="0022554A" w:rsidRDefault="00191A23" w:rsidP="00191A23">
            <w:pPr>
              <w:tabs>
                <w:tab w:val="left" w:pos="5400"/>
              </w:tabs>
              <w:jc w:val="center"/>
              <w:rPr>
                <w:sz w:val="20"/>
              </w:rPr>
            </w:pPr>
          </w:p>
        </w:tc>
        <w:tc>
          <w:tcPr>
            <w:tcW w:w="8328" w:type="dxa"/>
          </w:tcPr>
          <w:p w14:paraId="141560D6"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1330B63B" w14:textId="77777777" w:rsidR="00191A23" w:rsidRDefault="00191A23" w:rsidP="00191A23">
            <w:pPr>
              <w:tabs>
                <w:tab w:val="left" w:pos="5400"/>
              </w:tabs>
              <w:rPr>
                <w:sz w:val="20"/>
              </w:rPr>
            </w:pPr>
          </w:p>
        </w:tc>
        <w:tc>
          <w:tcPr>
            <w:tcW w:w="3118" w:type="dxa"/>
          </w:tcPr>
          <w:p w14:paraId="4ECBA9A8" w14:textId="77777777" w:rsidR="00191A23" w:rsidRDefault="00191A23" w:rsidP="00191A23">
            <w:pPr>
              <w:tabs>
                <w:tab w:val="left" w:pos="5400"/>
              </w:tabs>
              <w:rPr>
                <w:sz w:val="20"/>
              </w:rPr>
            </w:pPr>
          </w:p>
        </w:tc>
      </w:tr>
      <w:tr w:rsidR="00191A23" w:rsidRPr="0022554A" w14:paraId="67CED852" w14:textId="77777777" w:rsidTr="00517788">
        <w:tc>
          <w:tcPr>
            <w:tcW w:w="0" w:type="auto"/>
            <w:vMerge/>
          </w:tcPr>
          <w:p w14:paraId="710753B8" w14:textId="77777777" w:rsidR="00191A23" w:rsidRPr="0022554A" w:rsidRDefault="00191A23" w:rsidP="00191A23">
            <w:pPr>
              <w:tabs>
                <w:tab w:val="left" w:pos="5400"/>
              </w:tabs>
              <w:rPr>
                <w:bCs/>
                <w:sz w:val="20"/>
              </w:rPr>
            </w:pPr>
            <w:bookmarkStart w:id="70" w:name="bold37" w:colFirst="0" w:colLast="0"/>
            <w:bookmarkStart w:id="71" w:name="italic37" w:colFirst="0" w:colLast="0"/>
            <w:bookmarkEnd w:id="68"/>
            <w:bookmarkEnd w:id="69"/>
          </w:p>
        </w:tc>
        <w:tc>
          <w:tcPr>
            <w:tcW w:w="0" w:type="auto"/>
            <w:vMerge/>
          </w:tcPr>
          <w:p w14:paraId="4123B241" w14:textId="77777777" w:rsidR="00191A23" w:rsidRPr="0022554A" w:rsidRDefault="00191A23" w:rsidP="00191A23">
            <w:pPr>
              <w:tabs>
                <w:tab w:val="left" w:pos="5400"/>
              </w:tabs>
              <w:jc w:val="center"/>
              <w:rPr>
                <w:sz w:val="20"/>
              </w:rPr>
            </w:pPr>
          </w:p>
        </w:tc>
        <w:tc>
          <w:tcPr>
            <w:tcW w:w="8328" w:type="dxa"/>
          </w:tcPr>
          <w:p w14:paraId="117A3D8F"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1998578A" w14:textId="77777777" w:rsidR="00191A23" w:rsidRDefault="00191A23" w:rsidP="00191A23">
            <w:pPr>
              <w:tabs>
                <w:tab w:val="left" w:pos="5400"/>
              </w:tabs>
              <w:rPr>
                <w:sz w:val="20"/>
              </w:rPr>
            </w:pPr>
          </w:p>
        </w:tc>
        <w:tc>
          <w:tcPr>
            <w:tcW w:w="3118" w:type="dxa"/>
          </w:tcPr>
          <w:p w14:paraId="046312A4" w14:textId="77777777" w:rsidR="00191A23" w:rsidRDefault="00191A23" w:rsidP="00191A23">
            <w:pPr>
              <w:tabs>
                <w:tab w:val="left" w:pos="5400"/>
              </w:tabs>
              <w:rPr>
                <w:sz w:val="20"/>
              </w:rPr>
            </w:pPr>
          </w:p>
        </w:tc>
      </w:tr>
      <w:tr w:rsidR="00191A23" w:rsidRPr="0022554A" w14:paraId="4003A198" w14:textId="77777777" w:rsidTr="00517788">
        <w:trPr>
          <w:trHeight w:val="295"/>
        </w:trPr>
        <w:tc>
          <w:tcPr>
            <w:tcW w:w="0" w:type="auto"/>
            <w:vMerge w:val="restart"/>
          </w:tcPr>
          <w:p w14:paraId="054DAB38" w14:textId="77777777" w:rsidR="00191A23" w:rsidRPr="0022554A" w:rsidRDefault="00191A23" w:rsidP="00191A23">
            <w:pPr>
              <w:tabs>
                <w:tab w:val="left" w:pos="5400"/>
              </w:tabs>
              <w:rPr>
                <w:bCs/>
                <w:sz w:val="20"/>
              </w:rPr>
            </w:pPr>
            <w:bookmarkStart w:id="72" w:name="bold38" w:colFirst="0" w:colLast="0"/>
            <w:bookmarkStart w:id="73" w:name="italic38" w:colFirst="0" w:colLast="0"/>
            <w:bookmarkEnd w:id="70"/>
            <w:bookmarkEnd w:id="71"/>
            <w:r w:rsidRPr="0022554A">
              <w:rPr>
                <w:bCs/>
                <w:sz w:val="20"/>
              </w:rPr>
              <w:t>Outcome data</w:t>
            </w:r>
          </w:p>
        </w:tc>
        <w:tc>
          <w:tcPr>
            <w:tcW w:w="0" w:type="auto"/>
            <w:vMerge w:val="restart"/>
          </w:tcPr>
          <w:p w14:paraId="0FAE2643" w14:textId="77777777" w:rsidR="00191A23" w:rsidRPr="0022554A" w:rsidRDefault="00191A23" w:rsidP="00191A23">
            <w:pPr>
              <w:tabs>
                <w:tab w:val="left" w:pos="5400"/>
              </w:tabs>
              <w:jc w:val="center"/>
              <w:rPr>
                <w:sz w:val="20"/>
              </w:rPr>
            </w:pPr>
            <w:r w:rsidRPr="0022554A">
              <w:rPr>
                <w:sz w:val="20"/>
              </w:rPr>
              <w:t>15</w:t>
            </w:r>
            <w:bookmarkStart w:id="74" w:name="bold39"/>
            <w:r w:rsidRPr="0022554A">
              <w:rPr>
                <w:bCs/>
                <w:sz w:val="20"/>
              </w:rPr>
              <w:t>*</w:t>
            </w:r>
            <w:bookmarkEnd w:id="74"/>
          </w:p>
        </w:tc>
        <w:tc>
          <w:tcPr>
            <w:tcW w:w="8328" w:type="dxa"/>
          </w:tcPr>
          <w:p w14:paraId="26FEA48B"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11FB37EC" w14:textId="77777777" w:rsidR="00191A23" w:rsidRPr="0022554A" w:rsidRDefault="00191A23" w:rsidP="00191A23">
            <w:pPr>
              <w:tabs>
                <w:tab w:val="left" w:pos="5400"/>
              </w:tabs>
              <w:rPr>
                <w:i/>
                <w:sz w:val="20"/>
              </w:rPr>
            </w:pPr>
          </w:p>
        </w:tc>
        <w:tc>
          <w:tcPr>
            <w:tcW w:w="3118" w:type="dxa"/>
          </w:tcPr>
          <w:p w14:paraId="6D9D20E3" w14:textId="77777777" w:rsidR="00191A23" w:rsidRPr="0022554A" w:rsidRDefault="00191A23" w:rsidP="00191A23">
            <w:pPr>
              <w:tabs>
                <w:tab w:val="left" w:pos="5400"/>
              </w:tabs>
              <w:rPr>
                <w:i/>
                <w:sz w:val="20"/>
              </w:rPr>
            </w:pPr>
          </w:p>
        </w:tc>
      </w:tr>
      <w:tr w:rsidR="00191A23" w:rsidRPr="0022554A" w14:paraId="0D49D7E4" w14:textId="77777777" w:rsidTr="00517788">
        <w:trPr>
          <w:trHeight w:val="294"/>
        </w:trPr>
        <w:tc>
          <w:tcPr>
            <w:tcW w:w="0" w:type="auto"/>
            <w:vMerge/>
          </w:tcPr>
          <w:p w14:paraId="665B2B3E" w14:textId="77777777" w:rsidR="00191A23" w:rsidRPr="0022554A" w:rsidRDefault="00191A23" w:rsidP="00191A23">
            <w:pPr>
              <w:tabs>
                <w:tab w:val="left" w:pos="5400"/>
              </w:tabs>
              <w:rPr>
                <w:bCs/>
                <w:sz w:val="20"/>
              </w:rPr>
            </w:pPr>
          </w:p>
        </w:tc>
        <w:tc>
          <w:tcPr>
            <w:tcW w:w="0" w:type="auto"/>
            <w:vMerge/>
          </w:tcPr>
          <w:p w14:paraId="5296E05C" w14:textId="77777777" w:rsidR="00191A23" w:rsidRPr="0022554A" w:rsidRDefault="00191A23" w:rsidP="00191A23">
            <w:pPr>
              <w:tabs>
                <w:tab w:val="left" w:pos="5400"/>
              </w:tabs>
              <w:jc w:val="center"/>
              <w:rPr>
                <w:sz w:val="20"/>
              </w:rPr>
            </w:pPr>
          </w:p>
        </w:tc>
        <w:tc>
          <w:tcPr>
            <w:tcW w:w="8328" w:type="dxa"/>
          </w:tcPr>
          <w:p w14:paraId="012A0669"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4444AD94" w14:textId="77777777" w:rsidR="00191A23" w:rsidRPr="0022554A" w:rsidRDefault="00191A23" w:rsidP="00191A23">
            <w:pPr>
              <w:tabs>
                <w:tab w:val="left" w:pos="5400"/>
              </w:tabs>
              <w:rPr>
                <w:i/>
                <w:sz w:val="20"/>
              </w:rPr>
            </w:pPr>
          </w:p>
        </w:tc>
        <w:tc>
          <w:tcPr>
            <w:tcW w:w="3118" w:type="dxa"/>
          </w:tcPr>
          <w:p w14:paraId="19C3F2E4" w14:textId="77777777" w:rsidR="00191A23" w:rsidRPr="0022554A" w:rsidRDefault="00191A23" w:rsidP="00191A23">
            <w:pPr>
              <w:tabs>
                <w:tab w:val="left" w:pos="5400"/>
              </w:tabs>
              <w:rPr>
                <w:i/>
                <w:sz w:val="20"/>
              </w:rPr>
            </w:pPr>
          </w:p>
        </w:tc>
      </w:tr>
      <w:tr w:rsidR="00191A23" w:rsidRPr="0022554A" w14:paraId="242917FE" w14:textId="77777777" w:rsidTr="00517788">
        <w:trPr>
          <w:trHeight w:val="294"/>
        </w:trPr>
        <w:tc>
          <w:tcPr>
            <w:tcW w:w="0" w:type="auto"/>
            <w:vMerge/>
          </w:tcPr>
          <w:p w14:paraId="64EC0F1B" w14:textId="77777777" w:rsidR="00191A23" w:rsidRPr="0022554A" w:rsidRDefault="00191A23" w:rsidP="00191A23">
            <w:pPr>
              <w:tabs>
                <w:tab w:val="left" w:pos="5400"/>
              </w:tabs>
              <w:rPr>
                <w:bCs/>
                <w:sz w:val="20"/>
              </w:rPr>
            </w:pPr>
          </w:p>
        </w:tc>
        <w:tc>
          <w:tcPr>
            <w:tcW w:w="0" w:type="auto"/>
            <w:vMerge/>
          </w:tcPr>
          <w:p w14:paraId="4F0C7160" w14:textId="77777777" w:rsidR="00191A23" w:rsidRPr="0022554A" w:rsidRDefault="00191A23" w:rsidP="00191A23">
            <w:pPr>
              <w:tabs>
                <w:tab w:val="left" w:pos="5400"/>
              </w:tabs>
              <w:jc w:val="center"/>
              <w:rPr>
                <w:sz w:val="20"/>
              </w:rPr>
            </w:pPr>
          </w:p>
        </w:tc>
        <w:tc>
          <w:tcPr>
            <w:tcW w:w="8328" w:type="dxa"/>
          </w:tcPr>
          <w:p w14:paraId="2B663F4D"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0C973522" w14:textId="77777777" w:rsidR="00191A23" w:rsidRDefault="00191A23" w:rsidP="00191A23">
            <w:pPr>
              <w:tabs>
                <w:tab w:val="left" w:pos="5400"/>
              </w:tabs>
              <w:rPr>
                <w:i/>
                <w:sz w:val="20"/>
              </w:rPr>
            </w:pPr>
          </w:p>
        </w:tc>
        <w:tc>
          <w:tcPr>
            <w:tcW w:w="3118" w:type="dxa"/>
          </w:tcPr>
          <w:p w14:paraId="1FDE09C2" w14:textId="77777777" w:rsidR="00191A23" w:rsidRDefault="00191A23" w:rsidP="00191A23">
            <w:pPr>
              <w:tabs>
                <w:tab w:val="left" w:pos="5400"/>
              </w:tabs>
              <w:rPr>
                <w:i/>
                <w:sz w:val="20"/>
              </w:rPr>
            </w:pPr>
          </w:p>
        </w:tc>
      </w:tr>
      <w:tr w:rsidR="00191A23" w:rsidRPr="0022554A" w14:paraId="3226C8BB" w14:textId="77777777" w:rsidTr="00517788">
        <w:tc>
          <w:tcPr>
            <w:tcW w:w="0" w:type="auto"/>
            <w:vMerge w:val="restart"/>
          </w:tcPr>
          <w:p w14:paraId="578A2DCF" w14:textId="77777777" w:rsidR="00191A23" w:rsidRPr="0022554A" w:rsidRDefault="00191A23" w:rsidP="00191A23">
            <w:pPr>
              <w:tabs>
                <w:tab w:val="left" w:pos="5400"/>
              </w:tabs>
              <w:rPr>
                <w:bCs/>
                <w:sz w:val="20"/>
              </w:rPr>
            </w:pPr>
            <w:bookmarkStart w:id="75" w:name="italic40" w:colFirst="0" w:colLast="0"/>
            <w:bookmarkStart w:id="76" w:name="bold41" w:colFirst="0" w:colLast="0"/>
            <w:bookmarkEnd w:id="72"/>
            <w:bookmarkEnd w:id="73"/>
            <w:r w:rsidRPr="0022554A">
              <w:rPr>
                <w:bCs/>
                <w:sz w:val="20"/>
              </w:rPr>
              <w:t>Main results</w:t>
            </w:r>
          </w:p>
        </w:tc>
        <w:tc>
          <w:tcPr>
            <w:tcW w:w="0" w:type="auto"/>
            <w:vMerge w:val="restart"/>
          </w:tcPr>
          <w:p w14:paraId="6B0C436D" w14:textId="77777777" w:rsidR="00191A23" w:rsidRPr="0022554A" w:rsidRDefault="00191A23" w:rsidP="00191A23">
            <w:pPr>
              <w:tabs>
                <w:tab w:val="left" w:pos="5400"/>
              </w:tabs>
              <w:jc w:val="center"/>
              <w:rPr>
                <w:sz w:val="20"/>
              </w:rPr>
            </w:pPr>
            <w:r w:rsidRPr="0022554A">
              <w:rPr>
                <w:sz w:val="20"/>
              </w:rPr>
              <w:t>16</w:t>
            </w:r>
          </w:p>
        </w:tc>
        <w:tc>
          <w:tcPr>
            <w:tcW w:w="8328" w:type="dxa"/>
          </w:tcPr>
          <w:p w14:paraId="508395A5"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14:paraId="6310CE41" w14:textId="1216F006" w:rsidR="00191A23" w:rsidRPr="0022554A" w:rsidRDefault="00B44C1E" w:rsidP="00191A23">
            <w:pPr>
              <w:tabs>
                <w:tab w:val="left" w:pos="5400"/>
              </w:tabs>
              <w:rPr>
                <w:sz w:val="20"/>
                <w:lang w:eastAsia="zh-CN"/>
              </w:rPr>
            </w:pPr>
            <w:r>
              <w:rPr>
                <w:rFonts w:hint="eastAsia"/>
                <w:sz w:val="20"/>
                <w:lang w:eastAsia="zh-CN"/>
              </w:rPr>
              <w:t>3</w:t>
            </w:r>
          </w:p>
        </w:tc>
        <w:tc>
          <w:tcPr>
            <w:tcW w:w="3118" w:type="dxa"/>
          </w:tcPr>
          <w:p w14:paraId="16C5825C" w14:textId="73571481" w:rsidR="00191A23" w:rsidRPr="0022554A" w:rsidRDefault="00B44C1E" w:rsidP="00B44C1E">
            <w:pPr>
              <w:tabs>
                <w:tab w:val="left" w:pos="5400"/>
              </w:tabs>
              <w:jc w:val="both"/>
              <w:rPr>
                <w:sz w:val="20"/>
              </w:rPr>
            </w:pPr>
            <w:r w:rsidRPr="00B44C1E">
              <w:rPr>
                <w:sz w:val="20"/>
              </w:rPr>
              <w:t>The outcomes of the univariate analysis revealed significant associations between the 5-year survival rate of pT1c33N0M0 NSCLC patients and variables such as tumour maximum diameter, T stage, and lymph nodes (</w:t>
            </w:r>
            <w:r w:rsidRPr="00B44C1E">
              <w:rPr>
                <w:i/>
                <w:iCs/>
                <w:sz w:val="20"/>
              </w:rPr>
              <w:t>P</w:t>
            </w:r>
            <w:r w:rsidRPr="00B44C1E">
              <w:rPr>
                <w:sz w:val="20"/>
              </w:rPr>
              <w:t xml:space="preserve"> &lt; 0.05). </w:t>
            </w:r>
            <w:r w:rsidRPr="00B44C1E">
              <w:rPr>
                <w:sz w:val="20"/>
              </w:rPr>
              <w:lastRenderedPageBreak/>
              <w:t>Those variables with P-values less than 0.3 in the univariate analysis were subsequently included in a Cox regression model for multivariate analysis.</w:t>
            </w:r>
          </w:p>
        </w:tc>
      </w:tr>
      <w:tr w:rsidR="00191A23" w:rsidRPr="0022554A" w14:paraId="40FE6978" w14:textId="77777777" w:rsidTr="00517788">
        <w:tc>
          <w:tcPr>
            <w:tcW w:w="0" w:type="auto"/>
            <w:vMerge/>
          </w:tcPr>
          <w:p w14:paraId="14EF8873" w14:textId="77777777" w:rsidR="00191A23" w:rsidRPr="0022554A" w:rsidRDefault="00191A23" w:rsidP="00191A23">
            <w:pPr>
              <w:tabs>
                <w:tab w:val="left" w:pos="5400"/>
              </w:tabs>
              <w:rPr>
                <w:bCs/>
                <w:sz w:val="20"/>
              </w:rPr>
            </w:pPr>
            <w:bookmarkStart w:id="77" w:name="italic41" w:colFirst="0" w:colLast="0"/>
            <w:bookmarkStart w:id="78" w:name="bold42" w:colFirst="0" w:colLast="0"/>
            <w:bookmarkEnd w:id="75"/>
            <w:bookmarkEnd w:id="76"/>
          </w:p>
        </w:tc>
        <w:tc>
          <w:tcPr>
            <w:tcW w:w="0" w:type="auto"/>
            <w:vMerge/>
          </w:tcPr>
          <w:p w14:paraId="44526770" w14:textId="77777777" w:rsidR="00191A23" w:rsidRPr="0022554A" w:rsidRDefault="00191A23" w:rsidP="00191A23">
            <w:pPr>
              <w:tabs>
                <w:tab w:val="left" w:pos="5400"/>
              </w:tabs>
              <w:jc w:val="center"/>
              <w:rPr>
                <w:sz w:val="20"/>
              </w:rPr>
            </w:pPr>
          </w:p>
        </w:tc>
        <w:tc>
          <w:tcPr>
            <w:tcW w:w="8328" w:type="dxa"/>
          </w:tcPr>
          <w:p w14:paraId="28570E5A"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2ECE644B" w14:textId="77777777" w:rsidR="00191A23" w:rsidRPr="0022554A" w:rsidRDefault="00191A23" w:rsidP="00191A23">
            <w:pPr>
              <w:tabs>
                <w:tab w:val="left" w:pos="5400"/>
              </w:tabs>
              <w:rPr>
                <w:sz w:val="20"/>
              </w:rPr>
            </w:pPr>
          </w:p>
        </w:tc>
        <w:tc>
          <w:tcPr>
            <w:tcW w:w="3118" w:type="dxa"/>
          </w:tcPr>
          <w:p w14:paraId="3EEA63AB" w14:textId="77777777" w:rsidR="00191A23" w:rsidRPr="0022554A" w:rsidRDefault="00191A23" w:rsidP="00191A23">
            <w:pPr>
              <w:tabs>
                <w:tab w:val="left" w:pos="5400"/>
              </w:tabs>
              <w:rPr>
                <w:sz w:val="20"/>
              </w:rPr>
            </w:pPr>
          </w:p>
        </w:tc>
      </w:tr>
      <w:tr w:rsidR="00191A23" w:rsidRPr="0022554A" w14:paraId="67733106" w14:textId="77777777" w:rsidTr="00517788">
        <w:tc>
          <w:tcPr>
            <w:tcW w:w="0" w:type="auto"/>
            <w:vMerge/>
          </w:tcPr>
          <w:p w14:paraId="7B20EBF8" w14:textId="77777777" w:rsidR="00191A23" w:rsidRPr="0022554A" w:rsidRDefault="00191A23" w:rsidP="00191A23">
            <w:pPr>
              <w:tabs>
                <w:tab w:val="left" w:pos="5400"/>
              </w:tabs>
              <w:rPr>
                <w:bCs/>
                <w:sz w:val="20"/>
              </w:rPr>
            </w:pPr>
            <w:bookmarkStart w:id="79" w:name="italic42" w:colFirst="0" w:colLast="0"/>
            <w:bookmarkStart w:id="80" w:name="bold43" w:colFirst="0" w:colLast="0"/>
            <w:bookmarkEnd w:id="77"/>
            <w:bookmarkEnd w:id="78"/>
          </w:p>
        </w:tc>
        <w:tc>
          <w:tcPr>
            <w:tcW w:w="0" w:type="auto"/>
            <w:vMerge/>
          </w:tcPr>
          <w:p w14:paraId="39097EF5" w14:textId="77777777" w:rsidR="00191A23" w:rsidRPr="0022554A" w:rsidRDefault="00191A23" w:rsidP="00191A23">
            <w:pPr>
              <w:tabs>
                <w:tab w:val="left" w:pos="5400"/>
              </w:tabs>
              <w:jc w:val="center"/>
              <w:rPr>
                <w:sz w:val="20"/>
              </w:rPr>
            </w:pPr>
          </w:p>
        </w:tc>
        <w:tc>
          <w:tcPr>
            <w:tcW w:w="8328" w:type="dxa"/>
          </w:tcPr>
          <w:p w14:paraId="3C584C34"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22704082" w14:textId="77777777" w:rsidR="00191A23" w:rsidRPr="0022554A" w:rsidRDefault="00191A23" w:rsidP="00191A23">
            <w:pPr>
              <w:tabs>
                <w:tab w:val="left" w:pos="5400"/>
              </w:tabs>
              <w:rPr>
                <w:sz w:val="20"/>
              </w:rPr>
            </w:pPr>
          </w:p>
        </w:tc>
        <w:tc>
          <w:tcPr>
            <w:tcW w:w="3118" w:type="dxa"/>
          </w:tcPr>
          <w:p w14:paraId="476777FE" w14:textId="77777777" w:rsidR="00191A23" w:rsidRPr="0022554A" w:rsidRDefault="00191A23" w:rsidP="00191A23">
            <w:pPr>
              <w:tabs>
                <w:tab w:val="left" w:pos="5400"/>
              </w:tabs>
              <w:rPr>
                <w:sz w:val="20"/>
              </w:rPr>
            </w:pPr>
          </w:p>
        </w:tc>
      </w:tr>
    </w:tbl>
    <w:p w14:paraId="492CA6A5" w14:textId="77777777" w:rsidR="00191A23" w:rsidRDefault="00191A23">
      <w:bookmarkStart w:id="81" w:name="italic43"/>
      <w:bookmarkStart w:id="82" w:name="bold44"/>
      <w:bookmarkEnd w:id="79"/>
      <w:bookmarkEnd w:id="80"/>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3115726E" w14:textId="77777777" w:rsidTr="00517788">
        <w:tc>
          <w:tcPr>
            <w:tcW w:w="0" w:type="auto"/>
          </w:tcPr>
          <w:p w14:paraId="5101DE42" w14:textId="77777777" w:rsidR="00191A23" w:rsidRPr="0022554A" w:rsidRDefault="00191A23" w:rsidP="00191A23">
            <w:pPr>
              <w:tabs>
                <w:tab w:val="left" w:pos="5400"/>
              </w:tabs>
              <w:rPr>
                <w:bCs/>
                <w:sz w:val="20"/>
              </w:rPr>
            </w:pPr>
            <w:r w:rsidRPr="0022554A">
              <w:rPr>
                <w:bCs/>
                <w:sz w:val="20"/>
              </w:rPr>
              <w:lastRenderedPageBreak/>
              <w:t>Other analyses</w:t>
            </w:r>
            <w:bookmarkEnd w:id="81"/>
            <w:bookmarkEnd w:id="82"/>
          </w:p>
        </w:tc>
        <w:tc>
          <w:tcPr>
            <w:tcW w:w="0" w:type="auto"/>
          </w:tcPr>
          <w:p w14:paraId="4FB86D68" w14:textId="77777777" w:rsidR="00191A23" w:rsidRPr="0022554A" w:rsidRDefault="00191A23" w:rsidP="00191A23">
            <w:pPr>
              <w:tabs>
                <w:tab w:val="left" w:pos="5400"/>
              </w:tabs>
              <w:jc w:val="center"/>
              <w:rPr>
                <w:sz w:val="20"/>
              </w:rPr>
            </w:pPr>
            <w:r w:rsidRPr="0022554A">
              <w:rPr>
                <w:sz w:val="20"/>
              </w:rPr>
              <w:t>17</w:t>
            </w:r>
          </w:p>
        </w:tc>
        <w:tc>
          <w:tcPr>
            <w:tcW w:w="8687" w:type="dxa"/>
          </w:tcPr>
          <w:p w14:paraId="714A0A0B"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40702AFA" w14:textId="77777777" w:rsidR="00191A23" w:rsidRPr="0022554A" w:rsidRDefault="00191A23" w:rsidP="00191A23">
            <w:pPr>
              <w:tabs>
                <w:tab w:val="left" w:pos="5400"/>
              </w:tabs>
              <w:rPr>
                <w:sz w:val="20"/>
              </w:rPr>
            </w:pPr>
          </w:p>
        </w:tc>
        <w:tc>
          <w:tcPr>
            <w:tcW w:w="3129" w:type="dxa"/>
          </w:tcPr>
          <w:p w14:paraId="2A2D90B6" w14:textId="734DBAC6" w:rsidR="00191A23" w:rsidRPr="0022554A" w:rsidRDefault="00BA4818" w:rsidP="00191A23">
            <w:pPr>
              <w:tabs>
                <w:tab w:val="left" w:pos="5400"/>
              </w:tabs>
              <w:rPr>
                <w:sz w:val="20"/>
                <w:lang w:eastAsia="zh-CN"/>
              </w:rPr>
            </w:pPr>
            <w:r>
              <w:rPr>
                <w:rFonts w:hint="eastAsia"/>
                <w:sz w:val="20"/>
                <w:lang w:eastAsia="zh-CN"/>
              </w:rPr>
              <w:t>N</w:t>
            </w:r>
            <w:r>
              <w:rPr>
                <w:sz w:val="20"/>
                <w:lang w:eastAsia="zh-CN"/>
              </w:rPr>
              <w:t>/A</w:t>
            </w:r>
          </w:p>
        </w:tc>
      </w:tr>
      <w:tr w:rsidR="00976EE1" w:rsidRPr="0022554A" w14:paraId="3B2FFBA1" w14:textId="77777777" w:rsidTr="00191A23">
        <w:tc>
          <w:tcPr>
            <w:tcW w:w="14992" w:type="dxa"/>
            <w:gridSpan w:val="5"/>
          </w:tcPr>
          <w:p w14:paraId="1ED3B769" w14:textId="77777777" w:rsidR="00976EE1" w:rsidRPr="0022554A" w:rsidRDefault="00976EE1" w:rsidP="00191A23">
            <w:pPr>
              <w:pStyle w:val="TableSubHead"/>
              <w:tabs>
                <w:tab w:val="left" w:pos="5400"/>
              </w:tabs>
              <w:rPr>
                <w:sz w:val="20"/>
              </w:rPr>
            </w:pPr>
            <w:bookmarkStart w:id="83" w:name="italic44"/>
            <w:bookmarkStart w:id="84" w:name="bold45"/>
            <w:r w:rsidRPr="0022554A">
              <w:rPr>
                <w:sz w:val="20"/>
              </w:rPr>
              <w:t>Discussion</w:t>
            </w:r>
            <w:bookmarkEnd w:id="83"/>
            <w:bookmarkEnd w:id="84"/>
          </w:p>
        </w:tc>
      </w:tr>
      <w:tr w:rsidR="00191A23" w:rsidRPr="0022554A" w14:paraId="1E2384D6" w14:textId="77777777" w:rsidTr="00517788">
        <w:tc>
          <w:tcPr>
            <w:tcW w:w="0" w:type="auto"/>
          </w:tcPr>
          <w:p w14:paraId="3AD52A14" w14:textId="77777777" w:rsidR="00191A23" w:rsidRPr="0022554A" w:rsidRDefault="00191A23" w:rsidP="00191A23">
            <w:pPr>
              <w:tabs>
                <w:tab w:val="left" w:pos="5400"/>
              </w:tabs>
              <w:rPr>
                <w:bCs/>
                <w:sz w:val="20"/>
              </w:rPr>
            </w:pPr>
            <w:bookmarkStart w:id="85" w:name="italic45" w:colFirst="0" w:colLast="0"/>
            <w:bookmarkStart w:id="86" w:name="bold46" w:colFirst="0" w:colLast="0"/>
            <w:r w:rsidRPr="0022554A">
              <w:rPr>
                <w:bCs/>
                <w:sz w:val="20"/>
              </w:rPr>
              <w:t>Key results</w:t>
            </w:r>
          </w:p>
        </w:tc>
        <w:tc>
          <w:tcPr>
            <w:tcW w:w="0" w:type="auto"/>
          </w:tcPr>
          <w:p w14:paraId="1EBC0BE6" w14:textId="77777777" w:rsidR="00191A23" w:rsidRPr="0022554A" w:rsidRDefault="00191A23" w:rsidP="00191A23">
            <w:pPr>
              <w:tabs>
                <w:tab w:val="left" w:pos="5400"/>
              </w:tabs>
              <w:jc w:val="center"/>
              <w:rPr>
                <w:sz w:val="20"/>
              </w:rPr>
            </w:pPr>
            <w:r w:rsidRPr="0022554A">
              <w:rPr>
                <w:sz w:val="20"/>
              </w:rPr>
              <w:t>18</w:t>
            </w:r>
          </w:p>
        </w:tc>
        <w:tc>
          <w:tcPr>
            <w:tcW w:w="8687" w:type="dxa"/>
          </w:tcPr>
          <w:p w14:paraId="2F2126BC"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25D7CC45" w14:textId="68690C02" w:rsidR="00191A23" w:rsidRPr="0022554A" w:rsidRDefault="00B4232E" w:rsidP="00191A23">
            <w:pPr>
              <w:tabs>
                <w:tab w:val="left" w:pos="5400"/>
              </w:tabs>
              <w:rPr>
                <w:sz w:val="20"/>
                <w:lang w:eastAsia="zh-CN"/>
              </w:rPr>
            </w:pPr>
            <w:r>
              <w:rPr>
                <w:rFonts w:hint="eastAsia"/>
                <w:sz w:val="20"/>
                <w:lang w:eastAsia="zh-CN"/>
              </w:rPr>
              <w:t>3</w:t>
            </w:r>
            <w:r>
              <w:rPr>
                <w:sz w:val="20"/>
                <w:lang w:eastAsia="zh-CN"/>
              </w:rPr>
              <w:t>-4</w:t>
            </w:r>
          </w:p>
        </w:tc>
        <w:tc>
          <w:tcPr>
            <w:tcW w:w="3129" w:type="dxa"/>
          </w:tcPr>
          <w:p w14:paraId="62C441F7" w14:textId="78F7E0A8" w:rsidR="00191A23" w:rsidRPr="0022554A" w:rsidRDefault="00403792" w:rsidP="00B4232E">
            <w:pPr>
              <w:tabs>
                <w:tab w:val="left" w:pos="5400"/>
              </w:tabs>
              <w:jc w:val="both"/>
              <w:rPr>
                <w:sz w:val="20"/>
              </w:rPr>
            </w:pPr>
            <w:r w:rsidRPr="00403792">
              <w:rPr>
                <w:sz w:val="20"/>
              </w:rPr>
              <w:t>The results from this multivariate analysis indicated that tumour maximum diameter, T stage, and lymph nodes remained as independent factors significantly influencing the 5-year survival rate of pT1c33N0M0 NSCLC patients</w:t>
            </w:r>
            <w:r w:rsidR="00B4232E">
              <w:rPr>
                <w:sz w:val="20"/>
              </w:rPr>
              <w:t>;</w:t>
            </w:r>
            <w:r w:rsidR="00B4232E" w:rsidRPr="00B4232E">
              <w:rPr>
                <w:rFonts w:eastAsia="宋体"/>
                <w:kern w:val="2"/>
                <w:szCs w:val="24"/>
                <w:lang w:val="en-US" w:eastAsia="zh-CN"/>
                <w14:ligatures w14:val="standardContextual"/>
              </w:rPr>
              <w:t xml:space="preserve"> </w:t>
            </w:r>
            <w:r w:rsidR="00B4232E">
              <w:rPr>
                <w:rFonts w:eastAsia="宋体"/>
                <w:kern w:val="2"/>
                <w:szCs w:val="24"/>
                <w:lang w:val="en-US"/>
                <w14:ligatures w14:val="standardContextual"/>
              </w:rPr>
              <w:t>t</w:t>
            </w:r>
            <w:r w:rsidR="00B4232E" w:rsidRPr="00B4232E">
              <w:rPr>
                <w:sz w:val="20"/>
                <w:lang w:val="en-US"/>
              </w:rPr>
              <w:t>he results derived from the multivariate analysis demonstrated that tumor maximum diameter, T stage, and lymph nodes had independent impacts on the median survival time of pT1c33N0M0 NSCLC patients, with statistical significance</w:t>
            </w:r>
            <w:r w:rsidR="00B4232E">
              <w:rPr>
                <w:sz w:val="20"/>
                <w:lang w:val="en-US"/>
              </w:rPr>
              <w:t>;</w:t>
            </w:r>
            <w:r w:rsidR="00B4232E" w:rsidRPr="00B4232E">
              <w:rPr>
                <w:rFonts w:eastAsia="宋体"/>
                <w:kern w:val="2"/>
                <w:szCs w:val="24"/>
                <w:lang w:val="en-US" w:eastAsia="zh-CN"/>
                <w14:ligatures w14:val="standardContextual"/>
              </w:rPr>
              <w:t xml:space="preserve"> </w:t>
            </w:r>
            <w:r w:rsidR="00B4232E">
              <w:rPr>
                <w:rFonts w:eastAsia="宋体"/>
                <w:kern w:val="2"/>
                <w:szCs w:val="24"/>
                <w:lang w:val="en-US"/>
                <w14:ligatures w14:val="standardContextual"/>
              </w:rPr>
              <w:t>t</w:t>
            </w:r>
            <w:r w:rsidR="00B4232E" w:rsidRPr="00B4232E">
              <w:rPr>
                <w:sz w:val="20"/>
                <w:lang w:val="en-US"/>
              </w:rPr>
              <w:t>he ROC curve analysis revealed an area under the curve (AUC) of 0.6982 for predicting the 5-year survival of pT1c33N0M0 NSCLC patients based on the number of N1 station lymph nodes detected. The maximum Youden index, approximately 0.316, occurred when the number of N1 station detected was 2.7 nodes</w:t>
            </w:r>
            <w:r w:rsidR="00B4232E">
              <w:rPr>
                <w:sz w:val="20"/>
                <w:lang w:val="en-US"/>
              </w:rPr>
              <w:t>.</w:t>
            </w:r>
          </w:p>
        </w:tc>
      </w:tr>
      <w:tr w:rsidR="00191A23" w:rsidRPr="0022554A" w14:paraId="5847EDF6" w14:textId="77777777" w:rsidTr="00517788">
        <w:tc>
          <w:tcPr>
            <w:tcW w:w="0" w:type="auto"/>
          </w:tcPr>
          <w:p w14:paraId="53ABD2FE" w14:textId="77777777" w:rsidR="00191A23" w:rsidRPr="0022554A" w:rsidRDefault="00191A23" w:rsidP="00191A23">
            <w:pPr>
              <w:tabs>
                <w:tab w:val="left" w:pos="5400"/>
              </w:tabs>
              <w:rPr>
                <w:bCs/>
                <w:sz w:val="20"/>
              </w:rPr>
            </w:pPr>
            <w:bookmarkStart w:id="87" w:name="italic46" w:colFirst="0" w:colLast="0"/>
            <w:bookmarkStart w:id="88" w:name="bold47" w:colFirst="0" w:colLast="0"/>
            <w:bookmarkEnd w:id="85"/>
            <w:bookmarkEnd w:id="86"/>
            <w:r w:rsidRPr="0022554A">
              <w:rPr>
                <w:bCs/>
                <w:sz w:val="20"/>
              </w:rPr>
              <w:t>Limitations</w:t>
            </w:r>
          </w:p>
        </w:tc>
        <w:tc>
          <w:tcPr>
            <w:tcW w:w="0" w:type="auto"/>
          </w:tcPr>
          <w:p w14:paraId="01CA3E88" w14:textId="77777777" w:rsidR="00191A23" w:rsidRPr="0022554A" w:rsidRDefault="00191A23" w:rsidP="00191A23">
            <w:pPr>
              <w:tabs>
                <w:tab w:val="left" w:pos="5400"/>
              </w:tabs>
              <w:jc w:val="center"/>
              <w:rPr>
                <w:sz w:val="20"/>
              </w:rPr>
            </w:pPr>
            <w:r w:rsidRPr="0022554A">
              <w:rPr>
                <w:sz w:val="20"/>
              </w:rPr>
              <w:t>19</w:t>
            </w:r>
          </w:p>
        </w:tc>
        <w:tc>
          <w:tcPr>
            <w:tcW w:w="8687" w:type="dxa"/>
          </w:tcPr>
          <w:p w14:paraId="46CD9C3B"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58EF5F72" w14:textId="52F4E23E" w:rsidR="00191A23" w:rsidRPr="0022554A" w:rsidRDefault="00C86918" w:rsidP="00191A23">
            <w:pPr>
              <w:tabs>
                <w:tab w:val="left" w:pos="5400"/>
              </w:tabs>
              <w:rPr>
                <w:sz w:val="20"/>
                <w:lang w:eastAsia="zh-CN"/>
              </w:rPr>
            </w:pPr>
            <w:r>
              <w:rPr>
                <w:rFonts w:hint="eastAsia"/>
                <w:sz w:val="20"/>
                <w:lang w:eastAsia="zh-CN"/>
              </w:rPr>
              <w:t>5</w:t>
            </w:r>
          </w:p>
        </w:tc>
        <w:tc>
          <w:tcPr>
            <w:tcW w:w="3129" w:type="dxa"/>
          </w:tcPr>
          <w:p w14:paraId="722D8B5A" w14:textId="663169F2" w:rsidR="00191A23" w:rsidRPr="0022554A" w:rsidRDefault="00C86918" w:rsidP="00C86918">
            <w:pPr>
              <w:tabs>
                <w:tab w:val="left" w:pos="5400"/>
              </w:tabs>
              <w:jc w:val="both"/>
              <w:rPr>
                <w:sz w:val="20"/>
              </w:rPr>
            </w:pPr>
            <w:r>
              <w:rPr>
                <w:sz w:val="20"/>
              </w:rPr>
              <w:t>T</w:t>
            </w:r>
            <w:r w:rsidRPr="00C86918">
              <w:rPr>
                <w:sz w:val="20"/>
              </w:rPr>
              <w:t xml:space="preserve">his study is a single-center retrospective analysis with certain case selection bias and a relatively small sample size. Moreover, the </w:t>
            </w:r>
            <w:r w:rsidRPr="00C86918">
              <w:rPr>
                <w:sz w:val="20"/>
              </w:rPr>
              <w:lastRenderedPageBreak/>
              <w:t>study did not conduct further analysis on specific T stages, which limits the generalizability of the results. Future research should consider conducting multicenter studies with larger samples and a multidimensional approach to further validate the impact of lymph node detection on the prognosis of pT1c33N0M0 NSCLC patients, ultimately aiming to improve postoperative survival rates</w:t>
            </w:r>
            <w:r>
              <w:rPr>
                <w:sz w:val="20"/>
              </w:rPr>
              <w:t>.</w:t>
            </w:r>
          </w:p>
        </w:tc>
      </w:tr>
      <w:tr w:rsidR="00191A23" w:rsidRPr="0022554A" w14:paraId="495627E2" w14:textId="77777777" w:rsidTr="00517788">
        <w:tc>
          <w:tcPr>
            <w:tcW w:w="0" w:type="auto"/>
          </w:tcPr>
          <w:p w14:paraId="5A80D05B" w14:textId="77777777" w:rsidR="00191A23" w:rsidRPr="0022554A" w:rsidRDefault="00191A23" w:rsidP="00191A23">
            <w:pPr>
              <w:tabs>
                <w:tab w:val="left" w:pos="5400"/>
              </w:tabs>
              <w:rPr>
                <w:bCs/>
                <w:sz w:val="20"/>
              </w:rPr>
            </w:pPr>
            <w:bookmarkStart w:id="89" w:name="italic47" w:colFirst="0" w:colLast="0"/>
            <w:bookmarkStart w:id="90" w:name="bold48" w:colFirst="0" w:colLast="0"/>
            <w:bookmarkEnd w:id="87"/>
            <w:bookmarkEnd w:id="88"/>
            <w:r w:rsidRPr="0022554A">
              <w:rPr>
                <w:bCs/>
                <w:sz w:val="20"/>
              </w:rPr>
              <w:lastRenderedPageBreak/>
              <w:t>Interpretation</w:t>
            </w:r>
          </w:p>
        </w:tc>
        <w:tc>
          <w:tcPr>
            <w:tcW w:w="0" w:type="auto"/>
          </w:tcPr>
          <w:p w14:paraId="1AC612AB" w14:textId="77777777" w:rsidR="00191A23" w:rsidRPr="0022554A" w:rsidRDefault="00191A23" w:rsidP="00191A23">
            <w:pPr>
              <w:tabs>
                <w:tab w:val="left" w:pos="5400"/>
              </w:tabs>
              <w:jc w:val="center"/>
              <w:rPr>
                <w:sz w:val="20"/>
              </w:rPr>
            </w:pPr>
            <w:r w:rsidRPr="0022554A">
              <w:rPr>
                <w:sz w:val="20"/>
              </w:rPr>
              <w:t>20</w:t>
            </w:r>
          </w:p>
        </w:tc>
        <w:tc>
          <w:tcPr>
            <w:tcW w:w="8687" w:type="dxa"/>
          </w:tcPr>
          <w:p w14:paraId="3BC6FB45"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5BA2550A" w14:textId="6B4A91FB" w:rsidR="00191A23" w:rsidRPr="0022554A" w:rsidRDefault="00C86918" w:rsidP="00191A23">
            <w:pPr>
              <w:tabs>
                <w:tab w:val="left" w:pos="5400"/>
              </w:tabs>
              <w:rPr>
                <w:sz w:val="20"/>
                <w:lang w:eastAsia="zh-CN"/>
              </w:rPr>
            </w:pPr>
            <w:r>
              <w:rPr>
                <w:rFonts w:hint="eastAsia"/>
                <w:sz w:val="20"/>
                <w:lang w:eastAsia="zh-CN"/>
              </w:rPr>
              <w:t>5</w:t>
            </w:r>
          </w:p>
        </w:tc>
        <w:tc>
          <w:tcPr>
            <w:tcW w:w="3129" w:type="dxa"/>
          </w:tcPr>
          <w:p w14:paraId="7DA54BB4" w14:textId="04B016E0" w:rsidR="00191A23" w:rsidRPr="0022554A" w:rsidRDefault="00C86918" w:rsidP="00191A23">
            <w:pPr>
              <w:tabs>
                <w:tab w:val="left" w:pos="5400"/>
              </w:tabs>
              <w:rPr>
                <w:sz w:val="20"/>
              </w:rPr>
            </w:pPr>
            <w:r w:rsidRPr="00C86918">
              <w:rPr>
                <w:sz w:val="20"/>
                <w:lang w:val="en-US"/>
              </w:rPr>
              <w:t>The quantity of identified lymph nodes stands as an independent prognostic determinant for individuals diagnosed with pT1c33N0M0 NSCLC. A minimum of three or more lymph nodes should be detected in the N1 station for better prognosis in these patients.</w:t>
            </w:r>
          </w:p>
        </w:tc>
      </w:tr>
      <w:tr w:rsidR="00191A23" w:rsidRPr="0022554A" w14:paraId="331EACA6" w14:textId="77777777" w:rsidTr="00517788">
        <w:tc>
          <w:tcPr>
            <w:tcW w:w="0" w:type="auto"/>
          </w:tcPr>
          <w:p w14:paraId="0944EDBC" w14:textId="77777777" w:rsidR="00191A23" w:rsidRPr="0022554A" w:rsidRDefault="00191A23" w:rsidP="00191A23">
            <w:pPr>
              <w:tabs>
                <w:tab w:val="left" w:pos="5400"/>
              </w:tabs>
              <w:rPr>
                <w:bCs/>
                <w:sz w:val="20"/>
              </w:rPr>
            </w:pPr>
            <w:bookmarkStart w:id="91" w:name="italic48" w:colFirst="0" w:colLast="0"/>
            <w:bookmarkStart w:id="92" w:name="bold49" w:colFirst="0" w:colLast="0"/>
            <w:bookmarkEnd w:id="89"/>
            <w:bookmarkEnd w:id="90"/>
            <w:r w:rsidRPr="0022554A">
              <w:rPr>
                <w:bCs/>
                <w:sz w:val="20"/>
              </w:rPr>
              <w:t>Generalisability</w:t>
            </w:r>
          </w:p>
        </w:tc>
        <w:tc>
          <w:tcPr>
            <w:tcW w:w="0" w:type="auto"/>
          </w:tcPr>
          <w:p w14:paraId="3460F69A" w14:textId="77777777" w:rsidR="00191A23" w:rsidRPr="0022554A" w:rsidRDefault="00191A23" w:rsidP="00191A23">
            <w:pPr>
              <w:tabs>
                <w:tab w:val="left" w:pos="5400"/>
              </w:tabs>
              <w:jc w:val="center"/>
              <w:rPr>
                <w:sz w:val="20"/>
              </w:rPr>
            </w:pPr>
            <w:r w:rsidRPr="0022554A">
              <w:rPr>
                <w:sz w:val="20"/>
              </w:rPr>
              <w:t>21</w:t>
            </w:r>
          </w:p>
        </w:tc>
        <w:tc>
          <w:tcPr>
            <w:tcW w:w="8687" w:type="dxa"/>
          </w:tcPr>
          <w:p w14:paraId="06E1395B"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09620F82" w14:textId="1CE0B5D6" w:rsidR="00191A23" w:rsidRPr="0022554A" w:rsidRDefault="00C86918" w:rsidP="00191A23">
            <w:pPr>
              <w:tabs>
                <w:tab w:val="left" w:pos="5400"/>
              </w:tabs>
              <w:rPr>
                <w:sz w:val="20"/>
                <w:lang w:eastAsia="zh-CN"/>
              </w:rPr>
            </w:pPr>
            <w:r>
              <w:rPr>
                <w:rFonts w:hint="eastAsia"/>
                <w:sz w:val="20"/>
                <w:lang w:eastAsia="zh-CN"/>
              </w:rPr>
              <w:t>5</w:t>
            </w:r>
          </w:p>
        </w:tc>
        <w:tc>
          <w:tcPr>
            <w:tcW w:w="3129" w:type="dxa"/>
          </w:tcPr>
          <w:p w14:paraId="013C7116" w14:textId="6051D10D" w:rsidR="00C86918" w:rsidRPr="00C86918" w:rsidRDefault="00C86918" w:rsidP="00C86918">
            <w:pPr>
              <w:tabs>
                <w:tab w:val="left" w:pos="5400"/>
              </w:tabs>
              <w:rPr>
                <w:sz w:val="20"/>
              </w:rPr>
            </w:pPr>
            <w:r w:rsidRPr="00C86918">
              <w:rPr>
                <w:sz w:val="20"/>
              </w:rPr>
              <w:t>This approach leads to more accurate pathological staging after curative lung cancer surgery, which, in turn, provides patients with a better prognosis .</w:t>
            </w:r>
          </w:p>
          <w:p w14:paraId="11F9B197" w14:textId="2EA8150D" w:rsidR="00191A23" w:rsidRPr="00C86918" w:rsidRDefault="00191A23" w:rsidP="00191A23">
            <w:pPr>
              <w:tabs>
                <w:tab w:val="left" w:pos="5400"/>
              </w:tabs>
              <w:rPr>
                <w:sz w:val="20"/>
              </w:rPr>
            </w:pPr>
          </w:p>
        </w:tc>
      </w:tr>
      <w:tr w:rsidR="00191A23" w:rsidRPr="0022554A" w14:paraId="2AE318E1" w14:textId="77777777" w:rsidTr="00517788">
        <w:tc>
          <w:tcPr>
            <w:tcW w:w="1911" w:type="dxa"/>
            <w:gridSpan w:val="2"/>
          </w:tcPr>
          <w:p w14:paraId="3AD21806" w14:textId="77777777" w:rsidR="00191A23" w:rsidRPr="0022554A" w:rsidRDefault="00191A23" w:rsidP="00191A23">
            <w:pPr>
              <w:pStyle w:val="TableSubHead"/>
              <w:tabs>
                <w:tab w:val="left" w:pos="5400"/>
              </w:tabs>
              <w:rPr>
                <w:sz w:val="20"/>
              </w:rPr>
            </w:pPr>
            <w:bookmarkStart w:id="93" w:name="italic49"/>
            <w:bookmarkStart w:id="94" w:name="bold50"/>
            <w:bookmarkEnd w:id="91"/>
            <w:bookmarkEnd w:id="92"/>
            <w:r w:rsidRPr="0022554A">
              <w:rPr>
                <w:sz w:val="20"/>
              </w:rPr>
              <w:t>Other information</w:t>
            </w:r>
          </w:p>
        </w:tc>
        <w:bookmarkEnd w:id="93"/>
        <w:bookmarkEnd w:id="94"/>
        <w:tc>
          <w:tcPr>
            <w:tcW w:w="13081" w:type="dxa"/>
            <w:gridSpan w:val="3"/>
          </w:tcPr>
          <w:p w14:paraId="28F06F1B" w14:textId="77777777" w:rsidR="00191A23" w:rsidRPr="0022554A" w:rsidRDefault="00191A23" w:rsidP="00191A23">
            <w:pPr>
              <w:pStyle w:val="TableSubHead"/>
              <w:tabs>
                <w:tab w:val="left" w:pos="5400"/>
              </w:tabs>
              <w:rPr>
                <w:sz w:val="20"/>
              </w:rPr>
            </w:pPr>
          </w:p>
        </w:tc>
      </w:tr>
      <w:tr w:rsidR="00191A23" w:rsidRPr="0022554A" w14:paraId="55EA2EF7" w14:textId="77777777" w:rsidTr="00517788">
        <w:tc>
          <w:tcPr>
            <w:tcW w:w="0" w:type="auto"/>
          </w:tcPr>
          <w:p w14:paraId="653E40CF" w14:textId="77777777" w:rsidR="00191A23" w:rsidRPr="0022554A" w:rsidRDefault="00191A23" w:rsidP="00191A23">
            <w:pPr>
              <w:tabs>
                <w:tab w:val="left" w:pos="5400"/>
              </w:tabs>
              <w:rPr>
                <w:bCs/>
                <w:sz w:val="20"/>
              </w:rPr>
            </w:pPr>
            <w:bookmarkStart w:id="95" w:name="italic50" w:colFirst="0" w:colLast="0"/>
            <w:bookmarkStart w:id="96" w:name="bold51" w:colFirst="0" w:colLast="0"/>
            <w:r w:rsidRPr="0022554A">
              <w:rPr>
                <w:bCs/>
                <w:sz w:val="20"/>
              </w:rPr>
              <w:t>Funding</w:t>
            </w:r>
          </w:p>
        </w:tc>
        <w:tc>
          <w:tcPr>
            <w:tcW w:w="0" w:type="auto"/>
          </w:tcPr>
          <w:p w14:paraId="20493392" w14:textId="77777777" w:rsidR="00191A23" w:rsidRPr="0022554A" w:rsidRDefault="00191A23" w:rsidP="00191A23">
            <w:pPr>
              <w:tabs>
                <w:tab w:val="left" w:pos="5400"/>
              </w:tabs>
              <w:jc w:val="center"/>
              <w:rPr>
                <w:sz w:val="20"/>
              </w:rPr>
            </w:pPr>
            <w:r w:rsidRPr="0022554A">
              <w:rPr>
                <w:sz w:val="20"/>
              </w:rPr>
              <w:t>22</w:t>
            </w:r>
          </w:p>
        </w:tc>
        <w:tc>
          <w:tcPr>
            <w:tcW w:w="8687" w:type="dxa"/>
          </w:tcPr>
          <w:p w14:paraId="334C30DF"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0CFBA3C5" w14:textId="77777777" w:rsidR="00191A23" w:rsidRPr="0022554A" w:rsidRDefault="00191A23" w:rsidP="00191A23">
            <w:pPr>
              <w:tabs>
                <w:tab w:val="left" w:pos="5400"/>
              </w:tabs>
              <w:rPr>
                <w:sz w:val="20"/>
              </w:rPr>
            </w:pPr>
          </w:p>
        </w:tc>
        <w:tc>
          <w:tcPr>
            <w:tcW w:w="3129" w:type="dxa"/>
          </w:tcPr>
          <w:p w14:paraId="2CC67E5B" w14:textId="7973C051" w:rsidR="00191A23" w:rsidRPr="0022554A" w:rsidRDefault="00BA4818" w:rsidP="00191A23">
            <w:pPr>
              <w:tabs>
                <w:tab w:val="left" w:pos="5400"/>
              </w:tabs>
              <w:rPr>
                <w:sz w:val="20"/>
                <w:lang w:eastAsia="zh-CN"/>
              </w:rPr>
            </w:pPr>
            <w:r>
              <w:rPr>
                <w:rFonts w:hint="eastAsia"/>
                <w:sz w:val="20"/>
                <w:lang w:eastAsia="zh-CN"/>
              </w:rPr>
              <w:t>N</w:t>
            </w:r>
            <w:r>
              <w:rPr>
                <w:sz w:val="20"/>
                <w:lang w:eastAsia="zh-CN"/>
              </w:rPr>
              <w:t>/A</w:t>
            </w:r>
          </w:p>
        </w:tc>
      </w:tr>
      <w:bookmarkEnd w:id="95"/>
      <w:bookmarkEnd w:id="96"/>
    </w:tbl>
    <w:p w14:paraId="1418A5A1" w14:textId="77777777" w:rsidR="002602FB" w:rsidRDefault="002602FB" w:rsidP="0022554A">
      <w:pPr>
        <w:pStyle w:val="TableNote"/>
        <w:tabs>
          <w:tab w:val="left" w:pos="5400"/>
        </w:tabs>
        <w:rPr>
          <w:bCs/>
          <w:sz w:val="20"/>
        </w:rPr>
      </w:pPr>
    </w:p>
    <w:p w14:paraId="1096DA8C" w14:textId="77777777" w:rsidR="00D87AF7" w:rsidRPr="0022554A" w:rsidRDefault="00D87AF7" w:rsidP="0022554A">
      <w:pPr>
        <w:pStyle w:val="TableNote"/>
        <w:tabs>
          <w:tab w:val="left" w:pos="5400"/>
        </w:tabs>
        <w:rPr>
          <w:sz w:val="20"/>
        </w:rPr>
      </w:pPr>
      <w:r w:rsidRPr="0022554A">
        <w:rPr>
          <w:bCs/>
          <w:sz w:val="20"/>
        </w:rPr>
        <w:lastRenderedPageBreak/>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64AE429" w14:textId="77777777" w:rsidR="00AE2C57" w:rsidRDefault="00AE2C57" w:rsidP="0022554A">
      <w:pPr>
        <w:pStyle w:val="TableNote"/>
        <w:tabs>
          <w:tab w:val="left" w:pos="5400"/>
        </w:tabs>
        <w:rPr>
          <w:sz w:val="20"/>
        </w:rPr>
      </w:pPr>
    </w:p>
    <w:p w14:paraId="021FAE53"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3C20" w14:textId="77777777" w:rsidR="00682359" w:rsidRDefault="00682359">
      <w:r>
        <w:separator/>
      </w:r>
    </w:p>
  </w:endnote>
  <w:endnote w:type="continuationSeparator" w:id="0">
    <w:p w14:paraId="2995830D" w14:textId="77777777" w:rsidR="00682359" w:rsidRDefault="0068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D4F0"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97BBEE"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68FF"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7D79E8CF"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AAA7" w14:textId="77777777" w:rsidR="00682359" w:rsidRDefault="00682359">
      <w:r>
        <w:separator/>
      </w:r>
    </w:p>
  </w:footnote>
  <w:footnote w:type="continuationSeparator" w:id="0">
    <w:p w14:paraId="49B14D2E" w14:textId="77777777" w:rsidR="00682359" w:rsidRDefault="00682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7237757B"/>
    <w:multiLevelType w:val="hybridMultilevel"/>
    <w:tmpl w:val="286066A2"/>
    <w:lvl w:ilvl="0" w:tplc="1344730C">
      <w:start w:val="1"/>
      <w:numFmt w:val="lowerLetter"/>
      <w:lvlText w:val="(%1)"/>
      <w:lvlJc w:val="left"/>
      <w:pPr>
        <w:ind w:left="360" w:hanging="360"/>
      </w:pPr>
      <w:rPr>
        <w:rFonts w:hint="default"/>
        <w: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7111457">
    <w:abstractNumId w:val="20"/>
  </w:num>
  <w:num w:numId="2" w16cid:durableId="474377513">
    <w:abstractNumId w:val="11"/>
  </w:num>
  <w:num w:numId="3" w16cid:durableId="1098523603">
    <w:abstractNumId w:val="18"/>
  </w:num>
  <w:num w:numId="4" w16cid:durableId="204565907">
    <w:abstractNumId w:val="16"/>
  </w:num>
  <w:num w:numId="5" w16cid:durableId="1609003917">
    <w:abstractNumId w:val="15"/>
  </w:num>
  <w:num w:numId="6" w16cid:durableId="1748188263">
    <w:abstractNumId w:val="19"/>
  </w:num>
  <w:num w:numId="7" w16cid:durableId="1721006185">
    <w:abstractNumId w:val="10"/>
  </w:num>
  <w:num w:numId="8" w16cid:durableId="1408989855">
    <w:abstractNumId w:val="13"/>
  </w:num>
  <w:num w:numId="9" w16cid:durableId="719987004">
    <w:abstractNumId w:val="9"/>
  </w:num>
  <w:num w:numId="10" w16cid:durableId="1487744333">
    <w:abstractNumId w:val="14"/>
  </w:num>
  <w:num w:numId="11" w16cid:durableId="99222418">
    <w:abstractNumId w:val="7"/>
  </w:num>
  <w:num w:numId="12" w16cid:durableId="1236744976">
    <w:abstractNumId w:val="6"/>
  </w:num>
  <w:num w:numId="13" w16cid:durableId="610673963">
    <w:abstractNumId w:val="5"/>
  </w:num>
  <w:num w:numId="14" w16cid:durableId="475492894">
    <w:abstractNumId w:val="4"/>
  </w:num>
  <w:num w:numId="15" w16cid:durableId="1241866675">
    <w:abstractNumId w:val="8"/>
  </w:num>
  <w:num w:numId="16" w16cid:durableId="972321423">
    <w:abstractNumId w:val="3"/>
  </w:num>
  <w:num w:numId="17" w16cid:durableId="1810241743">
    <w:abstractNumId w:val="2"/>
  </w:num>
  <w:num w:numId="18" w16cid:durableId="1425421449">
    <w:abstractNumId w:val="1"/>
  </w:num>
  <w:num w:numId="19" w16cid:durableId="478691958">
    <w:abstractNumId w:val="0"/>
  </w:num>
  <w:num w:numId="20" w16cid:durableId="513423410">
    <w:abstractNumId w:val="12"/>
  </w:num>
  <w:num w:numId="21" w16cid:durableId="1770657139">
    <w:abstractNumId w:val="17"/>
  </w:num>
  <w:num w:numId="22" w16cid:durableId="7413660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62772"/>
    <w:rsid w:val="00093E3A"/>
    <w:rsid w:val="000B6FD4"/>
    <w:rsid w:val="000D3E25"/>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200E2"/>
    <w:rsid w:val="003354B7"/>
    <w:rsid w:val="003508EF"/>
    <w:rsid w:val="00372129"/>
    <w:rsid w:val="00385050"/>
    <w:rsid w:val="003A3FDD"/>
    <w:rsid w:val="003E747B"/>
    <w:rsid w:val="00403792"/>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2359"/>
    <w:rsid w:val="00683E42"/>
    <w:rsid w:val="006A2F18"/>
    <w:rsid w:val="006A5DD9"/>
    <w:rsid w:val="006B0070"/>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51968"/>
    <w:rsid w:val="0089107E"/>
    <w:rsid w:val="00891604"/>
    <w:rsid w:val="008B699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A42CB"/>
    <w:rsid w:val="00AB7BC4"/>
    <w:rsid w:val="00AE23EB"/>
    <w:rsid w:val="00AE2C57"/>
    <w:rsid w:val="00AF4615"/>
    <w:rsid w:val="00B4232E"/>
    <w:rsid w:val="00B44C1E"/>
    <w:rsid w:val="00B50DF8"/>
    <w:rsid w:val="00B54EA0"/>
    <w:rsid w:val="00B60EFB"/>
    <w:rsid w:val="00B65366"/>
    <w:rsid w:val="00B77807"/>
    <w:rsid w:val="00B940E9"/>
    <w:rsid w:val="00BA1206"/>
    <w:rsid w:val="00BA4818"/>
    <w:rsid w:val="00BC7FE6"/>
    <w:rsid w:val="00BE3709"/>
    <w:rsid w:val="00C269D7"/>
    <w:rsid w:val="00C32C13"/>
    <w:rsid w:val="00C86918"/>
    <w:rsid w:val="00CA489B"/>
    <w:rsid w:val="00CB6CC8"/>
    <w:rsid w:val="00CC4C93"/>
    <w:rsid w:val="00D120D2"/>
    <w:rsid w:val="00D20D7C"/>
    <w:rsid w:val="00D26FCA"/>
    <w:rsid w:val="00D61281"/>
    <w:rsid w:val="00D6407C"/>
    <w:rsid w:val="00D87AF7"/>
    <w:rsid w:val="00DA120C"/>
    <w:rsid w:val="00DC4BEF"/>
    <w:rsid w:val="00E10628"/>
    <w:rsid w:val="00E144CD"/>
    <w:rsid w:val="00E2292B"/>
    <w:rsid w:val="00E341E9"/>
    <w:rsid w:val="00EA6E28"/>
    <w:rsid w:val="00F0752A"/>
    <w:rsid w:val="00F14EE2"/>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140D5"/>
  <w15:docId w15:val="{A965BECC-3DD8-4D41-8473-B9561495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 w:type="paragraph" w:styleId="affd">
    <w:name w:val="List Paragraph"/>
    <w:basedOn w:val="a1"/>
    <w:uiPriority w:val="34"/>
    <w:qFormat/>
    <w:rsid w:val="000D3E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77</TotalTime>
  <Pages>10</Pages>
  <Words>1889</Words>
  <Characters>10773</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娜 李</cp:lastModifiedBy>
  <cp:revision>7</cp:revision>
  <cp:lastPrinted>2014-09-01T08:36:00Z</cp:lastPrinted>
  <dcterms:created xsi:type="dcterms:W3CDTF">2023-12-02T01:41:00Z</dcterms:created>
  <dcterms:modified xsi:type="dcterms:W3CDTF">2023-12-02T03:54:00Z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