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Theme="minorEastAsia"/>
          <w:b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b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Supplementary Figure 1</w:t>
      </w:r>
    </w:p>
    <w:p>
      <w:pPr>
        <w:widowControl w:val="0"/>
        <w:spacing w:line="360" w:lineRule="auto"/>
        <w:contextualSpacing w:val="0"/>
        <w:rPr>
          <w:rFonts w:eastAsia="MS Mincho"/>
          <w:b/>
          <w:bCs/>
          <w:kern w:val="2"/>
          <w:sz w:val="24"/>
          <w:szCs w:val="24"/>
          <w:highlight w:val="none"/>
          <w:lang w:eastAsia="zh-CN"/>
        </w:rPr>
      </w:pPr>
      <w:bookmarkStart w:id="0" w:name="_Hlk153183419"/>
      <w:r>
        <w:rPr>
          <w:rFonts w:hint="eastAsia" w:eastAsia="MS Mincho"/>
          <w:b/>
          <w:bCs/>
          <w:kern w:val="2"/>
          <w:sz w:val="24"/>
          <w:szCs w:val="24"/>
          <w:highlight w:val="none"/>
          <w:lang w:val="en-US" w:eastAsia="zh-CN"/>
        </w:rPr>
        <w:t>R</w:t>
      </w:r>
      <w:r>
        <w:rPr>
          <w:rFonts w:eastAsia="MS Mincho"/>
          <w:b/>
          <w:bCs/>
          <w:kern w:val="2"/>
          <w:sz w:val="24"/>
          <w:szCs w:val="24"/>
          <w:highlight w:val="none"/>
          <w:lang w:eastAsia="zh-CN"/>
        </w:rPr>
        <w:t>eal-time quantitative PCR</w:t>
      </w:r>
      <w:bookmarkEnd w:id="0"/>
    </w:p>
    <w:p>
      <w:pPr>
        <w:widowControl w:val="0"/>
        <w:spacing w:line="360" w:lineRule="auto"/>
        <w:contextualSpacing w:val="0"/>
      </w:pPr>
      <w:r>
        <w:rPr>
          <w:rFonts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>Total RNA was extracted using TRIzol reagent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/>
        </w:rPr>
        <w:t xml:space="preserve"> (#10296028, Thermo Fisher Scientific, MA, USA)</w:t>
      </w:r>
      <w:r>
        <w:rPr>
          <w:rFonts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 xml:space="preserve">. The first-strand cDNA template was synthesized using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>Hifair® Ⅲ 1st Strand cDNA Synthesis SuperMix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/>
        </w:rPr>
        <w:t xml:space="preserve"> (#11141ES60, yeasen, Shanghai, China)</w:t>
      </w:r>
      <w:r>
        <w:rPr>
          <w:rFonts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>. Real-time PCR was performed on a Bio-Rad CFX96 real-time system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/>
        </w:rPr>
        <w:t xml:space="preserve"> (BD, Franklin Lakes, USA)</w:t>
      </w:r>
      <w:r>
        <w:rPr>
          <w:rFonts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 xml:space="preserve"> using Hieff qPCR SYBR Green Master Mix. GAPDH was employed as an internal control. PCR primers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>Life Technologies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/>
        </w:rPr>
        <w:t xml:space="preserve">, MA, USA) </w:t>
      </w:r>
      <w:r>
        <w:rPr>
          <w:rFonts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  <w:t>ar</w:t>
      </w:r>
      <w:r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  <w:t xml:space="preserve">e listed in </w:t>
      </w: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  <w:t>supplementary t</w:t>
      </w:r>
      <w:r>
        <w:rPr>
          <w:rFonts w:ascii="Times New Roman" w:hAnsi="Times New Roman" w:eastAsia="宋体" w:cs="Times New Roman"/>
          <w:b/>
          <w:bCs/>
          <w:kern w:val="2"/>
          <w:sz w:val="24"/>
          <w:szCs w:val="24"/>
          <w:lang w:eastAsia="zh-CN"/>
        </w:rPr>
        <w:t xml:space="preserve">able </w:t>
      </w: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  <w:t>.</w:t>
      </w:r>
    </w:p>
    <w:p>
      <w:pPr>
        <w:jc w:val="center"/>
      </w:pPr>
      <w:r>
        <w:object>
          <v:shape id="_x0000_i1025" o:spt="75" type="#_x0000_t75" style="height:204.25pt;width:169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Prism8.Document" ShapeID="_x0000_i1025" DrawAspect="Content" ObjectID="_1468075725" r:id="rId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  <w:t xml:space="preserve">supFig.1 Cyy-287 attenuates the mRNA expression of SREBP-1c in HFD mice. 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Quantified results were plotted.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Data are presented as the mean ± SEM (n=3).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vertAlign w:val="baseline"/>
          <w14:textFill>
            <w14:solidFill>
              <w14:schemeClr w14:val="tx1"/>
            </w14:solidFill>
          </w14:textFill>
        </w:rPr>
        <w:t>**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&lt; 0.001 compared with the control group.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vertAlign w:val="superscript"/>
          <w14:textFill>
            <w14:solidFill>
              <w14:schemeClr w14:val="tx1"/>
            </w14:solidFill>
          </w14:textFill>
        </w:rPr>
        <w:t>##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&lt; 0.01 compared with the HFD group.</w:t>
      </w:r>
    </w:p>
    <w:p>
      <w:pPr>
        <w:widowControl w:val="0"/>
        <w:spacing w:line="360" w:lineRule="auto"/>
        <w:contextualSpacing w:val="0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</w:pPr>
    </w:p>
    <w:p>
      <w:pPr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</w:rPr>
        <w:t xml:space="preserve">Supplementary Table </w:t>
      </w:r>
      <w:r>
        <w:rPr>
          <w:rFonts w:hint="default" w:ascii="Times New Roman" w:hAnsi="Times New Roman" w:eastAsia="宋体" w:cs="Times New Roman"/>
          <w:b/>
          <w:lang w:val="en-US" w:eastAsia="zh-CN"/>
        </w:rPr>
        <w:t>1</w:t>
      </w:r>
      <w:r>
        <w:rPr>
          <w:rFonts w:hint="default"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kern w:val="2"/>
          <w:sz w:val="24"/>
          <w:szCs w:val="24"/>
          <w:lang w:eastAsia="zh-CN"/>
        </w:rPr>
        <w:t>Primers used for real-time qPCR assay.</w:t>
      </w:r>
      <w:bookmarkStart w:id="1" w:name="_GoBack"/>
      <w:bookmarkEnd w:id="1"/>
    </w:p>
    <w:p>
      <w:pPr>
        <w:rPr>
          <w:rFonts w:eastAsiaTheme="minorEastAsia"/>
          <w:lang w:eastAsia="zh-CN"/>
        </w:rPr>
      </w:pPr>
    </w:p>
    <w:tbl>
      <w:tblPr>
        <w:tblStyle w:val="4"/>
        <w:tblW w:w="910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50"/>
        <w:gridCol w:w="3365"/>
        <w:gridCol w:w="36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Gene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Species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ForwardPrimer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ReversedPrimer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S</w:t>
            </w: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REBP-1c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M</w:t>
            </w: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ouse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TGACCCGGCTATTCCGTGA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CTGGGCTGAGCAATACAGTTC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6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contextualSpacing w:val="0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G</w:t>
            </w: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APDH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Mouse</w:t>
            </w:r>
          </w:p>
        </w:tc>
        <w:tc>
          <w:tcPr>
            <w:tcW w:w="340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contextualSpacing w:val="0"/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AGGTCGGTGTGAACGGATTTG</w:t>
            </w:r>
          </w:p>
        </w:tc>
        <w:tc>
          <w:tcPr>
            <w:tcW w:w="368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contextualSpacing w:val="0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T</w:t>
            </w:r>
            <w:r>
              <w:rPr>
                <w:rFonts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GTAGACCATGTAGTTGAGGTCA</w:t>
            </w:r>
          </w:p>
        </w:tc>
      </w:tr>
    </w:tbl>
    <w:p>
      <w:pPr>
        <w:widowControl w:val="0"/>
        <w:spacing w:line="360" w:lineRule="auto"/>
        <w:contextualSpacing w:val="0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OWMxNDQ3YTU1ZjMxN2I4YzdkZWFmY2U3ZWE3NTgifQ=="/>
  </w:docVars>
  <w:rsids>
    <w:rsidRoot w:val="2FAA2C35"/>
    <w:rsid w:val="021F45D0"/>
    <w:rsid w:val="21132D8F"/>
    <w:rsid w:val="2FAA2C35"/>
    <w:rsid w:val="4EC7464B"/>
    <w:rsid w:val="5BA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浅色1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2023-12-11T16:00:00Z</dcterms:created>
  <dc:creator>zqwlo</dc:creator>
  <cp:lastModifiedBy>zqwlo</cp:lastModifiedBy>
  <dcterms:modified xsi:type="dcterms:W3CDTF">2023-12-18T04:23:41Z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3ED23021A70A44CE8316CBA7359A5920_11</vt:lpwstr>
  </property>
</Properties>
</file>