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0383" w14:textId="4D7B7A26" w:rsidR="00A87505" w:rsidRPr="00760442" w:rsidRDefault="00AB32AB" w:rsidP="00A87505">
      <w:pPr>
        <w:pStyle w:val="Caption"/>
        <w:spacing w:after="120" w:line="312" w:lineRule="auto"/>
        <w:jc w:val="center"/>
        <w:rPr>
          <w:rFonts w:ascii="Times New Roman" w:hAnsi="Times New Roman"/>
          <w:b/>
          <w:bCs/>
          <w:i w:val="0"/>
          <w:color w:val="000000" w:themeColor="text1"/>
          <w:sz w:val="26"/>
          <w:szCs w:val="26"/>
        </w:rPr>
      </w:pPr>
      <w:bookmarkStart w:id="0" w:name="_Toc109755973"/>
      <w:bookmarkStart w:id="1" w:name="OLE_LINK77"/>
      <w:bookmarkStart w:id="2" w:name="OLE_LINK78"/>
      <w:r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>T</w:t>
      </w:r>
      <w:r w:rsidR="00531F56" w:rsidRPr="00531F56"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 xml:space="preserve">able </w:t>
      </w:r>
      <w:r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>S</w:t>
      </w:r>
      <w:r w:rsidR="00531F56" w:rsidRPr="00531F56"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>1</w:t>
      </w:r>
      <w:r w:rsidR="00975A06" w:rsidRPr="00975A06">
        <w:rPr>
          <w:rFonts w:ascii="Times" w:hAnsi="Times" w:cs="Times"/>
          <w:i w:val="0"/>
          <w:color w:val="000000" w:themeColor="text1"/>
          <w:sz w:val="24"/>
          <w:szCs w:val="24"/>
        </w:rPr>
        <w:t xml:space="preserve">. </w:t>
      </w:r>
      <w:r w:rsidR="00975A06" w:rsidRPr="00760442"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 xml:space="preserve">Primer pairs were used to detect </w:t>
      </w:r>
      <w:r w:rsidR="00975A06" w:rsidRPr="00760442">
        <w:rPr>
          <w:rFonts w:ascii="Times" w:hAnsi="Times" w:cs="Times"/>
          <w:b/>
          <w:bCs/>
          <w:iCs w:val="0"/>
          <w:color w:val="000000" w:themeColor="text1"/>
          <w:sz w:val="24"/>
          <w:szCs w:val="24"/>
        </w:rPr>
        <w:t>Nosema</w:t>
      </w:r>
      <w:r w:rsidR="00975A06" w:rsidRPr="00760442"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 xml:space="preserve"> spp. and bee </w:t>
      </w:r>
      <w:bookmarkEnd w:id="0"/>
      <w:r w:rsidR="00975A06" w:rsidRPr="00760442"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>viruses.</w:t>
      </w:r>
    </w:p>
    <w:tbl>
      <w:tblPr>
        <w:tblStyle w:val="TableGridLight"/>
        <w:tblW w:w="5140" w:type="pct"/>
        <w:tblLook w:val="0000" w:firstRow="0" w:lastRow="0" w:firstColumn="0" w:lastColumn="0" w:noHBand="0" w:noVBand="0"/>
      </w:tblPr>
      <w:tblGrid>
        <w:gridCol w:w="1447"/>
        <w:gridCol w:w="5479"/>
        <w:gridCol w:w="725"/>
        <w:gridCol w:w="1961"/>
      </w:tblGrid>
      <w:tr w:rsidR="00975A06" w:rsidRPr="00975A06" w14:paraId="70D386D6" w14:textId="45E7A8EB" w:rsidTr="00890DED">
        <w:trPr>
          <w:trHeight w:val="113"/>
        </w:trPr>
        <w:tc>
          <w:tcPr>
            <w:tcW w:w="753" w:type="pct"/>
          </w:tcPr>
          <w:bookmarkEnd w:id="1"/>
          <w:bookmarkEnd w:id="2"/>
          <w:p w14:paraId="6300BDBC" w14:textId="380E16EE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975A06">
              <w:rPr>
                <w:rFonts w:ascii="Times" w:hAnsi="Times" w:cs="Times"/>
                <w:b/>
                <w:sz w:val="20"/>
                <w:szCs w:val="20"/>
              </w:rPr>
              <w:t>Primer</w:t>
            </w:r>
          </w:p>
        </w:tc>
        <w:tc>
          <w:tcPr>
            <w:tcW w:w="2850" w:type="pct"/>
          </w:tcPr>
          <w:p w14:paraId="2E7BCCF5" w14:textId="556FD548" w:rsidR="00975A06" w:rsidRPr="00975A06" w:rsidRDefault="00975A06" w:rsidP="00975A06">
            <w:pPr>
              <w:spacing w:after="0" w:line="288" w:lineRule="auto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975A06">
              <w:rPr>
                <w:rFonts w:ascii="Times" w:hAnsi="Times" w:cs="Times"/>
                <w:b/>
                <w:sz w:val="20"/>
                <w:szCs w:val="20"/>
              </w:rPr>
              <w:t>Sequence</w:t>
            </w:r>
          </w:p>
        </w:tc>
        <w:tc>
          <w:tcPr>
            <w:tcW w:w="377" w:type="pct"/>
          </w:tcPr>
          <w:p w14:paraId="5E72AFEA" w14:textId="18099A60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975A06">
              <w:rPr>
                <w:rFonts w:ascii="Times" w:hAnsi="Times" w:cs="Times"/>
                <w:b/>
                <w:sz w:val="20"/>
                <w:szCs w:val="20"/>
              </w:rPr>
              <w:t>Size (bp)</w:t>
            </w:r>
          </w:p>
        </w:tc>
        <w:tc>
          <w:tcPr>
            <w:tcW w:w="1021" w:type="pct"/>
          </w:tcPr>
          <w:p w14:paraId="63480D25" w14:textId="26130468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975A06">
              <w:rPr>
                <w:rFonts w:ascii="Times" w:hAnsi="Times" w:cs="Times"/>
                <w:b/>
                <w:sz w:val="20"/>
                <w:szCs w:val="20"/>
              </w:rPr>
              <w:t>References</w:t>
            </w:r>
          </w:p>
        </w:tc>
      </w:tr>
      <w:tr w:rsidR="00975A06" w:rsidRPr="00975A06" w14:paraId="5A40C61C" w14:textId="77777777" w:rsidTr="00890DED">
        <w:trPr>
          <w:trHeight w:val="113"/>
        </w:trPr>
        <w:tc>
          <w:tcPr>
            <w:tcW w:w="753" w:type="pct"/>
          </w:tcPr>
          <w:p w14:paraId="3677FDE1" w14:textId="4F275819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975A06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Nosema </w:t>
            </w:r>
            <w:proofErr w:type="gramStart"/>
            <w:r w:rsidRPr="00975A06">
              <w:rPr>
                <w:rFonts w:ascii="Times" w:hAnsi="Times" w:cs="Times"/>
                <w:sz w:val="20"/>
                <w:szCs w:val="20"/>
              </w:rPr>
              <w:t>spp.-F</w:t>
            </w:r>
            <w:proofErr w:type="gramEnd"/>
          </w:p>
        </w:tc>
        <w:tc>
          <w:tcPr>
            <w:tcW w:w="2850" w:type="pct"/>
          </w:tcPr>
          <w:p w14:paraId="34536AEB" w14:textId="0F55B3BD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015675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-CTGCCTGACGTAGACGCTAT</w:t>
            </w:r>
            <w:r w:rsidR="00890DED" w:rsidRPr="00975A06">
              <w:rPr>
                <w:rFonts w:ascii="Times" w:hAnsi="Times" w:cs="Times"/>
                <w:sz w:val="20"/>
                <w:szCs w:val="20"/>
              </w:rPr>
              <w:t>-3</w:t>
            </w:r>
            <w:r w:rsidR="00015675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 w:val="restart"/>
          </w:tcPr>
          <w:p w14:paraId="7F398C77" w14:textId="77957FDF" w:rsidR="00975A06" w:rsidRPr="00975A06" w:rsidRDefault="00975A06" w:rsidP="00EB3E87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593</w:t>
            </w:r>
          </w:p>
        </w:tc>
        <w:tc>
          <w:tcPr>
            <w:tcW w:w="1021" w:type="pct"/>
            <w:vMerge w:val="restart"/>
          </w:tcPr>
          <w:p w14:paraId="5DCE9BED" w14:textId="02DB7352" w:rsidR="00975A06" w:rsidRPr="00890DED" w:rsidRDefault="007512BF" w:rsidP="00890DED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proofErr w:type="spellStart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ChaimaneeWarrit</w:t>
            </w:r>
            <w:proofErr w:type="spellEnd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Chantawannakul</w:t>
            </w:r>
            <w:proofErr w:type="spellEnd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, 2010</w:t>
            </w:r>
          </w:p>
        </w:tc>
      </w:tr>
      <w:tr w:rsidR="00975A06" w:rsidRPr="00975A06" w14:paraId="1CEBA259" w14:textId="77777777" w:rsidTr="00890DED">
        <w:trPr>
          <w:trHeight w:val="113"/>
        </w:trPr>
        <w:tc>
          <w:tcPr>
            <w:tcW w:w="753" w:type="pct"/>
          </w:tcPr>
          <w:p w14:paraId="677FCBFB" w14:textId="531B4FF3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Nosema </w:t>
            </w:r>
            <w:proofErr w:type="gramStart"/>
            <w:r w:rsidRPr="00975A06">
              <w:rPr>
                <w:rFonts w:ascii="Times" w:hAnsi="Times" w:cs="Times"/>
                <w:sz w:val="20"/>
                <w:szCs w:val="20"/>
              </w:rPr>
              <w:t>spp.-</w:t>
            </w:r>
            <w:r w:rsidR="00890DED">
              <w:rPr>
                <w:rFonts w:ascii="Times" w:hAnsi="Times" w:cs="Times"/>
                <w:sz w:val="20"/>
                <w:szCs w:val="20"/>
              </w:rPr>
              <w:t>R</w:t>
            </w:r>
            <w:proofErr w:type="gramEnd"/>
          </w:p>
        </w:tc>
        <w:tc>
          <w:tcPr>
            <w:tcW w:w="2850" w:type="pct"/>
          </w:tcPr>
          <w:p w14:paraId="2CC15CB0" w14:textId="7499B349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015675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-CTTCGATCCTCTAGCTTACG</w:t>
            </w:r>
            <w:r w:rsidR="00890DED" w:rsidRPr="00975A06">
              <w:rPr>
                <w:rFonts w:ascii="Times" w:hAnsi="Times" w:cs="Times"/>
                <w:sz w:val="20"/>
                <w:szCs w:val="20"/>
              </w:rPr>
              <w:t>-3</w:t>
            </w:r>
            <w:r w:rsidR="00015675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/>
          </w:tcPr>
          <w:p w14:paraId="110D931F" w14:textId="77777777" w:rsidR="00975A06" w:rsidRPr="00975A06" w:rsidRDefault="00975A06" w:rsidP="00EB3E87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14:paraId="50D1D52B" w14:textId="77777777" w:rsidR="00975A06" w:rsidRPr="00890DED" w:rsidRDefault="00975A06" w:rsidP="00890DED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975A06" w:rsidRPr="00975A06" w14:paraId="4C3503CA" w14:textId="5E2D331C" w:rsidTr="00890DED">
        <w:trPr>
          <w:trHeight w:val="113"/>
        </w:trPr>
        <w:tc>
          <w:tcPr>
            <w:tcW w:w="753" w:type="pct"/>
          </w:tcPr>
          <w:p w14:paraId="7DE8AFFB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ABPV-F</w:t>
            </w:r>
          </w:p>
        </w:tc>
        <w:tc>
          <w:tcPr>
            <w:tcW w:w="2850" w:type="pct"/>
          </w:tcPr>
          <w:p w14:paraId="62B43448" w14:textId="38EDB8D9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-TTA TGT GTC CAG AGA CTG TAT CCA-3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vMerge w:val="restart"/>
          </w:tcPr>
          <w:p w14:paraId="364690FD" w14:textId="5DBE3063" w:rsidR="00975A06" w:rsidRPr="00975A06" w:rsidRDefault="00975A06" w:rsidP="00890DED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900</w:t>
            </w:r>
          </w:p>
        </w:tc>
        <w:tc>
          <w:tcPr>
            <w:tcW w:w="1021" w:type="pct"/>
            <w:vMerge w:val="restart"/>
          </w:tcPr>
          <w:p w14:paraId="070E9DE1" w14:textId="3A9E1444" w:rsidR="00975A06" w:rsidRPr="00890DED" w:rsidRDefault="007E4C58" w:rsidP="00890DED">
            <w:pPr>
              <w:jc w:val="center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Benjeddou</w:t>
            </w:r>
            <w:proofErr w:type="spellEnd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et al., 2001</w:t>
            </w:r>
          </w:p>
        </w:tc>
      </w:tr>
      <w:tr w:rsidR="00975A06" w:rsidRPr="00975A06" w14:paraId="06C87CDB" w14:textId="56CB7902" w:rsidTr="00890DED">
        <w:trPr>
          <w:trHeight w:val="113"/>
        </w:trPr>
        <w:tc>
          <w:tcPr>
            <w:tcW w:w="753" w:type="pct"/>
          </w:tcPr>
          <w:p w14:paraId="28DF39F8" w14:textId="3B12046A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ABPV-R</w:t>
            </w:r>
          </w:p>
        </w:tc>
        <w:tc>
          <w:tcPr>
            <w:tcW w:w="2850" w:type="pct"/>
          </w:tcPr>
          <w:p w14:paraId="16BFB3EA" w14:textId="45BF0479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-GCT CCT ATT GCT CGG TTT TTC GGT-3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/>
          </w:tcPr>
          <w:p w14:paraId="5365E329" w14:textId="77777777" w:rsidR="00975A06" w:rsidRPr="00975A06" w:rsidRDefault="00975A06" w:rsidP="00890DED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14:paraId="56EE2B60" w14:textId="77777777" w:rsidR="00975A06" w:rsidRPr="00890DED" w:rsidRDefault="00975A06" w:rsidP="00890DED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975A06" w:rsidRPr="00975A06" w14:paraId="7C8AFD3C" w14:textId="0A02E010" w:rsidTr="00890DED">
        <w:trPr>
          <w:trHeight w:val="113"/>
        </w:trPr>
        <w:tc>
          <w:tcPr>
            <w:tcW w:w="753" w:type="pct"/>
          </w:tcPr>
          <w:p w14:paraId="546A92AF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BQCV-F</w:t>
            </w:r>
          </w:p>
        </w:tc>
        <w:tc>
          <w:tcPr>
            <w:tcW w:w="2850" w:type="pct"/>
          </w:tcPr>
          <w:p w14:paraId="178A1519" w14:textId="29306BF5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-TGG TCA GCT CCC ACT ACC TTA AAC-3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vMerge w:val="restart"/>
          </w:tcPr>
          <w:p w14:paraId="27582B89" w14:textId="64533A2D" w:rsidR="00975A06" w:rsidRPr="00975A06" w:rsidRDefault="00975A06" w:rsidP="00890DED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700</w:t>
            </w:r>
          </w:p>
        </w:tc>
        <w:tc>
          <w:tcPr>
            <w:tcW w:w="1021" w:type="pct"/>
            <w:vMerge w:val="restart"/>
          </w:tcPr>
          <w:p w14:paraId="2B5A85A7" w14:textId="52743C5F" w:rsidR="00975A06" w:rsidRPr="00890DED" w:rsidRDefault="00890DED" w:rsidP="00890DED">
            <w:pPr>
              <w:jc w:val="center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Benjeddou</w:t>
            </w:r>
            <w:proofErr w:type="spellEnd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et al., 2001</w:t>
            </w:r>
          </w:p>
        </w:tc>
      </w:tr>
      <w:tr w:rsidR="00975A06" w:rsidRPr="00975A06" w14:paraId="00920038" w14:textId="4AC62837" w:rsidTr="00890DED">
        <w:trPr>
          <w:trHeight w:val="113"/>
        </w:trPr>
        <w:tc>
          <w:tcPr>
            <w:tcW w:w="753" w:type="pct"/>
          </w:tcPr>
          <w:p w14:paraId="7B21D829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BQCV-R</w:t>
            </w:r>
          </w:p>
        </w:tc>
        <w:tc>
          <w:tcPr>
            <w:tcW w:w="2850" w:type="pct"/>
          </w:tcPr>
          <w:p w14:paraId="5C6E965A" w14:textId="7EF16044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 xml:space="preserve">-GCA ACA AGA </w:t>
            </w:r>
            <w:proofErr w:type="spellStart"/>
            <w:r w:rsidRPr="00975A06">
              <w:rPr>
                <w:rFonts w:ascii="Times" w:hAnsi="Times" w:cs="Times"/>
                <w:sz w:val="20"/>
                <w:szCs w:val="20"/>
              </w:rPr>
              <w:t>AGA</w:t>
            </w:r>
            <w:proofErr w:type="spellEnd"/>
            <w:r w:rsidRPr="00975A06">
              <w:rPr>
                <w:rFonts w:ascii="Times" w:hAnsi="Times" w:cs="Times"/>
                <w:sz w:val="20"/>
                <w:szCs w:val="20"/>
              </w:rPr>
              <w:t xml:space="preserve"> AAC GTA AAC CAC-3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/>
          </w:tcPr>
          <w:p w14:paraId="198AE579" w14:textId="77777777" w:rsidR="00975A06" w:rsidRPr="00975A06" w:rsidRDefault="00975A06" w:rsidP="00890DED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14:paraId="2F01A9F0" w14:textId="77777777" w:rsidR="00975A06" w:rsidRPr="00890DED" w:rsidRDefault="00975A06" w:rsidP="00890DED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975A06" w:rsidRPr="00975A06" w14:paraId="211710C7" w14:textId="6DE11B80" w:rsidTr="00890DED">
        <w:trPr>
          <w:trHeight w:val="113"/>
        </w:trPr>
        <w:tc>
          <w:tcPr>
            <w:tcW w:w="753" w:type="pct"/>
          </w:tcPr>
          <w:p w14:paraId="7C1F0CBA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CWV-F</w:t>
            </w:r>
          </w:p>
        </w:tc>
        <w:tc>
          <w:tcPr>
            <w:tcW w:w="2850" w:type="pct"/>
          </w:tcPr>
          <w:p w14:paraId="4E38381A" w14:textId="4DB7CD6E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-GAT GAA CGT CGA CCT ATT GAA AAA GTT AAT C-3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 w:val="restart"/>
          </w:tcPr>
          <w:p w14:paraId="5DCD1E7A" w14:textId="67EBC5FC" w:rsidR="00975A06" w:rsidRPr="00975A06" w:rsidRDefault="00975A06" w:rsidP="00890DED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403</w:t>
            </w:r>
          </w:p>
        </w:tc>
        <w:tc>
          <w:tcPr>
            <w:tcW w:w="1021" w:type="pct"/>
            <w:vMerge w:val="restart"/>
          </w:tcPr>
          <w:p w14:paraId="6FE8E9FE" w14:textId="4887D351" w:rsidR="00975A06" w:rsidRPr="00890DED" w:rsidRDefault="00890DED" w:rsidP="00890DED">
            <w:pPr>
              <w:jc w:val="center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Thu et al., 2016</w:t>
            </w:r>
          </w:p>
        </w:tc>
      </w:tr>
      <w:tr w:rsidR="00975A06" w:rsidRPr="00975A06" w14:paraId="544B369B" w14:textId="5565B613" w:rsidTr="00890DED">
        <w:trPr>
          <w:trHeight w:val="113"/>
        </w:trPr>
        <w:tc>
          <w:tcPr>
            <w:tcW w:w="753" w:type="pct"/>
          </w:tcPr>
          <w:p w14:paraId="0CEB6FB3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CWV-R</w:t>
            </w:r>
          </w:p>
        </w:tc>
        <w:tc>
          <w:tcPr>
            <w:tcW w:w="2850" w:type="pct"/>
          </w:tcPr>
          <w:p w14:paraId="3F28CB7E" w14:textId="7AC3F883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-GTG GGT TGG CTA TGA GTC ATC ATG TAT ACT G-3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/>
          </w:tcPr>
          <w:p w14:paraId="1B1373B9" w14:textId="77777777" w:rsidR="00975A06" w:rsidRPr="00975A06" w:rsidRDefault="00975A06" w:rsidP="00890DED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14:paraId="3A06DA08" w14:textId="77777777" w:rsidR="00975A06" w:rsidRPr="00890DED" w:rsidRDefault="00975A06" w:rsidP="00890DED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975A06" w:rsidRPr="00975A06" w14:paraId="6B65B8F5" w14:textId="33E74AA9" w:rsidTr="00890DED">
        <w:trPr>
          <w:trHeight w:val="278"/>
        </w:trPr>
        <w:tc>
          <w:tcPr>
            <w:tcW w:w="753" w:type="pct"/>
          </w:tcPr>
          <w:p w14:paraId="647AAD33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DWV-F:</w:t>
            </w:r>
          </w:p>
        </w:tc>
        <w:tc>
          <w:tcPr>
            <w:tcW w:w="2850" w:type="pct"/>
          </w:tcPr>
          <w:p w14:paraId="51537603" w14:textId="6434F65D" w:rsidR="00975A06" w:rsidRPr="00975A06" w:rsidRDefault="00975A06" w:rsidP="00EB3E87">
            <w:pPr>
              <w:pStyle w:val="ListParagraph"/>
              <w:spacing w:line="288" w:lineRule="auto"/>
              <w:ind w:left="0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-TCA TCT TCA ACT CGG CTT TCT ACG-3</w:t>
            </w:r>
            <w:r w:rsidR="00890DED">
              <w:rPr>
                <w:rFonts w:ascii="Times" w:hAnsi="Times" w:cs="Times"/>
                <w:sz w:val="20"/>
                <w:szCs w:val="20"/>
              </w:rPr>
              <w:t>’</w:t>
            </w:r>
          </w:p>
        </w:tc>
        <w:tc>
          <w:tcPr>
            <w:tcW w:w="377" w:type="pct"/>
            <w:vMerge w:val="restart"/>
          </w:tcPr>
          <w:p w14:paraId="09E32DEE" w14:textId="6A2A539B" w:rsidR="00975A06" w:rsidRPr="00975A06" w:rsidRDefault="00890DED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75A06" w:rsidRPr="00975A06">
              <w:rPr>
                <w:rFonts w:ascii="Times" w:hAnsi="Times" w:cs="Times"/>
                <w:sz w:val="20"/>
                <w:szCs w:val="20"/>
              </w:rPr>
              <w:t>479</w:t>
            </w:r>
          </w:p>
        </w:tc>
        <w:tc>
          <w:tcPr>
            <w:tcW w:w="1021" w:type="pct"/>
            <w:vMerge w:val="restart"/>
          </w:tcPr>
          <w:p w14:paraId="4B28027F" w14:textId="1EE3EB2F" w:rsidR="00975A06" w:rsidRPr="00890DED" w:rsidRDefault="007E4C58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Yue &amp; </w:t>
            </w:r>
            <w:proofErr w:type="spellStart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Genersch</w:t>
            </w:r>
            <w:proofErr w:type="spellEnd"/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, 2005</w:t>
            </w:r>
          </w:p>
        </w:tc>
      </w:tr>
      <w:tr w:rsidR="00975A06" w:rsidRPr="00975A06" w14:paraId="3236597D" w14:textId="58F49874" w:rsidTr="00890DED">
        <w:trPr>
          <w:trHeight w:val="386"/>
        </w:trPr>
        <w:tc>
          <w:tcPr>
            <w:tcW w:w="753" w:type="pct"/>
          </w:tcPr>
          <w:p w14:paraId="3875835E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DWV-R:</w:t>
            </w:r>
          </w:p>
        </w:tc>
        <w:tc>
          <w:tcPr>
            <w:tcW w:w="2850" w:type="pct"/>
          </w:tcPr>
          <w:p w14:paraId="0F3D8A70" w14:textId="2876DF62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 CGA ATC ATT TTC ACG GGA CG-3</w:t>
            </w:r>
            <w:r w:rsidR="00890DED">
              <w:rPr>
                <w:rFonts w:ascii="Times" w:hAnsi="Times" w:cs="Times"/>
                <w:sz w:val="20"/>
                <w:szCs w:val="20"/>
              </w:rPr>
              <w:t>’</w:t>
            </w:r>
          </w:p>
        </w:tc>
        <w:tc>
          <w:tcPr>
            <w:tcW w:w="377" w:type="pct"/>
            <w:vMerge/>
          </w:tcPr>
          <w:p w14:paraId="46F4A3A2" w14:textId="77777777" w:rsidR="00975A06" w:rsidRPr="00975A06" w:rsidRDefault="00975A06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14:paraId="3A897D92" w14:textId="77777777" w:rsidR="00975A06" w:rsidRPr="00890DED" w:rsidRDefault="00975A06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975A06" w:rsidRPr="00975A06" w14:paraId="01AE4E10" w14:textId="47A3254D" w:rsidTr="00890DED">
        <w:trPr>
          <w:trHeight w:val="358"/>
        </w:trPr>
        <w:tc>
          <w:tcPr>
            <w:tcW w:w="753" w:type="pct"/>
          </w:tcPr>
          <w:p w14:paraId="6A13EFDE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KBV-F</w:t>
            </w:r>
          </w:p>
        </w:tc>
        <w:tc>
          <w:tcPr>
            <w:tcW w:w="2850" w:type="pct"/>
          </w:tcPr>
          <w:p w14:paraId="19E6013A" w14:textId="7963DF2D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-GAT GAA CGT CGA CCT ATT GA-3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 w:val="restart"/>
          </w:tcPr>
          <w:p w14:paraId="27C9BEED" w14:textId="47E549C4" w:rsidR="00975A06" w:rsidRPr="00975A06" w:rsidRDefault="00975A06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415</w:t>
            </w:r>
          </w:p>
        </w:tc>
        <w:tc>
          <w:tcPr>
            <w:tcW w:w="1021" w:type="pct"/>
            <w:vMerge w:val="restart"/>
          </w:tcPr>
          <w:p w14:paraId="58DADDF4" w14:textId="21AA1719" w:rsidR="00975A06" w:rsidRPr="00890DED" w:rsidRDefault="00890DED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Stoltz et al., 1995</w:t>
            </w:r>
          </w:p>
        </w:tc>
      </w:tr>
      <w:tr w:rsidR="00975A06" w:rsidRPr="00975A06" w14:paraId="13E64630" w14:textId="5F81B174" w:rsidTr="00890DED">
        <w:trPr>
          <w:trHeight w:val="358"/>
        </w:trPr>
        <w:tc>
          <w:tcPr>
            <w:tcW w:w="753" w:type="pct"/>
          </w:tcPr>
          <w:p w14:paraId="16F565A0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KBV-R</w:t>
            </w:r>
          </w:p>
        </w:tc>
        <w:tc>
          <w:tcPr>
            <w:tcW w:w="2850" w:type="pct"/>
          </w:tcPr>
          <w:p w14:paraId="5F486C3D" w14:textId="0638FF25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-TGT GGG TGG CTA TGA GTC A-3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/>
          </w:tcPr>
          <w:p w14:paraId="786D4B14" w14:textId="77777777" w:rsidR="00975A06" w:rsidRPr="00975A06" w:rsidRDefault="00975A06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14:paraId="0D81AADA" w14:textId="77777777" w:rsidR="00975A06" w:rsidRPr="00890DED" w:rsidRDefault="00975A06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975A06" w:rsidRPr="00975A06" w14:paraId="7EBEDE13" w14:textId="42841C66" w:rsidTr="00890DED">
        <w:trPr>
          <w:trHeight w:val="358"/>
        </w:trPr>
        <w:tc>
          <w:tcPr>
            <w:tcW w:w="753" w:type="pct"/>
          </w:tcPr>
          <w:p w14:paraId="041F6619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IAPV-F</w:t>
            </w:r>
          </w:p>
        </w:tc>
        <w:tc>
          <w:tcPr>
            <w:tcW w:w="2850" w:type="pct"/>
          </w:tcPr>
          <w:p w14:paraId="439C8B93" w14:textId="44B52799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-GAT TTG AGA GAT GTA TTT CCT TCT GCG G-3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 w:val="restart"/>
          </w:tcPr>
          <w:p w14:paraId="67A34C9C" w14:textId="424BADC8" w:rsidR="00975A06" w:rsidRPr="00975A06" w:rsidRDefault="00975A06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725</w:t>
            </w:r>
          </w:p>
        </w:tc>
        <w:tc>
          <w:tcPr>
            <w:tcW w:w="1021" w:type="pct"/>
            <w:vMerge w:val="restart"/>
          </w:tcPr>
          <w:p w14:paraId="61425F87" w14:textId="41CFEFCC" w:rsidR="00975A06" w:rsidRPr="00890DED" w:rsidRDefault="00890DED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890DED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Thu et al., 2016</w:t>
            </w:r>
          </w:p>
        </w:tc>
      </w:tr>
      <w:tr w:rsidR="00975A06" w:rsidRPr="00975A06" w14:paraId="480E66AD" w14:textId="4A579C27" w:rsidTr="00890DED">
        <w:trPr>
          <w:trHeight w:val="358"/>
        </w:trPr>
        <w:tc>
          <w:tcPr>
            <w:tcW w:w="753" w:type="pct"/>
          </w:tcPr>
          <w:p w14:paraId="7B5A8432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IAPV-R</w:t>
            </w:r>
          </w:p>
        </w:tc>
        <w:tc>
          <w:tcPr>
            <w:tcW w:w="2850" w:type="pct"/>
          </w:tcPr>
          <w:p w14:paraId="5A8E77C3" w14:textId="0D7F4400" w:rsidR="00975A06" w:rsidRPr="00975A06" w:rsidRDefault="00975A06" w:rsidP="00EB3E87">
            <w:pPr>
              <w:spacing w:after="0" w:line="288" w:lineRule="auto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</w:rPr>
              <w:t>-ACA CTT GCG TTG GTC CTG AAT GTT AAT GG-3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/>
          </w:tcPr>
          <w:p w14:paraId="26954896" w14:textId="77777777" w:rsidR="00975A06" w:rsidRPr="00975A06" w:rsidRDefault="00975A06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14:paraId="1E0E6367" w14:textId="77777777" w:rsidR="00975A06" w:rsidRPr="00890DED" w:rsidRDefault="00975A06" w:rsidP="00890DED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975A06" w:rsidRPr="00975A06" w14:paraId="79BAE173" w14:textId="29083B17" w:rsidTr="00890DED">
        <w:trPr>
          <w:trHeight w:val="423"/>
        </w:trPr>
        <w:tc>
          <w:tcPr>
            <w:tcW w:w="753" w:type="pct"/>
          </w:tcPr>
          <w:p w14:paraId="6B85DFEC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SBV-F</w:t>
            </w:r>
          </w:p>
        </w:tc>
        <w:tc>
          <w:tcPr>
            <w:tcW w:w="2850" w:type="pct"/>
          </w:tcPr>
          <w:p w14:paraId="09EC6237" w14:textId="7C2AC739" w:rsidR="00975A06" w:rsidRPr="00975A06" w:rsidRDefault="00975A06" w:rsidP="00EB3E87">
            <w:pPr>
              <w:pStyle w:val="ListParagraph"/>
              <w:spacing w:line="288" w:lineRule="auto"/>
              <w:ind w:left="0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  <w:lang w:val="it-IT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  <w:lang w:val="it-IT"/>
              </w:rPr>
              <w:t>- ACC AAC GAT TCC TCA GTA G-3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 w:val="restart"/>
          </w:tcPr>
          <w:p w14:paraId="4C8086A9" w14:textId="6C56B9BB" w:rsidR="00975A06" w:rsidRPr="00975A06" w:rsidRDefault="00975A06" w:rsidP="00890DED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75A06">
              <w:rPr>
                <w:rFonts w:ascii="Times" w:eastAsia="Times New Roman" w:hAnsi="Times" w:cs="Times"/>
                <w:sz w:val="20"/>
                <w:szCs w:val="20"/>
              </w:rPr>
              <w:t>487</w:t>
            </w:r>
          </w:p>
        </w:tc>
        <w:tc>
          <w:tcPr>
            <w:tcW w:w="1021" w:type="pct"/>
            <w:vMerge w:val="restart"/>
          </w:tcPr>
          <w:p w14:paraId="3BCF9E93" w14:textId="64EC733C" w:rsidR="00975A06" w:rsidRPr="00890DED" w:rsidRDefault="007E4C58" w:rsidP="00890DED">
            <w:pPr>
              <w:ind w:firstLine="250"/>
              <w:jc w:val="center"/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</w:pPr>
            <w:proofErr w:type="spellStart"/>
            <w:r w:rsidRPr="00890DED">
              <w:rPr>
                <w:rFonts w:ascii="Times" w:eastAsia="Times New Roman" w:hAnsi="Times" w:cs="Times"/>
                <w:i/>
                <w:iCs/>
                <w:color w:val="000000" w:themeColor="text1"/>
                <w:sz w:val="20"/>
                <w:szCs w:val="20"/>
              </w:rPr>
              <w:t>Grabensteiner</w:t>
            </w:r>
            <w:proofErr w:type="spellEnd"/>
            <w:r w:rsidRPr="00890DED">
              <w:rPr>
                <w:rFonts w:ascii="Times" w:eastAsia="Times New Roman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et al., 2001</w:t>
            </w:r>
          </w:p>
        </w:tc>
      </w:tr>
      <w:tr w:rsidR="00975A06" w:rsidRPr="00975A06" w14:paraId="6A02AC32" w14:textId="2703303D" w:rsidTr="00890DED">
        <w:trPr>
          <w:trHeight w:val="390"/>
        </w:trPr>
        <w:tc>
          <w:tcPr>
            <w:tcW w:w="753" w:type="pct"/>
          </w:tcPr>
          <w:p w14:paraId="1167F3BD" w14:textId="77777777" w:rsidR="00975A06" w:rsidRPr="00975A06" w:rsidRDefault="00975A06" w:rsidP="00975A06">
            <w:pPr>
              <w:pStyle w:val="ListParagraph"/>
              <w:spacing w:line="288" w:lineRule="auto"/>
              <w:ind w:left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</w:rPr>
              <w:t>SBV-R</w:t>
            </w:r>
          </w:p>
        </w:tc>
        <w:tc>
          <w:tcPr>
            <w:tcW w:w="2850" w:type="pct"/>
          </w:tcPr>
          <w:p w14:paraId="5BFE4FFB" w14:textId="2C5E38C9" w:rsidR="00975A06" w:rsidRPr="00975A06" w:rsidRDefault="00975A06" w:rsidP="00EB3E87">
            <w:pPr>
              <w:pStyle w:val="ListParagraph"/>
              <w:spacing w:line="288" w:lineRule="auto"/>
              <w:ind w:left="0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975A06">
              <w:rPr>
                <w:rFonts w:ascii="Times" w:hAnsi="Times" w:cs="Times"/>
                <w:sz w:val="20"/>
                <w:szCs w:val="20"/>
                <w:lang w:val="it-IT"/>
              </w:rPr>
              <w:t>5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  <w:r w:rsidRPr="00975A06">
              <w:rPr>
                <w:rFonts w:ascii="Times" w:hAnsi="Times" w:cs="Times"/>
                <w:sz w:val="20"/>
                <w:szCs w:val="20"/>
                <w:lang w:val="it-IT"/>
              </w:rPr>
              <w:t>- CCT TGG AAC TCT GCT GTG TA-3</w:t>
            </w:r>
            <w:r w:rsidR="00890DED">
              <w:rPr>
                <w:rFonts w:ascii="Times" w:hAnsi="Times" w:cs="Times"/>
                <w:sz w:val="20"/>
                <w:szCs w:val="20"/>
                <w:lang w:val="it-IT"/>
              </w:rPr>
              <w:t>’</w:t>
            </w:r>
          </w:p>
        </w:tc>
        <w:tc>
          <w:tcPr>
            <w:tcW w:w="377" w:type="pct"/>
            <w:vMerge/>
          </w:tcPr>
          <w:p w14:paraId="464F4479" w14:textId="77777777" w:rsidR="00975A06" w:rsidRPr="00975A06" w:rsidRDefault="00975A06" w:rsidP="00EB3E87">
            <w:pPr>
              <w:pStyle w:val="ListParagraph"/>
              <w:spacing w:line="288" w:lineRule="auto"/>
              <w:ind w:left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14:paraId="405E6EE6" w14:textId="77777777" w:rsidR="00975A06" w:rsidRPr="00975A06" w:rsidRDefault="00975A06" w:rsidP="00EB3E87">
            <w:pPr>
              <w:pStyle w:val="ListParagraph"/>
              <w:spacing w:line="288" w:lineRule="auto"/>
              <w:ind w:left="0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0394FCFE" w14:textId="1C8E7A08" w:rsidR="00403948" w:rsidRPr="00975A06" w:rsidRDefault="00403948" w:rsidP="009F342C">
      <w:pPr>
        <w:pStyle w:val="EndNoteBibliography"/>
        <w:ind w:left="720" w:hanging="720"/>
      </w:pPr>
    </w:p>
    <w:sectPr w:rsidR="00403948" w:rsidRPr="00975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05"/>
    <w:rsid w:val="00015675"/>
    <w:rsid w:val="00022058"/>
    <w:rsid w:val="00131577"/>
    <w:rsid w:val="002A10ED"/>
    <w:rsid w:val="002E39FE"/>
    <w:rsid w:val="00373940"/>
    <w:rsid w:val="003A0045"/>
    <w:rsid w:val="00403948"/>
    <w:rsid w:val="00411275"/>
    <w:rsid w:val="004964CB"/>
    <w:rsid w:val="004C20DB"/>
    <w:rsid w:val="00527924"/>
    <w:rsid w:val="00531F56"/>
    <w:rsid w:val="005365FC"/>
    <w:rsid w:val="0059795E"/>
    <w:rsid w:val="006B047B"/>
    <w:rsid w:val="007512BF"/>
    <w:rsid w:val="00760442"/>
    <w:rsid w:val="007B2794"/>
    <w:rsid w:val="007E4C58"/>
    <w:rsid w:val="008336D3"/>
    <w:rsid w:val="0087461F"/>
    <w:rsid w:val="00890DED"/>
    <w:rsid w:val="00903515"/>
    <w:rsid w:val="00975A06"/>
    <w:rsid w:val="009F342C"/>
    <w:rsid w:val="00A073E0"/>
    <w:rsid w:val="00A87505"/>
    <w:rsid w:val="00AB32AB"/>
    <w:rsid w:val="00AB5FB6"/>
    <w:rsid w:val="00CD4499"/>
    <w:rsid w:val="00D57869"/>
    <w:rsid w:val="00DE6285"/>
    <w:rsid w:val="00ED035D"/>
    <w:rsid w:val="00E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88689"/>
  <w15:chartTrackingRefBased/>
  <w15:docId w15:val="{29764222-645A-467F-A3E7-F51B2922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4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05"/>
    <w:pPr>
      <w:spacing w:after="160" w:line="259" w:lineRule="auto"/>
      <w:ind w:firstLine="0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7505"/>
    <w:pPr>
      <w:spacing w:after="0" w:line="240" w:lineRule="auto"/>
      <w:ind w:left="720" w:right="14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A8750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87505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table" w:styleId="TableGridLight">
    <w:name w:val="Grid Table Light"/>
    <w:basedOn w:val="TableNormal"/>
    <w:uiPriority w:val="40"/>
    <w:rsid w:val="00975A0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">
    <w:name w:val="EndNote Bibliography"/>
    <w:basedOn w:val="Normal"/>
    <w:link w:val="EndNoteBibliographyChar"/>
    <w:rsid w:val="00975A06"/>
    <w:pPr>
      <w:spacing w:line="240" w:lineRule="auto"/>
    </w:pPr>
    <w:rPr>
      <w:rFonts w:ascii="Calibri" w:hAnsi="Calibri" w:cs="Calibri"/>
      <w:noProof/>
      <w:kern w:val="2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975A0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205</Words>
  <Characters>875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duong</dc:creator>
  <cp:keywords/>
  <dc:description/>
  <cp:lastModifiedBy>Lành Phạm</cp:lastModifiedBy>
  <cp:revision>12</cp:revision>
  <dcterms:created xsi:type="dcterms:W3CDTF">2023-08-02T08:11:00Z</dcterms:created>
  <dcterms:modified xsi:type="dcterms:W3CDTF">2023-11-07T11:12:00Z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9b211f6bc206a4fb2ebb19b294e1febd70e2a5b26c2e1466d004683d4b7e753d</vt:lpwstr>
  </property>
</Properties>
</file>