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32E13" w14:textId="5B8417A7" w:rsidR="00AA0248" w:rsidRPr="00CF7607" w:rsidRDefault="0086590F" w:rsidP="0086590F">
      <w:pPr>
        <w:pStyle w:val="ListParagraph"/>
        <w:numPr>
          <w:ilvl w:val="0"/>
          <w:numId w:val="2"/>
        </w:numPr>
        <w:rPr>
          <w:rFonts w:ascii="Times New Roman" w:hAnsi="Times New Roman" w:cs="Times New Roman"/>
          <w:b/>
          <w:bCs/>
          <w:sz w:val="24"/>
          <w:szCs w:val="24"/>
        </w:rPr>
      </w:pPr>
      <w:r w:rsidRPr="00CF7607">
        <w:rPr>
          <w:rFonts w:ascii="Times New Roman" w:hAnsi="Times New Roman" w:cs="Times New Roman"/>
          <w:b/>
          <w:bCs/>
          <w:sz w:val="24"/>
          <w:szCs w:val="24"/>
        </w:rPr>
        <w:t>Rationale for conducting the systematic review</w:t>
      </w:r>
    </w:p>
    <w:p w14:paraId="2285F4B5" w14:textId="065029D4" w:rsidR="00703E7B" w:rsidRDefault="009108C6" w:rsidP="00C24F4D">
      <w:pPr>
        <w:pStyle w:val="ListParagraph"/>
        <w:rPr>
          <w:rFonts w:ascii="Times New Roman" w:hAnsi="Times New Roman" w:cs="Times New Roman"/>
          <w:sz w:val="24"/>
          <w:szCs w:val="24"/>
        </w:rPr>
      </w:pPr>
      <w:r>
        <w:rPr>
          <w:rFonts w:ascii="Times New Roman" w:hAnsi="Times New Roman" w:cs="Times New Roman"/>
          <w:sz w:val="24"/>
          <w:szCs w:val="24"/>
        </w:rPr>
        <w:t>Leprosy is a complicated bacterial infection which manifest in a variety of ways depending on immunological respons</w:t>
      </w:r>
      <w:r w:rsidR="006241AC">
        <w:rPr>
          <w:rFonts w:ascii="Times New Roman" w:hAnsi="Times New Roman" w:cs="Times New Roman"/>
          <w:sz w:val="24"/>
          <w:szCs w:val="24"/>
        </w:rPr>
        <w:t>e</w:t>
      </w:r>
      <w:r w:rsidR="006241AC">
        <w:rPr>
          <w:rFonts w:ascii="Times New Roman" w:hAnsi="Times New Roman" w:cs="Times New Roman"/>
          <w:sz w:val="24"/>
          <w:szCs w:val="24"/>
        </w:rPr>
        <w:fldChar w:fldCharType="begin" w:fldLock="1"/>
      </w:r>
      <w:r w:rsidR="006241AC">
        <w:rPr>
          <w:rFonts w:ascii="Times New Roman" w:hAnsi="Times New Roman" w:cs="Times New Roman"/>
          <w:sz w:val="24"/>
          <w:szCs w:val="24"/>
        </w:rPr>
        <w:instrText>ADDIN CSL_CITATION {"citationItems":[{"id":"ITEM-1","itemData":{"DOI":"10.33590/emjdermatol/10312914","abstract":"Leprosy is a model disease for understanding human immune responses underlying diseases caused by intracellular pathogens, as well as providing valuable insights into autoimmune disorders and cancer. This review addresses the unresponsiveness/anergy of host T cells to the causative pathogen Mycobacterium leprae and describes both the adaptive and innate immune responses observed during the clinical course of the disease. Leprosy presents as a clinicopathological spectrum, with divergence in antigen-specific T cell responses and antibodies in patients at the two ends of the spectrum. Tuberculoid leprosy at one end presents with localised hypopigmented paucibacillary skin patches, and shows effective antigen-specific T cell responses and low antibodies. In contrast, lepromatous leprosy at the other end presents with generalised lesions with bacillary proliferation, abundant antibodies, and T cell unresponsiveness/anergy to M. leprae. Recent advances that may explain clinical divergence and T cell unresponsiveness/anergy associated with lepromatous leprosy include: cytokine dysregulation, T helper (Th)1, Th2 paradigm, Th17 cells, FOXP3+ regulatory T cells, and pathogen-induced accessory cell subversion.","author":[{"dropping-particle":"","family":"Nath","given":"Indira","non-dropping-particle":"","parse-names":false,"suffix":""}],"container-title":"EMJ Dermatology","id":"ITEM-1","issue":"November","issued":{"date-parts":[["2016"]]},"page":"95-101","title":"Immunopathogenesis of Leprosy: A Model for T Cell Anergy","type":"article-journal"},"uris":["http://www.mendeley.com/documents/?uuid=fbc267f4-c791-462d-ab38-dca128182dfa"]}],"mendeley":{"formattedCitation":"&lt;sup&gt;1&lt;/sup&gt;","plainTextFormattedCitation":"1","previouslyFormattedCitation":"&lt;sup&gt;1&lt;/sup&gt;"},"properties":{"noteIndex":0},"schema":"https://github.com/citation-style-language/schema/raw/master/csl-citation.json"}</w:instrText>
      </w:r>
      <w:r w:rsidR="006241AC">
        <w:rPr>
          <w:rFonts w:ascii="Times New Roman" w:hAnsi="Times New Roman" w:cs="Times New Roman"/>
          <w:sz w:val="24"/>
          <w:szCs w:val="24"/>
        </w:rPr>
        <w:fldChar w:fldCharType="separate"/>
      </w:r>
      <w:r w:rsidR="006241AC" w:rsidRPr="006241AC">
        <w:rPr>
          <w:rFonts w:ascii="Times New Roman" w:hAnsi="Times New Roman" w:cs="Times New Roman"/>
          <w:noProof/>
          <w:sz w:val="24"/>
          <w:szCs w:val="24"/>
          <w:vertAlign w:val="superscript"/>
        </w:rPr>
        <w:t>1</w:t>
      </w:r>
      <w:r w:rsidR="006241AC">
        <w:rPr>
          <w:rFonts w:ascii="Times New Roman" w:hAnsi="Times New Roman" w:cs="Times New Roman"/>
          <w:sz w:val="24"/>
          <w:szCs w:val="24"/>
        </w:rPr>
        <w:fldChar w:fldCharType="end"/>
      </w:r>
      <w:r>
        <w:rPr>
          <w:rFonts w:ascii="Times New Roman" w:hAnsi="Times New Roman" w:cs="Times New Roman"/>
          <w:sz w:val="24"/>
          <w:szCs w:val="24"/>
        </w:rPr>
        <w:t>. Leprosy is linked to CXCL10 expression and investigating CXCL10 role in leprosy’s immunopathogenesis could help diagnosing leprosy apart form using clinical diagnosis criteria</w:t>
      </w:r>
      <w:r w:rsidR="00F4472D">
        <w:rPr>
          <w:rFonts w:ascii="Times New Roman" w:hAnsi="Times New Roman" w:cs="Times New Roman"/>
          <w:sz w:val="24"/>
          <w:szCs w:val="24"/>
        </w:rPr>
        <w:fldChar w:fldCharType="begin" w:fldLock="1"/>
      </w:r>
      <w:r w:rsidR="00F4472D">
        <w:rPr>
          <w:rFonts w:ascii="Times New Roman" w:hAnsi="Times New Roman" w:cs="Times New Roman"/>
          <w:sz w:val="24"/>
          <w:szCs w:val="24"/>
        </w:rPr>
        <w:instrText>ADDIN CSL_CITATION {"citationItems":[{"id":"ITEM-1","itemData":{"DOI":"10.3389/fimmu.2017.01635","ISSN":"16643224","abstract":"Leprosy is a chronic infectious disease whose evolution involves complex immune mechanisms of the host that influence the clinical presentation of the disease. For many years, the main interpretation of the host defense response was based on characterization of the established immune paradigm between T helper (Th) 1 and Th2 lymphocytes. However, with advances in the knowledge of immunology, new approaches have emerged along with the development of new immunological pathways that have changed the interpretation of the long-established paradigm of the polar forms of the disease, especially with the identification of new subtypes of T lymphocytes such as Th9, Th17, Th22, and Tregs. Thus, this review discusses the role of these new subtypes of T helper lymphocytes and how the development of the immune response of these cells modifies the pattern of the Th1/Th2 response in the immunopathogenesis of leprosy.","author":[{"dropping-particle":"","family":"Sousa","given":"Jorge Rodrigues","non-dropping-particle":"de","parse-names":false,"suffix":""},{"dropping-particle":"","family":"Sotto","given":"Mirian Nacagami","non-dropping-particle":"","parse-names":false,"suffix":""},{"dropping-particle":"","family":"Quaresma","given":"Juarez Antonio Simões","non-dropping-particle":"","parse-names":false,"suffix":""}],"container-title":"Frontiers in Immunology","id":"ITEM-1","issue":"NOV","issued":{"date-parts":[["2017"]]},"page":"18-21","title":"Leprosy as a complex infection: Breakdown of the Th1 and Th2 immune paradigm in the immunopathogenesis of the disease","type":"article-journal","volume":"8"},"uris":["http://www.mendeley.com/documents/?uuid=b1cdef39-9f45-43b3-a65d-a93d04adad45"]},{"id":"ITEM-2","itemData":{"DOI":"10.3389/fimmu.2021.662307","ISSN":"16643224","PMID":"34354699","abstract":"The treatment of multibacillary cases of leprosy with multidrug therapy (MDT) comprises 12 doses of a combination of rifampicin, dapsone and clofazimine. Previous studies have described the immunological phenotypic pattern in skin lesions in multibacillary patients. Here, we evaluated the effect of MDT on skin cell phenotype and on the Mycobacterium leprae-specific immune response. An analysis of skin cell phenotype demonstrated a significant decrease in MRS1 (SR-A), CXCL10 (IP-10) and IFNG (IFN-γ) gene and protein expression after MDT release. Patients were randomized according to whether they experienced a reduction in bacillary load after MDT. A reduction in CXCL10 (IP-10) in sera was associated with the absence of a reduction in the bacillary load at release. Although IFN-γ production in response to M. leprae was not affected by MDT, CXCL10 (IP-10) levels in response to M. leprae increased in cells from patients who experienced a reduction in bacillary load after treatment. Together, our results suggest that CXCL10 (IP-10) may be a good marker for monitoring treatment efficacy in multibacillary patients.","author":[{"dropping-particle":"","family":"Ferreira","given":"Helen","non-dropping-particle":"","parse-names":false,"suffix":""},{"dropping-particle":"","family":"Mendes","given":"Mayara Abud","non-dropping-particle":"","parse-names":false,"suffix":""},{"dropping-particle":"","family":"Mattos Barbosa","given":"Mayara Garcia","non-dropping-particle":"de","parse-names":false,"suffix":""},{"dropping-particle":"","family":"Oliveira","given":"Eliane Barbosa","non-dropping-particle":"de","parse-names":false,"suffix":""},{"dropping-particle":"","family":"Sales","given":"Anna Maria","non-dropping-particle":"","parse-names":false,"suffix":""},{"dropping-particle":"","family":"Moraes","given":"Milton Ozório","non-dropping-particle":"","parse-names":false,"suffix":""},{"dropping-particle":"","family":"Sarno","given":"Euzenir Nunes","non-dropping-particle":"","parse-names":false,"suffix":""},{"dropping-particle":"","family":"Pinheiro","given":"Roberta Olmo","non-dropping-particle":"","parse-names":false,"suffix":""}],"container-title":"Frontiers in Immunology","id":"ITEM-2","issue":"July","issued":{"date-parts":[["2021"]]},"page":"1-10","title":"Potential Role of CXCL10 in Monitoring Response to Treatment in Leprosy Patients","type":"article-journal","volume":"12"},"uris":["http://www.mendeley.com/documents/?uuid=ba0c606e-a678-4ddc-aead-b6f781852dc9"]},{"id":"ITEM-3","itemData":{"author":[{"dropping-particle":"","family":"Hadi","given":"Samsul","non-dropping-particle":"","parse-names":false,"suffix":""},{"dropping-particle":"","family":"Khairunnisa","given":"Amalia","non-dropping-particle":"","parse-names":false,"suffix":""},{"dropping-particle":"","family":"Khalifah","given":"Sefa Nur","non-dropping-particle":"","parse-names":false,"suffix":""},{"dropping-particle":"","family":"Oktaviani","given":"Sintya","non-dropping-particle":"","parse-names":false,"suffix":""},{"dropping-particle":"","family":"Sari","given":"Sri Oktaviana","non-dropping-particle":"","parse-names":false,"suffix":""},{"dropping-particle":"","family":"Nur","given":"Umi","non-dropping-particle":"","parse-names":false,"suffix":""}],"id":"ITEM-3","issue":"2","issued":{"date-parts":[["2021"]]},"page":"157-163","title":"Skrining Inhibitor NF- κB Combretum indicum dengan Metode Docking","type":"article-journal","volume":"18"},"uris":["http://www.mendeley.com/documents/?uuid=e90fbbb6-eb6d-4787-8d73-71ac7ec8f76e"]},{"id":"ITEM-4","itemData":{"DOI":"10.4103/0971-5916.174554","ISSN":"09715916","PMID":"26831417","abstract":"Background &amp; objectives: Leprosy type 1 reactions (T1R) are acute episodes of immune exacerbation that are a major cause of inflammation and nerve damage. T1R are diagnosed clinically and supported by histopathology. No laboratory marker is currently available that can accurately predict a T1R. Increased plasma and tissue expression of inducible nitric oxide synthase (i-NOS) and chemokine CXCL10 have been demonstrated in T1R. We studied the gene expression and immunoexpression of i-NOS, CXCL10 and its receptor CXCR3 in clinically and histopathologically confirmed patients with T1R and compared with non-reactional leprosy patients to understand which biomarker has better potential in distinguishing reaction from non-reaction. Methods: Gene expression of i-NOS, CXCL10 and CXCR3 was studied in 30 skin biopsies obtained from patients with borderline tuberculoid (BT), mid-borderline (BB) and borderline lepromatous (BL) leprosy with and without T1R by real-time PCR. Further validation was done by immunhistochemical expression on 60 borderline leprosy biopsies with and without T1R. Results: Of the 120 patients histopathological evaluation confirmed T1R in 65 (54.2%) patients. CXCR3 gene expression was significantly (P&lt;0.05) higher in BT- and BB-T1R patients compared to those without T1R. The CXCL10 gene expression was significantly higher (P&lt;0.05) in BB leprosy with T1R but the difference was not significant in patients with BT with or without T1R. Immunoexpression for CXCR3 was significant in both BB-T1R and BB (P&lt;0.001) and BT and BT-T1R (P&lt;0.001). Immunoexpression of CXL10 was significant only in differentiating BB from BB-T1R leprosy (P&lt;0.01) and not the BT cases. i-NOS immunoexpression was not useful in differentiating reactional from non-reactional leprosy. Interpretation &amp; conclusions: Both CXCL10 and CXCR3 appeared to be useful in differentiating T1R reaction in borderline leprosy while CXCR3 alone differentiated BT from BT-T1R. CXCR3 may be a potentially useful immunohistochemical marker to predict an impending T1R.","author":[{"dropping-particle":"","family":"Sharma","given":"Ira","non-dropping-particle":"","parse-names":false,"suffix":""},{"dropping-particle":"","family":"Singh","given":"Avninder","non-dropping-particle":"","parse-names":false,"suffix":""},{"dropping-particle":"","family":"Mishra","given":"Ashwani K.","non-dropping-particle":"","parse-names":false,"suffix":""},{"dropping-particle":"","family":"Singh","given":"L. C.","non-dropping-particle":"","parse-names":false,"suffix":""},{"dropping-particle":"","family":"Ramesh","given":"V.","non-dropping-particle":"","parse-names":false,"suffix":""},{"dropping-particle":"","family":"Saxena","given":"Sunita","non-dropping-particle":"","parse-names":false,"suffix":""}],"container-title":"Indian Journal of Medical Research","id":"ITEM-4","issue":"6","issued":{"date-parts":[["2015"]]},"page":"681-689","title":"Is CXCL10/CXCR3 axis overexpression a better indicator of leprosy type 1 reaction than inducible nitric oxide synthase?","type":"article-journal","volume":"142"},"uris":["http://www.mendeley.com/documents/?uuid=00ea73a0-deb6-4531-bdd6-8280f49b01ef"]},{"id":"ITEM-5","itemData":{"DOI":"10.1016/j.diagmicrobio.2017.01.002","ISSN":"18790070","PMID":"28126361","abstract":"To advance toward a whole blood assay (WBA)-based test capable of facilitating the diagnosis of paucibacillary (PB) leprosy, we evaluated a prototype in-tube WBA using combinations of Mycobacterium leprae antigens. Blood was collected from newly diagnosed untreated PB (n = 38), multibacillary (MB) (n = 30), healthy household contacts (HHC) of MB (n = 27), and endemic controls (n = 61) residing in Goiânia and Fortaleza, Brazil. Blood was incubated with M. leprae cell sonicate, recombinant proteins (46f + LID-1; ML0276 + LID-1), or controls (phosphate-buffered saline, phytohemagglutinin, M. tuberculosis purified protein derivative). Antigen-specific IFNγ production was observed in 71–84% and 55% of PB and HHC, respectively. Antigen-specific CXCL10 levels were similarly assessed to determine if, unlike IFNγ, CXCL10 could differentiate PB from HHC with repeated exposure/asymptomatic M. leprae infection. The CXCL10 levels induced in response to M. leprae antigens could not, however, differentiate PB from HHC. Despite these limitations, the WBAs reported here still represent important tools for assessing M. leprae infection rates and evaluating the impact of control measures.","author":[{"dropping-particle":"","family":"Hungria","given":"Emerith Mayra","non-dropping-particle":"","parse-names":false,"suffix":""},{"dropping-particle":"","family":"Freitas","given":"Aline Araújo","non-dropping-particle":"","parse-names":false,"suffix":""},{"dropping-particle":"","family":"Pontes","given":"Maria Araci Andrade","non-dropping-particle":"","parse-names":false,"suffix":""},{"dropping-particle":"","family":"Gonçalves","given":"Heitor Sá","non-dropping-particle":"","parse-names":false,"suffix":""},{"dropping-particle":"","family":"Sousa","given":"Ana Lúcia Osório Maroccolo","non-dropping-particle":"","parse-names":false,"suffix":""},{"dropping-particle":"","family":"Costa","given":"Maurício Barcelos","non-dropping-particle":"","parse-names":false,"suffix":""},{"dropping-particle":"","family":"Castilho","given":"Mirian Lane Oliveira Rodrigues","non-dropping-particle":"","parse-names":false,"suffix":""},{"dropping-particle":"","family":"Duthie","given":"Malcolm S.","non-dropping-particle":"","parse-names":false,"suffix":""},{"dropping-particle":"","family":"Stefani","given":"Mariane Martins Araújo","non-dropping-particle":"","parse-names":false,"suffix":""}],"container-title":"Diagnostic Microbiology and Infectious Disease","id":"ITEM-5","issue":"4","issued":{"date-parts":[["2017"]]},"page":"328-334","title":"Antigen-specific secretion of IFNγ and CXCL10 in whole blood assay detects Mycobacterium leprae infection but does not discriminate asymptomatic infection from symptomatic leprosy","type":"article-journal","volume":"87"},"uris":["http://www.mendeley.com/documents/?uuid=25c6c8b0-cdfb-4bec-90ad-982be3178a2c"]}],"mendeley":{"formattedCitation":"&lt;sup&gt;2–6&lt;/sup&gt;","plainTextFormattedCitation":"2–6","previouslyFormattedCitation":"&lt;sup&gt;2–6&lt;/sup&gt;"},"properties":{"noteIndex":0},"schema":"https://github.com/citation-style-language/schema/raw/master/csl-citation.json"}</w:instrText>
      </w:r>
      <w:r w:rsidR="00F4472D">
        <w:rPr>
          <w:rFonts w:ascii="Times New Roman" w:hAnsi="Times New Roman" w:cs="Times New Roman"/>
          <w:sz w:val="24"/>
          <w:szCs w:val="24"/>
        </w:rPr>
        <w:fldChar w:fldCharType="separate"/>
      </w:r>
      <w:r w:rsidR="00F4472D" w:rsidRPr="00F4472D">
        <w:rPr>
          <w:rFonts w:ascii="Times New Roman" w:hAnsi="Times New Roman" w:cs="Times New Roman"/>
          <w:noProof/>
          <w:sz w:val="24"/>
          <w:szCs w:val="24"/>
          <w:vertAlign w:val="superscript"/>
        </w:rPr>
        <w:t>2–6</w:t>
      </w:r>
      <w:r w:rsidR="00F4472D">
        <w:rPr>
          <w:rFonts w:ascii="Times New Roman" w:hAnsi="Times New Roman" w:cs="Times New Roman"/>
          <w:sz w:val="24"/>
          <w:szCs w:val="24"/>
        </w:rPr>
        <w:fldChar w:fldCharType="end"/>
      </w:r>
      <w:r w:rsidR="00F4472D">
        <w:rPr>
          <w:rFonts w:ascii="Times New Roman" w:hAnsi="Times New Roman" w:cs="Times New Roman"/>
          <w:sz w:val="24"/>
          <w:szCs w:val="24"/>
        </w:rPr>
        <w:t xml:space="preserve">. </w:t>
      </w:r>
      <w:r>
        <w:rPr>
          <w:rFonts w:ascii="Times New Roman" w:hAnsi="Times New Roman" w:cs="Times New Roman"/>
          <w:sz w:val="24"/>
          <w:szCs w:val="24"/>
        </w:rPr>
        <w:t>Also, CXCL10 had an eas</w:t>
      </w:r>
      <w:r w:rsidR="00C958FA">
        <w:rPr>
          <w:rFonts w:ascii="Times New Roman" w:hAnsi="Times New Roman" w:cs="Times New Roman"/>
          <w:sz w:val="24"/>
          <w:szCs w:val="24"/>
        </w:rPr>
        <w:t>ily</w:t>
      </w:r>
      <w:r>
        <w:rPr>
          <w:rFonts w:ascii="Times New Roman" w:hAnsi="Times New Roman" w:cs="Times New Roman"/>
          <w:sz w:val="24"/>
          <w:szCs w:val="24"/>
        </w:rPr>
        <w:t xml:space="preserve"> accessible detection method</w:t>
      </w:r>
      <w:r w:rsidR="00F4472D">
        <w:rPr>
          <w:rFonts w:ascii="Times New Roman" w:hAnsi="Times New Roman" w:cs="Times New Roman"/>
          <w:sz w:val="24"/>
          <w:szCs w:val="24"/>
        </w:rPr>
        <w:fldChar w:fldCharType="begin" w:fldLock="1"/>
      </w:r>
      <w:r w:rsidR="00F4472D">
        <w:rPr>
          <w:rFonts w:ascii="Times New Roman" w:hAnsi="Times New Roman" w:cs="Times New Roman"/>
          <w:sz w:val="24"/>
          <w:szCs w:val="24"/>
        </w:rPr>
        <w:instrText>ADDIN CSL_CITATION {"citationItems":[{"id":"ITEM-1","itemData":{"author":[{"dropping-particle":"","family":"Pujiastuti","given":"Agustina Tri","non-dropping-particle":"","parse-names":false,"suffix":""},{"dropping-particle":"","family":"Agusni","given":"Indropo","non-dropping-particle":"","parse-names":false,"suffix":""},{"dropping-particle":"","family":"Staf","given":"Departemen","non-dropping-particle":"","parse-names":false,"suffix":""},{"dropping-particle":"","family":"Fungsional","given":"Medik","non-dropping-particle":"","parse-names":false,"suffix":""},{"dropping-particle":"","family":"Kesehatan","given":"Ilmu","non-dropping-particle":"","parse-names":false,"suffix":""},{"dropping-particle":"","family":"Kedokteran","given":"Fakultas","non-dropping-particle":"","parse-names":false,"suffix":""},{"dropping-particle":"","family":"Airlangga","given":"Universitas","non-dropping-particle":"","parse-names":false,"suffix":""},{"dropping-particle":"","family":"Sakit","given":"Rumah","non-dropping-particle":"","parse-names":false,"suffix":""},{"dropping-particle":"","family":"Daerah","given":"Umum","non-dropping-particle":"","parse-names":false,"suffix":""},{"dropping-particle":"","family":"Surabaya","given":"Soetomo","non-dropping-particle":"","parse-names":false,"suffix":""}],"id":"ITEM-1","issued":{"date-parts":[["0"]]},"title":"Profil Kadar Interferon Gamma Induced Protein 10 Serum pada Pasien Kusta Borderline dengan dan tanpa Reaksi Kusta Tipe 1 ( Profile of Serum Interferon Gamma Induced Protein 10 in Borderline Leprosy Patients with and without Type 1 Leprosy Reaction )","type":"article-journal","volume":"1"},"uris":["http://www.mendeley.com/documents/?uuid=a4c0514b-6d64-43b8-9366-b58a34e791c7"]},{"id":"ITEM-2","itemData":{"abstract":"Nerve damage in leprosy can be directly induced by Mycobacterium leprae in the early stages of infection, however, immunomediated mechanisms add gravity to the impairment of neural function in symptomatic periods of the disease. This study investigated the immunohistochemical expression of immunomarkers involved in the pathogenic mechanisms of leprosy nerve damage. These markers selected were CXCL10, CCL2 chemokines and immunomarkers as CD3, CD4, CD8, CD45RA, CD45RO, CD68, HLA-DR, and metalloproteinases 2 and 9 (MMP2 and MMP9) occurring in nerve biopsy specimens collected from leprosy (23) and nonleprosy patients (5) suffering peripheral neuropathy. CXCL10, CCL2, MMP2, and MMP9 immunoreactivities were found in the leprosy nerves but not in nonleprosy samples. Immunolabeling was predominantly found in recruited macrophages and Schwann cells composing the inflammatory cellular population in the leprosy-af- fected nerves. The immunohistochemical expression of all the mark- ers, but CXCL10, was associated with fibrosis, however, only CCL2 was, independently from the others, associated with this excessive deposit of extracellular matrix. No difference in the frequency of the immunolabeling was detected between the AFB+ and AFB? leprosy subgroups of nerve, exception made to some statistical trend to difference in regard to CD68? and HLA-DR+ cells in the AFB? nerves exhibiting epithelioid granuloma.MMP9 expression associated with fibrosis is consistent with previous results of research group. The findings conveys the idea that CCL2 and CXCL10 chemokines at least in advanced stages of leprosy nerve lesions are not determinant for the establishment of AFB+ or AFB? leprosy lesions, however, CCL2 is associated with macrophage recruitment and fibrosis. Key","author":[{"dropping-particle":"","family":"Medeiros","given":"Mildred F","non-dropping-particle":"","parse-names":false,"suffix":""},{"dropping-particle":"","family":"Rodrigues","given":"M J","non-dropping-particle":"","parse-names":false,"suffix":""},{"dropping-particle":"","family":"Vital","given":"Robson T","non-dropping-particle":"","parse-names":false,"suffix":""},{"dropping-particle":"","family":"Jose","given":"A","non-dropping-particle":"","parse-names":false,"suffix":""},{"dropping-particle":"","family":"Nery","given":"Costa","non-dropping-particle":"","parse-names":false,"suffix":""},{"dropping-particle":"","family":"Sales","given":"Anna M","non-dropping-particle":"","parse-names":false,"suffix":""},{"dropping-particle":"","family":"Hacker","given":"Mariana De Andrea","non-dropping-particle":"","parse-names":false,"suffix":""},{"dropping-particle":"","family":"Ferreira","given":"Helen","non-dropping-particle":"","parse-names":false,"suffix":""},{"dropping-particle":"","family":"Chimelli","given":"Leila","non-dropping-particle":"","parse-names":false,"suffix":""},{"dropping-particle":"","family":"Sarno","given":"Euzenir N","non-dropping-particle":"","parse-names":false,"suffix":""},{"dropping-particle":"","family":"Antunes","given":"Se L G","non-dropping-particle":"","parse-names":false,"suffix":""}],"container-title":"Applied Immunohistochem Mol Moprhol","id":"ITEM-2","issue":"3","issued":{"date-parts":[["2015"]]},"page":"220-229","title":"CXCL10, MCP-1, and Other Immunologic Markers Involved in Neural Leprosy","type":"article-journal","volume":"23"},"uris":["http://www.mendeley.com/documents/?uuid=1263a942-eee4-4c6d-9f95-36bec96da48a"]},{"id":"ITEM-3","itemData":{"DOI":"10.20473/ijtid.v9i1.22160","ISSN":"2085-1103","abstract":"Tuberculosis diagnosis is an important component in decreasing TB incidence and prevalence. Because of the difficulty to collect sputum in some cases, urine specimens are used as it is easier to garner. One of the biomarkers in urine that can be used to diagnose pulmonary TB is IP-10, which can be represented by the CXCL10 gene. The study aims to determine the accuracy of diagnosis based on detection of the CXCL10 gene in urine as a biomarker for the patients with suspected pulmonary TB in Dr. Soetomo Hospital in Surabaya from November 2019 until March 2020. Thus, this is an observative laboratory research with a cross-sectional study. CXCL10 gene was examined using PCR for 36 urine samples, and then, the data, together with the medical records of clinical manifestations of pulmonary TB, GeneXpert MTB /RIF, blood count, and thorax radiograph, were processed using IBM SPSS Statistics 26. The results of the GeneXpert MTB/RIF and thorax radiograph criteria show positive results of pulmonary TB, which were 44.4% and 69.4% respectively. CXCL10 gene was not found in all urine of healthy people (negative), while 2.8% (1/36 samples) positive CXCL10 gene was found in a patient with positive GeneXpert, also with negative clinical manifestations and urine culture. In this study, the accuracy of diagnosis based on detection of the CXCL10 gene in urine for diagnosis of active pulmonary TB was 2.8%. Future research is needed to improve the methods, among them are bigger size of urine samples and clearer medical history of patients. ","author":[{"dropping-particle":"","family":"Mertaniasih","given":"Ni Made","non-dropping-particle":"","parse-names":false,"suffix":""},{"dropping-particle":"","family":"Ananda","given":"I Gede Yogi Prema","non-dropping-particle":"","parse-names":false,"suffix":""},{"dropping-particle":"","family":"Soedarsono","given":"Soedarsono","non-dropping-particle":"","parse-names":false,"suffix":""},{"dropping-particle":"","family":"Kusumaningrum","given":"Deby","non-dropping-particle":"","parse-names":false,"suffix":""}],"container-title":"Indonesian Journal of Tropical and Infectious Disease","id":"ITEM-3","issue":"1","issued":{"date-parts":[["2021"]]},"page":"57","title":"Diagnosis Based on Detection of CXCL10 in Urine as Biomarker for The Determining Diagnosis of Active Lung Tuberculosis","type":"article-journal","volume":"9"},"uris":["http://www.mendeley.com/documents/?uuid=7d527529-e738-4099-b208-f49cb3820dfc"]}],"mendeley":{"formattedCitation":"&lt;sup&gt;7–9&lt;/sup&gt;","plainTextFormattedCitation":"7–9","previouslyFormattedCitation":"&lt;sup&gt;7,8&lt;/sup&gt;"},"properties":{"noteIndex":0},"schema":"https://github.com/citation-style-language/schema/raw/master/csl-citation.json"}</w:instrText>
      </w:r>
      <w:r w:rsidR="00F4472D">
        <w:rPr>
          <w:rFonts w:ascii="Times New Roman" w:hAnsi="Times New Roman" w:cs="Times New Roman"/>
          <w:sz w:val="24"/>
          <w:szCs w:val="24"/>
        </w:rPr>
        <w:fldChar w:fldCharType="separate"/>
      </w:r>
      <w:r w:rsidR="00F4472D" w:rsidRPr="00F4472D">
        <w:rPr>
          <w:rFonts w:ascii="Times New Roman" w:hAnsi="Times New Roman" w:cs="Times New Roman"/>
          <w:noProof/>
          <w:sz w:val="24"/>
          <w:szCs w:val="24"/>
          <w:vertAlign w:val="superscript"/>
        </w:rPr>
        <w:t>7–9</w:t>
      </w:r>
      <w:r w:rsidR="00F4472D">
        <w:rPr>
          <w:rFonts w:ascii="Times New Roman" w:hAnsi="Times New Roman" w:cs="Times New Roman"/>
          <w:sz w:val="24"/>
          <w:szCs w:val="24"/>
        </w:rPr>
        <w:fldChar w:fldCharType="end"/>
      </w:r>
      <w:r w:rsidR="00F4472D">
        <w:rPr>
          <w:rFonts w:ascii="Times New Roman" w:hAnsi="Times New Roman" w:cs="Times New Roman"/>
          <w:sz w:val="24"/>
          <w:szCs w:val="24"/>
        </w:rPr>
        <w:t xml:space="preserve">. </w:t>
      </w:r>
      <w:r>
        <w:rPr>
          <w:rFonts w:ascii="Times New Roman" w:hAnsi="Times New Roman" w:cs="Times New Roman"/>
          <w:sz w:val="24"/>
          <w:szCs w:val="24"/>
        </w:rPr>
        <w:t>A systematic review on the relationship between leprosy and CXCL10 can help in drawing conclusion</w:t>
      </w:r>
      <w:r w:rsidR="00C958FA">
        <w:rPr>
          <w:rFonts w:ascii="Times New Roman" w:hAnsi="Times New Roman" w:cs="Times New Roman"/>
          <w:sz w:val="24"/>
          <w:szCs w:val="24"/>
        </w:rPr>
        <w:t xml:space="preserve"> of different outcomes from various studies to prove the relevance of CXCL10 as a biomarker in diagnosing leprosy and determining the types of leprosy</w:t>
      </w:r>
      <w:r w:rsidR="00C958FA" w:rsidRPr="00C24F4D">
        <w:rPr>
          <w:rFonts w:ascii="Times New Roman" w:hAnsi="Times New Roman" w:cs="Times New Roman"/>
          <w:sz w:val="24"/>
          <w:szCs w:val="24"/>
        </w:rPr>
        <w:t xml:space="preserve">. </w:t>
      </w:r>
      <w:r w:rsidR="00C24F4D" w:rsidRPr="00C24F4D">
        <w:rPr>
          <w:rFonts w:ascii="Times New Roman" w:hAnsi="Times New Roman" w:cs="Times New Roman"/>
          <w:sz w:val="24"/>
          <w:szCs w:val="24"/>
        </w:rPr>
        <w:t>This study was conducted because there haven't been any systematic reviews done on CXCL10 and leprosy. Therefore, this one is expected to provide a concise conclusion, especially due to the heterogeneous findings from various studies.</w:t>
      </w:r>
    </w:p>
    <w:p w14:paraId="6CEF11FC" w14:textId="77777777" w:rsidR="00C24F4D" w:rsidRPr="00C24F4D" w:rsidRDefault="00C24F4D" w:rsidP="00C24F4D">
      <w:pPr>
        <w:pStyle w:val="ListParagraph"/>
        <w:rPr>
          <w:rFonts w:ascii="Times New Roman" w:hAnsi="Times New Roman" w:cs="Times New Roman"/>
          <w:sz w:val="24"/>
          <w:szCs w:val="24"/>
        </w:rPr>
      </w:pPr>
    </w:p>
    <w:p w14:paraId="70B3C722" w14:textId="3E21F554" w:rsidR="00703E7B" w:rsidRPr="00CF7607" w:rsidRDefault="00703E7B" w:rsidP="002C41BE">
      <w:pPr>
        <w:pStyle w:val="ListParagraph"/>
        <w:rPr>
          <w:rFonts w:ascii="Times New Roman" w:hAnsi="Times New Roman" w:cs="Times New Roman"/>
          <w:sz w:val="24"/>
          <w:szCs w:val="24"/>
        </w:rPr>
      </w:pPr>
      <w:r w:rsidRPr="00CF7607">
        <w:rPr>
          <w:rFonts w:ascii="Times New Roman" w:hAnsi="Times New Roman" w:cs="Times New Roman"/>
          <w:sz w:val="24"/>
          <w:szCs w:val="24"/>
        </w:rPr>
        <w:t>The rationale for conducting the systematic review can be found on pages</w:t>
      </w:r>
      <w:r w:rsidR="00C85D98" w:rsidRPr="00CF7607">
        <w:rPr>
          <w:rFonts w:ascii="Times New Roman" w:hAnsi="Times New Roman" w:cs="Times New Roman"/>
          <w:sz w:val="24"/>
          <w:szCs w:val="24"/>
        </w:rPr>
        <w:t xml:space="preserve"> 2-3 (see the introduction).</w:t>
      </w:r>
    </w:p>
    <w:p w14:paraId="3ABB7A16" w14:textId="77777777" w:rsidR="002C41BE" w:rsidRPr="00CF7607" w:rsidRDefault="002C41BE" w:rsidP="002C41BE">
      <w:pPr>
        <w:pStyle w:val="ListParagraph"/>
        <w:rPr>
          <w:rFonts w:ascii="Times New Roman" w:hAnsi="Times New Roman" w:cs="Times New Roman"/>
          <w:sz w:val="24"/>
          <w:szCs w:val="24"/>
        </w:rPr>
      </w:pPr>
    </w:p>
    <w:p w14:paraId="226B0E00" w14:textId="3AF7A954" w:rsidR="00C24F4D" w:rsidRPr="00C24F4D" w:rsidRDefault="0086590F" w:rsidP="00C24F4D">
      <w:pPr>
        <w:pStyle w:val="ListParagraph"/>
        <w:numPr>
          <w:ilvl w:val="0"/>
          <w:numId w:val="2"/>
        </w:numPr>
        <w:rPr>
          <w:rFonts w:ascii="Times New Roman" w:hAnsi="Times New Roman" w:cs="Times New Roman"/>
          <w:b/>
          <w:bCs/>
          <w:sz w:val="24"/>
          <w:szCs w:val="24"/>
        </w:rPr>
      </w:pPr>
      <w:r w:rsidRPr="00CF7607">
        <w:rPr>
          <w:rFonts w:ascii="Times New Roman" w:hAnsi="Times New Roman" w:cs="Times New Roman"/>
          <w:b/>
          <w:bCs/>
          <w:sz w:val="24"/>
          <w:szCs w:val="24"/>
        </w:rPr>
        <w:t>The contribution that the systematic review makes to knowledge in light of previously published related reports</w:t>
      </w:r>
    </w:p>
    <w:p w14:paraId="4797A98F" w14:textId="29FE5CE8" w:rsidR="00463EC4" w:rsidRDefault="007F0D44" w:rsidP="006241AC">
      <w:pPr>
        <w:pStyle w:val="ListParagraph"/>
        <w:rPr>
          <w:rFonts w:ascii="Times New Roman" w:hAnsi="Times New Roman" w:cs="Times New Roman"/>
          <w:sz w:val="24"/>
          <w:szCs w:val="24"/>
        </w:rPr>
      </w:pPr>
      <w:r w:rsidRPr="007F0D44">
        <w:rPr>
          <w:rFonts w:ascii="Times New Roman" w:hAnsi="Times New Roman" w:cs="Times New Roman"/>
          <w:sz w:val="24"/>
          <w:szCs w:val="24"/>
        </w:rPr>
        <w:t xml:space="preserve">For the first time, the existing experimental research on </w:t>
      </w:r>
      <w:r>
        <w:rPr>
          <w:rFonts w:ascii="Times New Roman" w:hAnsi="Times New Roman" w:cs="Times New Roman"/>
          <w:sz w:val="24"/>
          <w:szCs w:val="24"/>
        </w:rPr>
        <w:t>CXCL10</w:t>
      </w:r>
      <w:r w:rsidRPr="007F0D44">
        <w:rPr>
          <w:rFonts w:ascii="Times New Roman" w:hAnsi="Times New Roman" w:cs="Times New Roman"/>
          <w:sz w:val="24"/>
          <w:szCs w:val="24"/>
        </w:rPr>
        <w:t xml:space="preserve"> and leprosy has been methodically synthesized in one comprehensive study.</w:t>
      </w:r>
      <w:r>
        <w:rPr>
          <w:rFonts w:ascii="Times New Roman" w:hAnsi="Times New Roman" w:cs="Times New Roman"/>
          <w:sz w:val="24"/>
          <w:szCs w:val="24"/>
        </w:rPr>
        <w:t xml:space="preserve"> Various studies found CXCL10 to be </w:t>
      </w:r>
      <w:r w:rsidR="006241AC">
        <w:rPr>
          <w:rFonts w:ascii="Times New Roman" w:hAnsi="Times New Roman" w:cs="Times New Roman"/>
          <w:sz w:val="24"/>
          <w:szCs w:val="24"/>
        </w:rPr>
        <w:t xml:space="preserve">potential in </w:t>
      </w:r>
      <w:r w:rsidRPr="00802F99">
        <w:rPr>
          <w:rFonts w:ascii="Times New Roman" w:hAnsi="Times New Roman" w:cs="Times New Roman"/>
          <w:color w:val="212121"/>
          <w:sz w:val="24"/>
          <w:szCs w:val="24"/>
          <w:shd w:val="clear" w:color="auto" w:fill="FFFFFF"/>
        </w:rPr>
        <w:t>diagnosi</w:t>
      </w:r>
      <w:r w:rsidR="006241AC">
        <w:rPr>
          <w:rFonts w:ascii="Times New Roman" w:hAnsi="Times New Roman" w:cs="Times New Roman"/>
          <w:color w:val="212121"/>
          <w:sz w:val="24"/>
          <w:szCs w:val="24"/>
          <w:shd w:val="clear" w:color="auto" w:fill="FFFFFF"/>
        </w:rPr>
        <w:t xml:space="preserve">ng </w:t>
      </w:r>
      <w:r w:rsidRPr="00802F99">
        <w:rPr>
          <w:rFonts w:ascii="Times New Roman" w:hAnsi="Times New Roman" w:cs="Times New Roman"/>
          <w:color w:val="212121"/>
          <w:sz w:val="24"/>
          <w:szCs w:val="24"/>
          <w:shd w:val="clear" w:color="auto" w:fill="FFFFFF"/>
        </w:rPr>
        <w:t>of leprosy</w:t>
      </w:r>
      <w:r w:rsidR="006241AC">
        <w:rPr>
          <w:rFonts w:ascii="Times New Roman" w:hAnsi="Times New Roman" w:cs="Times New Roman"/>
          <w:color w:val="212121"/>
          <w:sz w:val="24"/>
          <w:szCs w:val="24"/>
          <w:shd w:val="clear" w:color="auto" w:fill="FFFFFF"/>
        </w:rPr>
        <w:t xml:space="preserve"> </w:t>
      </w:r>
      <w:r w:rsidR="006241AC" w:rsidRPr="00802F99">
        <w:rPr>
          <w:rFonts w:ascii="Times New Roman" w:hAnsi="Times New Roman" w:cs="Times New Roman"/>
          <w:sz w:val="24"/>
          <w:szCs w:val="24"/>
        </w:rPr>
        <w:t>particularly in leprosy reactions</w:t>
      </w:r>
      <w:r w:rsidR="006241AC">
        <w:rPr>
          <w:rFonts w:ascii="Times New Roman" w:hAnsi="Times New Roman" w:cs="Times New Roman"/>
          <w:sz w:val="24"/>
          <w:szCs w:val="24"/>
        </w:rPr>
        <w:t>,</w:t>
      </w:r>
      <w:r w:rsidRPr="00802F99">
        <w:rPr>
          <w:rFonts w:ascii="Times New Roman" w:hAnsi="Times New Roman" w:cs="Times New Roman"/>
          <w:color w:val="212121"/>
          <w:sz w:val="24"/>
          <w:szCs w:val="24"/>
          <w:shd w:val="clear" w:color="auto" w:fill="FFFFFF"/>
        </w:rPr>
        <w:t xml:space="preserve"> determining the types of leprosy, and as indicator of the efficacy of leprosy therapy.</w:t>
      </w:r>
      <w:r w:rsidR="006241AC">
        <w:rPr>
          <w:rFonts w:ascii="Times New Roman" w:hAnsi="Times New Roman" w:cs="Times New Roman"/>
          <w:color w:val="212121"/>
          <w:sz w:val="24"/>
          <w:szCs w:val="24"/>
          <w:shd w:val="clear" w:color="auto" w:fill="FFFFFF"/>
        </w:rPr>
        <w:t xml:space="preserve"> </w:t>
      </w:r>
      <w:r w:rsidRPr="00802F99">
        <w:rPr>
          <w:rFonts w:ascii="Times New Roman" w:hAnsi="Times New Roman" w:cs="Times New Roman"/>
          <w:sz w:val="24"/>
          <w:szCs w:val="24"/>
        </w:rPr>
        <w:t>However, these findings are not heterogeneous, so further research is needed with larger sample sizes and more diverse methods, taking into consideration other confounding factors in order to establish CXCL10 roles in leprosy.</w:t>
      </w:r>
    </w:p>
    <w:p w14:paraId="724086C5" w14:textId="77777777" w:rsidR="006241AC" w:rsidRPr="006241AC" w:rsidRDefault="006241AC" w:rsidP="006241AC">
      <w:pPr>
        <w:pStyle w:val="ListParagraph"/>
        <w:rPr>
          <w:rFonts w:ascii="Times New Roman" w:hAnsi="Times New Roman" w:cs="Times New Roman"/>
          <w:sz w:val="24"/>
          <w:szCs w:val="24"/>
        </w:rPr>
      </w:pPr>
    </w:p>
    <w:p w14:paraId="522F90FC" w14:textId="1D42CAB8" w:rsidR="00463EC4" w:rsidRDefault="00463EC4" w:rsidP="00C85D98">
      <w:pPr>
        <w:pStyle w:val="ListParagraph"/>
        <w:rPr>
          <w:rFonts w:ascii="Times New Roman" w:hAnsi="Times New Roman" w:cs="Times New Roman"/>
          <w:sz w:val="24"/>
          <w:szCs w:val="24"/>
        </w:rPr>
      </w:pPr>
      <w:r w:rsidRPr="00CF7607">
        <w:rPr>
          <w:rFonts w:ascii="Times New Roman" w:hAnsi="Times New Roman" w:cs="Times New Roman"/>
          <w:sz w:val="24"/>
          <w:szCs w:val="24"/>
        </w:rPr>
        <w:t>See the</w:t>
      </w:r>
      <w:r w:rsidR="00CF7607" w:rsidRPr="00CF7607">
        <w:rPr>
          <w:rFonts w:ascii="Times New Roman" w:hAnsi="Times New Roman" w:cs="Times New Roman"/>
          <w:sz w:val="24"/>
          <w:szCs w:val="24"/>
        </w:rPr>
        <w:t xml:space="preserve"> last paragraph of the introduction (page 3), the discussion and conclusion sections for information about the contribution of the systematic review.</w:t>
      </w:r>
    </w:p>
    <w:p w14:paraId="031E6719" w14:textId="77777777" w:rsidR="006241AC" w:rsidRDefault="006241AC" w:rsidP="00C85D98">
      <w:pPr>
        <w:pStyle w:val="ListParagraph"/>
        <w:rPr>
          <w:rFonts w:ascii="Times New Roman" w:hAnsi="Times New Roman" w:cs="Times New Roman"/>
          <w:sz w:val="24"/>
          <w:szCs w:val="24"/>
        </w:rPr>
      </w:pPr>
    </w:p>
    <w:p w14:paraId="20AC34B6" w14:textId="77777777" w:rsidR="006241AC" w:rsidRDefault="006241AC" w:rsidP="00C85D98">
      <w:pPr>
        <w:pStyle w:val="ListParagraph"/>
        <w:rPr>
          <w:rFonts w:ascii="Times New Roman" w:hAnsi="Times New Roman" w:cs="Times New Roman"/>
          <w:sz w:val="24"/>
          <w:szCs w:val="24"/>
        </w:rPr>
      </w:pPr>
    </w:p>
    <w:p w14:paraId="45BD672F" w14:textId="58B5685C" w:rsidR="00F4472D" w:rsidRPr="00F4472D" w:rsidRDefault="006241AC" w:rsidP="00F4472D">
      <w:pPr>
        <w:widowControl w:val="0"/>
        <w:autoSpaceDE w:val="0"/>
        <w:autoSpaceDN w:val="0"/>
        <w:adjustRightInd w:val="0"/>
        <w:spacing w:line="240" w:lineRule="auto"/>
        <w:ind w:left="640" w:hanging="64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F4472D" w:rsidRPr="00F4472D">
        <w:rPr>
          <w:rFonts w:ascii="Times New Roman" w:hAnsi="Times New Roman" w:cs="Times New Roman"/>
          <w:noProof/>
          <w:sz w:val="24"/>
          <w:szCs w:val="24"/>
        </w:rPr>
        <w:t xml:space="preserve">1. </w:t>
      </w:r>
      <w:r w:rsidR="00F4472D" w:rsidRPr="00F4472D">
        <w:rPr>
          <w:rFonts w:ascii="Times New Roman" w:hAnsi="Times New Roman" w:cs="Times New Roman"/>
          <w:noProof/>
          <w:sz w:val="24"/>
          <w:szCs w:val="24"/>
        </w:rPr>
        <w:tab/>
        <w:t xml:space="preserve">Nath I. Immunopathogenesis of Leprosy: A Model for T Cell Anergy. </w:t>
      </w:r>
      <w:r w:rsidR="00F4472D" w:rsidRPr="00F4472D">
        <w:rPr>
          <w:rFonts w:ascii="Times New Roman" w:hAnsi="Times New Roman" w:cs="Times New Roman"/>
          <w:i/>
          <w:iCs/>
          <w:noProof/>
          <w:sz w:val="24"/>
          <w:szCs w:val="24"/>
        </w:rPr>
        <w:t>EMJ Dermatology</w:t>
      </w:r>
      <w:r w:rsidR="00F4472D" w:rsidRPr="00F4472D">
        <w:rPr>
          <w:rFonts w:ascii="Times New Roman" w:hAnsi="Times New Roman" w:cs="Times New Roman"/>
          <w:noProof/>
          <w:sz w:val="24"/>
          <w:szCs w:val="24"/>
        </w:rPr>
        <w:t xml:space="preserve"> 2016; 95–101.</w:t>
      </w:r>
    </w:p>
    <w:p w14:paraId="0E2C54B6" w14:textId="77777777" w:rsidR="00F4472D" w:rsidRPr="00F4472D" w:rsidRDefault="00F4472D" w:rsidP="00F4472D">
      <w:pPr>
        <w:widowControl w:val="0"/>
        <w:autoSpaceDE w:val="0"/>
        <w:autoSpaceDN w:val="0"/>
        <w:adjustRightInd w:val="0"/>
        <w:spacing w:line="240" w:lineRule="auto"/>
        <w:ind w:left="640" w:hanging="640"/>
        <w:rPr>
          <w:rFonts w:ascii="Times New Roman" w:hAnsi="Times New Roman" w:cs="Times New Roman"/>
          <w:noProof/>
          <w:sz w:val="24"/>
          <w:szCs w:val="24"/>
        </w:rPr>
      </w:pPr>
      <w:r w:rsidRPr="00F4472D">
        <w:rPr>
          <w:rFonts w:ascii="Times New Roman" w:hAnsi="Times New Roman" w:cs="Times New Roman"/>
          <w:noProof/>
          <w:sz w:val="24"/>
          <w:szCs w:val="24"/>
        </w:rPr>
        <w:t xml:space="preserve">2. </w:t>
      </w:r>
      <w:r w:rsidRPr="00F4472D">
        <w:rPr>
          <w:rFonts w:ascii="Times New Roman" w:hAnsi="Times New Roman" w:cs="Times New Roman"/>
          <w:noProof/>
          <w:sz w:val="24"/>
          <w:szCs w:val="24"/>
        </w:rPr>
        <w:tab/>
        <w:t xml:space="preserve">de Sousa JR, Sotto MN, Quaresma JAS. Leprosy as a complex infection: Breakdown of the Th1 and Th2 immune paradigm in the immunopathogenesis of the disease. </w:t>
      </w:r>
      <w:r w:rsidRPr="00F4472D">
        <w:rPr>
          <w:rFonts w:ascii="Times New Roman" w:hAnsi="Times New Roman" w:cs="Times New Roman"/>
          <w:i/>
          <w:iCs/>
          <w:noProof/>
          <w:sz w:val="24"/>
          <w:szCs w:val="24"/>
        </w:rPr>
        <w:t>Front Immunol</w:t>
      </w:r>
      <w:r w:rsidRPr="00F4472D">
        <w:rPr>
          <w:rFonts w:ascii="Times New Roman" w:hAnsi="Times New Roman" w:cs="Times New Roman"/>
          <w:noProof/>
          <w:sz w:val="24"/>
          <w:szCs w:val="24"/>
        </w:rPr>
        <w:t xml:space="preserve"> 2017; 8: 18–21.</w:t>
      </w:r>
    </w:p>
    <w:p w14:paraId="55BA8D67" w14:textId="77777777" w:rsidR="00F4472D" w:rsidRPr="00F4472D" w:rsidRDefault="00F4472D" w:rsidP="00F4472D">
      <w:pPr>
        <w:widowControl w:val="0"/>
        <w:autoSpaceDE w:val="0"/>
        <w:autoSpaceDN w:val="0"/>
        <w:adjustRightInd w:val="0"/>
        <w:spacing w:line="240" w:lineRule="auto"/>
        <w:ind w:left="640" w:hanging="640"/>
        <w:rPr>
          <w:rFonts w:ascii="Times New Roman" w:hAnsi="Times New Roman" w:cs="Times New Roman"/>
          <w:noProof/>
          <w:sz w:val="24"/>
          <w:szCs w:val="24"/>
        </w:rPr>
      </w:pPr>
      <w:r w:rsidRPr="00F4472D">
        <w:rPr>
          <w:rFonts w:ascii="Times New Roman" w:hAnsi="Times New Roman" w:cs="Times New Roman"/>
          <w:noProof/>
          <w:sz w:val="24"/>
          <w:szCs w:val="24"/>
        </w:rPr>
        <w:t xml:space="preserve">3. </w:t>
      </w:r>
      <w:r w:rsidRPr="00F4472D">
        <w:rPr>
          <w:rFonts w:ascii="Times New Roman" w:hAnsi="Times New Roman" w:cs="Times New Roman"/>
          <w:noProof/>
          <w:sz w:val="24"/>
          <w:szCs w:val="24"/>
        </w:rPr>
        <w:tab/>
        <w:t xml:space="preserve">Ferreira H, Mendes MA, de Mattos Barbosa MG, et al. Potential Role of CXCL10 in Monitoring Response to Treatment in Leprosy Patients. </w:t>
      </w:r>
      <w:r w:rsidRPr="00F4472D">
        <w:rPr>
          <w:rFonts w:ascii="Times New Roman" w:hAnsi="Times New Roman" w:cs="Times New Roman"/>
          <w:i/>
          <w:iCs/>
          <w:noProof/>
          <w:sz w:val="24"/>
          <w:szCs w:val="24"/>
        </w:rPr>
        <w:t>Front Immunol</w:t>
      </w:r>
      <w:r w:rsidRPr="00F4472D">
        <w:rPr>
          <w:rFonts w:ascii="Times New Roman" w:hAnsi="Times New Roman" w:cs="Times New Roman"/>
          <w:noProof/>
          <w:sz w:val="24"/>
          <w:szCs w:val="24"/>
        </w:rPr>
        <w:t xml:space="preserve"> 2021; 12: 1–10.</w:t>
      </w:r>
    </w:p>
    <w:p w14:paraId="70CF869A" w14:textId="77777777" w:rsidR="00F4472D" w:rsidRPr="00F4472D" w:rsidRDefault="00F4472D" w:rsidP="00F4472D">
      <w:pPr>
        <w:widowControl w:val="0"/>
        <w:autoSpaceDE w:val="0"/>
        <w:autoSpaceDN w:val="0"/>
        <w:adjustRightInd w:val="0"/>
        <w:spacing w:line="240" w:lineRule="auto"/>
        <w:ind w:left="640" w:hanging="640"/>
        <w:rPr>
          <w:rFonts w:ascii="Times New Roman" w:hAnsi="Times New Roman" w:cs="Times New Roman"/>
          <w:noProof/>
          <w:sz w:val="24"/>
          <w:szCs w:val="24"/>
        </w:rPr>
      </w:pPr>
      <w:r w:rsidRPr="00F4472D">
        <w:rPr>
          <w:rFonts w:ascii="Times New Roman" w:hAnsi="Times New Roman" w:cs="Times New Roman"/>
          <w:noProof/>
          <w:sz w:val="24"/>
          <w:szCs w:val="24"/>
        </w:rPr>
        <w:t xml:space="preserve">4. </w:t>
      </w:r>
      <w:r w:rsidRPr="00F4472D">
        <w:rPr>
          <w:rFonts w:ascii="Times New Roman" w:hAnsi="Times New Roman" w:cs="Times New Roman"/>
          <w:noProof/>
          <w:sz w:val="24"/>
          <w:szCs w:val="24"/>
        </w:rPr>
        <w:tab/>
        <w:t>Hadi S, Khairunnisa A, Khalifah SN, et al. Skrining Inhibitor NF- κB Combretum indicum dengan Metode Docking. 2021; 18: 157–163.</w:t>
      </w:r>
    </w:p>
    <w:p w14:paraId="646BA825" w14:textId="77777777" w:rsidR="00F4472D" w:rsidRPr="00F4472D" w:rsidRDefault="00F4472D" w:rsidP="00F4472D">
      <w:pPr>
        <w:widowControl w:val="0"/>
        <w:autoSpaceDE w:val="0"/>
        <w:autoSpaceDN w:val="0"/>
        <w:adjustRightInd w:val="0"/>
        <w:spacing w:line="240" w:lineRule="auto"/>
        <w:ind w:left="640" w:hanging="640"/>
        <w:rPr>
          <w:rFonts w:ascii="Times New Roman" w:hAnsi="Times New Roman" w:cs="Times New Roman"/>
          <w:noProof/>
          <w:sz w:val="24"/>
          <w:szCs w:val="24"/>
        </w:rPr>
      </w:pPr>
      <w:r w:rsidRPr="00F4472D">
        <w:rPr>
          <w:rFonts w:ascii="Times New Roman" w:hAnsi="Times New Roman" w:cs="Times New Roman"/>
          <w:noProof/>
          <w:sz w:val="24"/>
          <w:szCs w:val="24"/>
        </w:rPr>
        <w:t xml:space="preserve">5. </w:t>
      </w:r>
      <w:r w:rsidRPr="00F4472D">
        <w:rPr>
          <w:rFonts w:ascii="Times New Roman" w:hAnsi="Times New Roman" w:cs="Times New Roman"/>
          <w:noProof/>
          <w:sz w:val="24"/>
          <w:szCs w:val="24"/>
        </w:rPr>
        <w:tab/>
        <w:t xml:space="preserve">Sharma I, Singh A, Mishra AK, et al. Is CXCL10/CXCR3 axis overexpression a better indicator of leprosy type 1 reaction than inducible nitric oxide synthase? </w:t>
      </w:r>
      <w:r w:rsidRPr="00F4472D">
        <w:rPr>
          <w:rFonts w:ascii="Times New Roman" w:hAnsi="Times New Roman" w:cs="Times New Roman"/>
          <w:i/>
          <w:iCs/>
          <w:noProof/>
          <w:sz w:val="24"/>
          <w:szCs w:val="24"/>
        </w:rPr>
        <w:t>Indian J Med Res</w:t>
      </w:r>
      <w:r w:rsidRPr="00F4472D">
        <w:rPr>
          <w:rFonts w:ascii="Times New Roman" w:hAnsi="Times New Roman" w:cs="Times New Roman"/>
          <w:noProof/>
          <w:sz w:val="24"/>
          <w:szCs w:val="24"/>
        </w:rPr>
        <w:t xml:space="preserve"> 2015; 142: 681–689.</w:t>
      </w:r>
    </w:p>
    <w:p w14:paraId="111E8A5B" w14:textId="77777777" w:rsidR="00F4472D" w:rsidRPr="00F4472D" w:rsidRDefault="00F4472D" w:rsidP="00F4472D">
      <w:pPr>
        <w:widowControl w:val="0"/>
        <w:autoSpaceDE w:val="0"/>
        <w:autoSpaceDN w:val="0"/>
        <w:adjustRightInd w:val="0"/>
        <w:spacing w:line="240" w:lineRule="auto"/>
        <w:ind w:left="640" w:hanging="640"/>
        <w:rPr>
          <w:rFonts w:ascii="Times New Roman" w:hAnsi="Times New Roman" w:cs="Times New Roman"/>
          <w:noProof/>
          <w:sz w:val="24"/>
          <w:szCs w:val="24"/>
        </w:rPr>
      </w:pPr>
      <w:r w:rsidRPr="00F4472D">
        <w:rPr>
          <w:rFonts w:ascii="Times New Roman" w:hAnsi="Times New Roman" w:cs="Times New Roman"/>
          <w:noProof/>
          <w:sz w:val="24"/>
          <w:szCs w:val="24"/>
        </w:rPr>
        <w:lastRenderedPageBreak/>
        <w:t xml:space="preserve">6. </w:t>
      </w:r>
      <w:r w:rsidRPr="00F4472D">
        <w:rPr>
          <w:rFonts w:ascii="Times New Roman" w:hAnsi="Times New Roman" w:cs="Times New Roman"/>
          <w:noProof/>
          <w:sz w:val="24"/>
          <w:szCs w:val="24"/>
        </w:rPr>
        <w:tab/>
        <w:t xml:space="preserve">Hungria EM, Freitas AA, Pontes MAA, et al. Antigen-specific secretion of IFNγ and CXCL10 in whole blood assay detects Mycobacterium leprae infection but does not discriminate asymptomatic infection from symptomatic leprosy. </w:t>
      </w:r>
      <w:r w:rsidRPr="00F4472D">
        <w:rPr>
          <w:rFonts w:ascii="Times New Roman" w:hAnsi="Times New Roman" w:cs="Times New Roman"/>
          <w:i/>
          <w:iCs/>
          <w:noProof/>
          <w:sz w:val="24"/>
          <w:szCs w:val="24"/>
        </w:rPr>
        <w:t>Diagn Microbiol Infect Dis</w:t>
      </w:r>
      <w:r w:rsidRPr="00F4472D">
        <w:rPr>
          <w:rFonts w:ascii="Times New Roman" w:hAnsi="Times New Roman" w:cs="Times New Roman"/>
          <w:noProof/>
          <w:sz w:val="24"/>
          <w:szCs w:val="24"/>
        </w:rPr>
        <w:t xml:space="preserve"> 2017; 87: 328–334.</w:t>
      </w:r>
    </w:p>
    <w:p w14:paraId="5BAE82A6" w14:textId="77777777" w:rsidR="00F4472D" w:rsidRPr="00F4472D" w:rsidRDefault="00F4472D" w:rsidP="00F4472D">
      <w:pPr>
        <w:widowControl w:val="0"/>
        <w:autoSpaceDE w:val="0"/>
        <w:autoSpaceDN w:val="0"/>
        <w:adjustRightInd w:val="0"/>
        <w:spacing w:line="240" w:lineRule="auto"/>
        <w:ind w:left="640" w:hanging="640"/>
        <w:rPr>
          <w:rFonts w:ascii="Times New Roman" w:hAnsi="Times New Roman" w:cs="Times New Roman"/>
          <w:noProof/>
          <w:sz w:val="24"/>
          <w:szCs w:val="24"/>
        </w:rPr>
      </w:pPr>
      <w:r w:rsidRPr="00F4472D">
        <w:rPr>
          <w:rFonts w:ascii="Times New Roman" w:hAnsi="Times New Roman" w:cs="Times New Roman"/>
          <w:noProof/>
          <w:sz w:val="24"/>
          <w:szCs w:val="24"/>
        </w:rPr>
        <w:t xml:space="preserve">7. </w:t>
      </w:r>
      <w:r w:rsidRPr="00F4472D">
        <w:rPr>
          <w:rFonts w:ascii="Times New Roman" w:hAnsi="Times New Roman" w:cs="Times New Roman"/>
          <w:noProof/>
          <w:sz w:val="24"/>
          <w:szCs w:val="24"/>
        </w:rPr>
        <w:tab/>
        <w:t>Pujiastuti AT, Agusni I, Staf D, et al. Profil Kadar Interferon Gamma Induced Protein 10 Serum pada Pasien Kusta Borderline dengan dan tanpa Reaksi Kusta Tipe 1 ( Profile of Serum Interferon Gamma Induced Protein 10 in Borderline Leprosy Patients with and without Type 1 Leprosy Reaction ). 1.</w:t>
      </w:r>
    </w:p>
    <w:p w14:paraId="50D6FFFB" w14:textId="77777777" w:rsidR="00F4472D" w:rsidRPr="00F4472D" w:rsidRDefault="00F4472D" w:rsidP="00F4472D">
      <w:pPr>
        <w:widowControl w:val="0"/>
        <w:autoSpaceDE w:val="0"/>
        <w:autoSpaceDN w:val="0"/>
        <w:adjustRightInd w:val="0"/>
        <w:spacing w:line="240" w:lineRule="auto"/>
        <w:ind w:left="640" w:hanging="640"/>
        <w:rPr>
          <w:rFonts w:ascii="Times New Roman" w:hAnsi="Times New Roman" w:cs="Times New Roman"/>
          <w:noProof/>
          <w:sz w:val="24"/>
          <w:szCs w:val="24"/>
        </w:rPr>
      </w:pPr>
      <w:r w:rsidRPr="00F4472D">
        <w:rPr>
          <w:rFonts w:ascii="Times New Roman" w:hAnsi="Times New Roman" w:cs="Times New Roman"/>
          <w:noProof/>
          <w:sz w:val="24"/>
          <w:szCs w:val="24"/>
        </w:rPr>
        <w:t xml:space="preserve">8. </w:t>
      </w:r>
      <w:r w:rsidRPr="00F4472D">
        <w:rPr>
          <w:rFonts w:ascii="Times New Roman" w:hAnsi="Times New Roman" w:cs="Times New Roman"/>
          <w:noProof/>
          <w:sz w:val="24"/>
          <w:szCs w:val="24"/>
        </w:rPr>
        <w:tab/>
        <w:t xml:space="preserve">Medeiros MF, Rodrigues MJ, Vital RT, et al. CXCL10, MCP-1, and Other Immunologic Markers Involved in Neural Leprosy. </w:t>
      </w:r>
      <w:r w:rsidRPr="00F4472D">
        <w:rPr>
          <w:rFonts w:ascii="Times New Roman" w:hAnsi="Times New Roman" w:cs="Times New Roman"/>
          <w:i/>
          <w:iCs/>
          <w:noProof/>
          <w:sz w:val="24"/>
          <w:szCs w:val="24"/>
        </w:rPr>
        <w:t>Appl Immunohistochem Mol Moprhol</w:t>
      </w:r>
      <w:r w:rsidRPr="00F4472D">
        <w:rPr>
          <w:rFonts w:ascii="Times New Roman" w:hAnsi="Times New Roman" w:cs="Times New Roman"/>
          <w:noProof/>
          <w:sz w:val="24"/>
          <w:szCs w:val="24"/>
        </w:rPr>
        <w:t xml:space="preserve"> 2015; 23: 220–229.</w:t>
      </w:r>
    </w:p>
    <w:p w14:paraId="63272CAE" w14:textId="77777777" w:rsidR="00F4472D" w:rsidRPr="00F4472D" w:rsidRDefault="00F4472D" w:rsidP="00F4472D">
      <w:pPr>
        <w:widowControl w:val="0"/>
        <w:autoSpaceDE w:val="0"/>
        <w:autoSpaceDN w:val="0"/>
        <w:adjustRightInd w:val="0"/>
        <w:spacing w:line="240" w:lineRule="auto"/>
        <w:ind w:left="640" w:hanging="640"/>
        <w:rPr>
          <w:rFonts w:ascii="Times New Roman" w:hAnsi="Times New Roman" w:cs="Times New Roman"/>
          <w:noProof/>
          <w:sz w:val="24"/>
        </w:rPr>
      </w:pPr>
      <w:r w:rsidRPr="00F4472D">
        <w:rPr>
          <w:rFonts w:ascii="Times New Roman" w:hAnsi="Times New Roman" w:cs="Times New Roman"/>
          <w:noProof/>
          <w:sz w:val="24"/>
          <w:szCs w:val="24"/>
        </w:rPr>
        <w:t xml:space="preserve">9. </w:t>
      </w:r>
      <w:r w:rsidRPr="00F4472D">
        <w:rPr>
          <w:rFonts w:ascii="Times New Roman" w:hAnsi="Times New Roman" w:cs="Times New Roman"/>
          <w:noProof/>
          <w:sz w:val="24"/>
          <w:szCs w:val="24"/>
        </w:rPr>
        <w:tab/>
        <w:t xml:space="preserve">Mertaniasih NM, Ananda IGYP, Soedarsono S, et al. Diagnosis Based on Detection of CXCL10 in Urine as Biomarker for The Determining Diagnosis of Active Lung Tuberculosis. </w:t>
      </w:r>
      <w:r w:rsidRPr="00F4472D">
        <w:rPr>
          <w:rFonts w:ascii="Times New Roman" w:hAnsi="Times New Roman" w:cs="Times New Roman"/>
          <w:i/>
          <w:iCs/>
          <w:noProof/>
          <w:sz w:val="24"/>
          <w:szCs w:val="24"/>
        </w:rPr>
        <w:t>Indones J Trop Infect Dis</w:t>
      </w:r>
      <w:r w:rsidRPr="00F4472D">
        <w:rPr>
          <w:rFonts w:ascii="Times New Roman" w:hAnsi="Times New Roman" w:cs="Times New Roman"/>
          <w:noProof/>
          <w:sz w:val="24"/>
          <w:szCs w:val="24"/>
        </w:rPr>
        <w:t xml:space="preserve"> 2021; 9: 57.</w:t>
      </w:r>
    </w:p>
    <w:p w14:paraId="7D79FEEA" w14:textId="3D190D3B" w:rsidR="006241AC" w:rsidRPr="00CF7607" w:rsidRDefault="006241AC" w:rsidP="00C85D98">
      <w:pPr>
        <w:pStyle w:val="ListParagraph"/>
        <w:rPr>
          <w:rFonts w:ascii="Times New Roman" w:hAnsi="Times New Roman" w:cs="Times New Roman"/>
          <w:sz w:val="24"/>
          <w:szCs w:val="24"/>
        </w:rPr>
      </w:pPr>
      <w:r>
        <w:rPr>
          <w:rFonts w:ascii="Times New Roman" w:hAnsi="Times New Roman" w:cs="Times New Roman"/>
          <w:sz w:val="24"/>
          <w:szCs w:val="24"/>
        </w:rPr>
        <w:fldChar w:fldCharType="end"/>
      </w:r>
    </w:p>
    <w:p w14:paraId="6D40439B" w14:textId="77777777" w:rsidR="0086590F" w:rsidRPr="00CF7607" w:rsidRDefault="0086590F">
      <w:pPr>
        <w:rPr>
          <w:rFonts w:ascii="Times New Roman" w:hAnsi="Times New Roman" w:cs="Times New Roman"/>
          <w:sz w:val="24"/>
          <w:szCs w:val="24"/>
        </w:rPr>
      </w:pPr>
    </w:p>
    <w:sectPr w:rsidR="0086590F" w:rsidRPr="00CF76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F4432"/>
    <w:multiLevelType w:val="hybridMultilevel"/>
    <w:tmpl w:val="B3C4DF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56D0AF9"/>
    <w:multiLevelType w:val="hybridMultilevel"/>
    <w:tmpl w:val="5E7C203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54525578">
    <w:abstractNumId w:val="1"/>
  </w:num>
  <w:num w:numId="2" w16cid:durableId="100921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90F"/>
    <w:rsid w:val="002C41BE"/>
    <w:rsid w:val="00463EC4"/>
    <w:rsid w:val="006241AC"/>
    <w:rsid w:val="00703E7B"/>
    <w:rsid w:val="007F0D44"/>
    <w:rsid w:val="0086590F"/>
    <w:rsid w:val="009108C6"/>
    <w:rsid w:val="00AA0248"/>
    <w:rsid w:val="00BA11FA"/>
    <w:rsid w:val="00C24F4D"/>
    <w:rsid w:val="00C85D98"/>
    <w:rsid w:val="00C958FA"/>
    <w:rsid w:val="00CB0F27"/>
    <w:rsid w:val="00CF7607"/>
    <w:rsid w:val="00F44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63B3"/>
  <w15:chartTrackingRefBased/>
  <w15:docId w15:val="{5C93EA49-6438-4708-9119-A5A28AF3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95681">
      <w:bodyDiv w:val="1"/>
      <w:marLeft w:val="0"/>
      <w:marRight w:val="0"/>
      <w:marTop w:val="0"/>
      <w:marBottom w:val="0"/>
      <w:divBdr>
        <w:top w:val="none" w:sz="0" w:space="0" w:color="auto"/>
        <w:left w:val="none" w:sz="0" w:space="0" w:color="auto"/>
        <w:bottom w:val="none" w:sz="0" w:space="0" w:color="auto"/>
        <w:right w:val="none" w:sz="0" w:space="0" w:color="auto"/>
      </w:divBdr>
      <w:divsChild>
        <w:div w:id="2010717581">
          <w:marLeft w:val="0"/>
          <w:marRight w:val="0"/>
          <w:marTop w:val="0"/>
          <w:marBottom w:val="0"/>
          <w:divBdr>
            <w:top w:val="single" w:sz="2" w:space="0" w:color="D9D9E3"/>
            <w:left w:val="single" w:sz="2" w:space="0" w:color="D9D9E3"/>
            <w:bottom w:val="single" w:sz="2" w:space="0" w:color="D9D9E3"/>
            <w:right w:val="single" w:sz="2" w:space="0" w:color="D9D9E3"/>
          </w:divBdr>
          <w:divsChild>
            <w:div w:id="201284164">
              <w:marLeft w:val="0"/>
              <w:marRight w:val="0"/>
              <w:marTop w:val="0"/>
              <w:marBottom w:val="0"/>
              <w:divBdr>
                <w:top w:val="single" w:sz="2" w:space="0" w:color="D9D9E3"/>
                <w:left w:val="single" w:sz="2" w:space="0" w:color="D9D9E3"/>
                <w:bottom w:val="single" w:sz="2" w:space="0" w:color="D9D9E3"/>
                <w:right w:val="single" w:sz="2" w:space="0" w:color="D9D9E3"/>
              </w:divBdr>
              <w:divsChild>
                <w:div w:id="1753578048">
                  <w:marLeft w:val="0"/>
                  <w:marRight w:val="0"/>
                  <w:marTop w:val="0"/>
                  <w:marBottom w:val="0"/>
                  <w:divBdr>
                    <w:top w:val="single" w:sz="2" w:space="0" w:color="D9D9E3"/>
                    <w:left w:val="single" w:sz="2" w:space="0" w:color="D9D9E3"/>
                    <w:bottom w:val="single" w:sz="2" w:space="0" w:color="D9D9E3"/>
                    <w:right w:val="single" w:sz="2" w:space="0" w:color="D9D9E3"/>
                  </w:divBdr>
                  <w:divsChild>
                    <w:div w:id="768937374">
                      <w:marLeft w:val="0"/>
                      <w:marRight w:val="0"/>
                      <w:marTop w:val="0"/>
                      <w:marBottom w:val="0"/>
                      <w:divBdr>
                        <w:top w:val="single" w:sz="2" w:space="0" w:color="D9D9E3"/>
                        <w:left w:val="single" w:sz="2" w:space="0" w:color="D9D9E3"/>
                        <w:bottom w:val="single" w:sz="2" w:space="0" w:color="D9D9E3"/>
                        <w:right w:val="single" w:sz="2" w:space="0" w:color="D9D9E3"/>
                      </w:divBdr>
                      <w:divsChild>
                        <w:div w:id="1503663724">
                          <w:marLeft w:val="0"/>
                          <w:marRight w:val="0"/>
                          <w:marTop w:val="0"/>
                          <w:marBottom w:val="0"/>
                          <w:divBdr>
                            <w:top w:val="single" w:sz="2" w:space="0" w:color="D9D9E3"/>
                            <w:left w:val="single" w:sz="2" w:space="0" w:color="D9D9E3"/>
                            <w:bottom w:val="single" w:sz="2" w:space="0" w:color="D9D9E3"/>
                            <w:right w:val="single" w:sz="2" w:space="0" w:color="D9D9E3"/>
                          </w:divBdr>
                          <w:divsChild>
                            <w:div w:id="104428364">
                              <w:marLeft w:val="0"/>
                              <w:marRight w:val="0"/>
                              <w:marTop w:val="100"/>
                              <w:marBottom w:val="100"/>
                              <w:divBdr>
                                <w:top w:val="single" w:sz="2" w:space="0" w:color="D9D9E3"/>
                                <w:left w:val="single" w:sz="2" w:space="0" w:color="D9D9E3"/>
                                <w:bottom w:val="single" w:sz="2" w:space="0" w:color="D9D9E3"/>
                                <w:right w:val="single" w:sz="2" w:space="0" w:color="D9D9E3"/>
                              </w:divBdr>
                              <w:divsChild>
                                <w:div w:id="842547632">
                                  <w:marLeft w:val="0"/>
                                  <w:marRight w:val="0"/>
                                  <w:marTop w:val="0"/>
                                  <w:marBottom w:val="0"/>
                                  <w:divBdr>
                                    <w:top w:val="single" w:sz="2" w:space="0" w:color="D9D9E3"/>
                                    <w:left w:val="single" w:sz="2" w:space="0" w:color="D9D9E3"/>
                                    <w:bottom w:val="single" w:sz="2" w:space="0" w:color="D9D9E3"/>
                                    <w:right w:val="single" w:sz="2" w:space="0" w:color="D9D9E3"/>
                                  </w:divBdr>
                                  <w:divsChild>
                                    <w:div w:id="1459302902">
                                      <w:marLeft w:val="0"/>
                                      <w:marRight w:val="0"/>
                                      <w:marTop w:val="0"/>
                                      <w:marBottom w:val="0"/>
                                      <w:divBdr>
                                        <w:top w:val="single" w:sz="2" w:space="0" w:color="D9D9E3"/>
                                        <w:left w:val="single" w:sz="2" w:space="0" w:color="D9D9E3"/>
                                        <w:bottom w:val="single" w:sz="2" w:space="0" w:color="D9D9E3"/>
                                        <w:right w:val="single" w:sz="2" w:space="0" w:color="D9D9E3"/>
                                      </w:divBdr>
                                      <w:divsChild>
                                        <w:div w:id="121578934">
                                          <w:marLeft w:val="0"/>
                                          <w:marRight w:val="0"/>
                                          <w:marTop w:val="0"/>
                                          <w:marBottom w:val="0"/>
                                          <w:divBdr>
                                            <w:top w:val="single" w:sz="2" w:space="0" w:color="D9D9E3"/>
                                            <w:left w:val="single" w:sz="2" w:space="0" w:color="D9D9E3"/>
                                            <w:bottom w:val="single" w:sz="2" w:space="0" w:color="D9D9E3"/>
                                            <w:right w:val="single" w:sz="2" w:space="0" w:color="D9D9E3"/>
                                          </w:divBdr>
                                          <w:divsChild>
                                            <w:div w:id="635378200">
                                              <w:marLeft w:val="0"/>
                                              <w:marRight w:val="0"/>
                                              <w:marTop w:val="0"/>
                                              <w:marBottom w:val="0"/>
                                              <w:divBdr>
                                                <w:top w:val="single" w:sz="2" w:space="0" w:color="D9D9E3"/>
                                                <w:left w:val="single" w:sz="2" w:space="0" w:color="D9D9E3"/>
                                                <w:bottom w:val="single" w:sz="2" w:space="0" w:color="D9D9E3"/>
                                                <w:right w:val="single" w:sz="2" w:space="0" w:color="D9D9E3"/>
                                              </w:divBdr>
                                              <w:divsChild>
                                                <w:div w:id="1973436882">
                                                  <w:marLeft w:val="0"/>
                                                  <w:marRight w:val="0"/>
                                                  <w:marTop w:val="0"/>
                                                  <w:marBottom w:val="0"/>
                                                  <w:divBdr>
                                                    <w:top w:val="single" w:sz="2" w:space="0" w:color="D9D9E3"/>
                                                    <w:left w:val="single" w:sz="2" w:space="0" w:color="D9D9E3"/>
                                                    <w:bottom w:val="single" w:sz="2" w:space="0" w:color="D9D9E3"/>
                                                    <w:right w:val="single" w:sz="2" w:space="0" w:color="D9D9E3"/>
                                                  </w:divBdr>
                                                  <w:divsChild>
                                                    <w:div w:id="1655590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52410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EA0D9-023E-4697-B2FF-B0B4C61F1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3825</Words>
  <Characters>21807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Josephine</dc:creator>
  <cp:keywords/>
  <dc:description/>
  <cp:lastModifiedBy>NABILA HANINGTYAS</cp:lastModifiedBy>
  <cp:revision>2</cp:revision>
  <dcterms:created xsi:type="dcterms:W3CDTF">2023-12-10T11:49:00Z</dcterms:created>
  <dcterms:modified xsi:type="dcterms:W3CDTF">2023-12-10T11:49:00Z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http://www.zotero.org/styles/cardiff-university-vancouver</vt:lpwstr>
  </property>
  <property fmtid="{D5CDD505-2E9C-101B-9397-08002B2CF9AE}" pid="7" name="Mendeley Recent Style Name 2_1">
    <vt:lpwstr>Cardiff University - Vancouver</vt:lpwstr>
  </property>
  <property fmtid="{D5CDD505-2E9C-101B-9397-08002B2CF9AE}" pid="8" name="Mendeley Recent Style Id 3_1">
    <vt:lpwstr>http://www.zotero.org/styles/elsevier-vancouver</vt:lpwstr>
  </property>
  <property fmtid="{D5CDD505-2E9C-101B-9397-08002B2CF9AE}" pid="9" name="Mendeley Recent Style Name 3_1">
    <vt:lpwstr>Elsevier - Vancouver</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9th edition</vt:lpwstr>
  </property>
  <property fmtid="{D5CDD505-2E9C-101B-9397-08002B2CF9AE}" pid="14" name="Mendeley Recent Style Id 6_1">
    <vt:lpwstr>http://www.zotero.org/styles/national-library-of-medicine</vt:lpwstr>
  </property>
  <property fmtid="{D5CDD505-2E9C-101B-9397-08002B2CF9AE}" pid="15" name="Mendeley Recent Style Name 6_1">
    <vt:lpwstr>National Library of Medicine</vt:lpwstr>
  </property>
  <property fmtid="{D5CDD505-2E9C-101B-9397-08002B2CF9AE}" pid="16" name="Mendeley Recent Style Id 7_1">
    <vt:lpwstr>http://www.zotero.org/styles/sage-vancouver</vt:lpwstr>
  </property>
  <property fmtid="{D5CDD505-2E9C-101B-9397-08002B2CF9AE}" pid="17" name="Mendeley Recent Style Name 7_1">
    <vt:lpwstr>SAGE - Vancouver</vt:lpwstr>
  </property>
  <property fmtid="{D5CDD505-2E9C-101B-9397-08002B2CF9AE}" pid="18" name="Mendeley Recent Style Id 8_1">
    <vt:lpwstr>http://www.zotero.org/styles/springer-vancouver</vt:lpwstr>
  </property>
  <property fmtid="{D5CDD505-2E9C-101B-9397-08002B2CF9AE}" pid="19" name="Mendeley Recent Style Name 8_1">
    <vt:lpwstr>Springer - Vancouver</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418e0ced-9322-34a6-ae00-534ff7004571</vt:lpwstr>
  </property>
  <property fmtid="{D5CDD505-2E9C-101B-9397-08002B2CF9AE}" pid="24" name="Mendeley Citation Style_1">
    <vt:lpwstr>http://www.zotero.org/styles/sage-vancouver</vt:lpwstr>
  </property>
</Properties>
</file>