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A3" w:rsidRPr="009875F8" w:rsidRDefault="00B74129" w:rsidP="00B74129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9875F8">
        <w:rPr>
          <w:rFonts w:ascii="Times New Roman" w:hAnsi="Times New Roman" w:cs="Times New Roman"/>
          <w:b/>
          <w:sz w:val="24"/>
        </w:rPr>
        <w:t>Table S</w:t>
      </w:r>
      <w:r w:rsidR="004A6407" w:rsidRPr="009875F8">
        <w:rPr>
          <w:rFonts w:ascii="Times New Roman" w:hAnsi="Times New Roman" w:cs="Times New Roman"/>
          <w:b/>
          <w:sz w:val="24"/>
        </w:rPr>
        <w:t>1</w:t>
      </w:r>
      <w:r w:rsidRPr="009875F8">
        <w:rPr>
          <w:rFonts w:ascii="Times New Roman" w:hAnsi="Times New Roman" w:cs="Times New Roman"/>
          <w:b/>
          <w:sz w:val="24"/>
        </w:rPr>
        <w:t>.</w:t>
      </w:r>
      <w:r w:rsidR="004A6407" w:rsidRPr="009875F8">
        <w:rPr>
          <w:rFonts w:ascii="Times New Roman" w:hAnsi="Times New Roman" w:cs="Times New Roman"/>
          <w:b/>
          <w:sz w:val="24"/>
        </w:rPr>
        <w:t xml:space="preserve"> </w:t>
      </w:r>
      <w:r w:rsidR="009875F8">
        <w:rPr>
          <w:rFonts w:ascii="Times New Roman" w:hAnsi="Times New Roman" w:cs="Times New Roman"/>
          <w:sz w:val="24"/>
        </w:rPr>
        <w:t>C</w:t>
      </w:r>
      <w:r w:rsidR="007365A3" w:rsidRPr="009875F8">
        <w:rPr>
          <w:rFonts w:ascii="Times New Roman" w:hAnsi="Times New Roman" w:cs="Times New Roman"/>
          <w:sz w:val="24"/>
        </w:rPr>
        <w:t>hemical substances detected in the preen oil samples of female and male adult Kentish plovers during incubation (</w:t>
      </w:r>
      <w:r w:rsidR="007365A3" w:rsidRPr="009875F8">
        <w:rPr>
          <w:rFonts w:ascii="Times New Roman" w:hAnsi="Times New Roman" w:cs="Times New Roman"/>
          <w:i/>
          <w:sz w:val="24"/>
        </w:rPr>
        <w:t>N</w:t>
      </w:r>
      <w:r w:rsidR="007365A3" w:rsidRPr="009875F8">
        <w:rPr>
          <w:rFonts w:ascii="Times New Roman" w:hAnsi="Times New Roman" w:cs="Times New Roman"/>
          <w:sz w:val="24"/>
        </w:rPr>
        <w:t xml:space="preserve"> = 20 samples).</w:t>
      </w:r>
      <w:r w:rsidR="007365A3" w:rsidRPr="009875F8">
        <w:rPr>
          <w:rFonts w:ascii="Times New Roman" w:hAnsi="Times New Roman" w:cs="Times New Roman"/>
          <w:b/>
          <w:sz w:val="24"/>
        </w:rPr>
        <w:t xml:space="preserve"> </w:t>
      </w:r>
      <w:r w:rsidR="007365A3" w:rsidRPr="009875F8">
        <w:rPr>
          <w:rFonts w:ascii="Times New Roman" w:hAnsi="Times New Roman" w:cs="Times New Roman"/>
          <w:sz w:val="24"/>
        </w:rPr>
        <w:t>Chemical s</w:t>
      </w:r>
      <w:r w:rsidR="004A6407" w:rsidRPr="009875F8">
        <w:rPr>
          <w:rFonts w:ascii="Times New Roman" w:hAnsi="Times New Roman" w:cs="Times New Roman"/>
          <w:sz w:val="24"/>
        </w:rPr>
        <w:t xml:space="preserve">ubstances </w:t>
      </w:r>
      <w:r w:rsidR="007365A3" w:rsidRPr="009875F8">
        <w:rPr>
          <w:rFonts w:ascii="Times New Roman" w:hAnsi="Times New Roman" w:cs="Times New Roman"/>
          <w:sz w:val="24"/>
        </w:rPr>
        <w:t>were defined by their retention time</w:t>
      </w:r>
      <w:r w:rsidR="004C3DDA" w:rsidRPr="009875F8">
        <w:rPr>
          <w:rFonts w:ascii="Times New Roman" w:hAnsi="Times New Roman" w:cs="Times New Roman"/>
          <w:sz w:val="24"/>
        </w:rPr>
        <w:t xml:space="preserve"> and are presented in descending order of </w:t>
      </w:r>
      <w:r w:rsidR="002D18B6">
        <w:rPr>
          <w:rFonts w:ascii="Times New Roman" w:hAnsi="Times New Roman" w:cs="Times New Roman"/>
          <w:sz w:val="24"/>
        </w:rPr>
        <w:t xml:space="preserve">mean </w:t>
      </w:r>
      <w:r w:rsidR="004C3DDA" w:rsidRPr="009875F8">
        <w:rPr>
          <w:rFonts w:ascii="Times New Roman" w:hAnsi="Times New Roman" w:cs="Times New Roman"/>
          <w:sz w:val="24"/>
        </w:rPr>
        <w:t>relative abundance</w:t>
      </w:r>
      <w:r w:rsidR="005F21EA" w:rsidRPr="009875F8">
        <w:rPr>
          <w:rFonts w:ascii="Times New Roman" w:hAnsi="Times New Roman" w:cs="Times New Roman"/>
          <w:sz w:val="24"/>
        </w:rPr>
        <w:t>.</w:t>
      </w:r>
      <w:r w:rsidR="00874213" w:rsidRPr="009875F8">
        <w:rPr>
          <w:rFonts w:ascii="Times New Roman" w:hAnsi="Times New Roman" w:cs="Times New Roman"/>
          <w:sz w:val="24"/>
        </w:rPr>
        <w:t xml:space="preserve"> </w:t>
      </w:r>
      <w:r w:rsidR="009875F8" w:rsidRPr="009875F8">
        <w:rPr>
          <w:rFonts w:ascii="Times New Roman" w:hAnsi="Times New Roman" w:cs="Times New Roman"/>
          <w:sz w:val="24"/>
        </w:rPr>
        <w:t>S</w:t>
      </w:r>
      <w:r w:rsidR="00874213" w:rsidRPr="009875F8">
        <w:rPr>
          <w:rFonts w:ascii="Times New Roman" w:hAnsi="Times New Roman" w:cs="Times New Roman"/>
          <w:sz w:val="24"/>
        </w:rPr>
        <w:t xml:space="preserve">ubstances were first putatively identified at the substance level by comparing mass spectrometry (MS) with the NIST library, </w:t>
      </w:r>
      <w:r w:rsidR="00A71AE5">
        <w:rPr>
          <w:rFonts w:ascii="Times New Roman" w:hAnsi="Times New Roman" w:cs="Times New Roman"/>
          <w:sz w:val="24"/>
        </w:rPr>
        <w:t>and the</w:t>
      </w:r>
      <w:r w:rsidR="002D18B6">
        <w:rPr>
          <w:rFonts w:ascii="Times New Roman" w:hAnsi="Times New Roman" w:cs="Times New Roman"/>
          <w:sz w:val="24"/>
        </w:rPr>
        <w:t>n the</w:t>
      </w:r>
      <w:r w:rsidR="00A71AE5">
        <w:rPr>
          <w:rFonts w:ascii="Times New Roman" w:hAnsi="Times New Roman" w:cs="Times New Roman"/>
          <w:sz w:val="24"/>
        </w:rPr>
        <w:t xml:space="preserve"> class of the putatively identified substances </w:t>
      </w:r>
      <w:r w:rsidR="00AB413A">
        <w:rPr>
          <w:rFonts w:ascii="Times New Roman" w:hAnsi="Times New Roman" w:cs="Times New Roman"/>
          <w:sz w:val="24"/>
        </w:rPr>
        <w:t xml:space="preserve">was </w:t>
      </w:r>
      <w:r w:rsidR="002D18B6">
        <w:rPr>
          <w:rFonts w:ascii="Times New Roman" w:hAnsi="Times New Roman" w:cs="Times New Roman"/>
          <w:sz w:val="24"/>
        </w:rPr>
        <w:t>identified</w:t>
      </w:r>
      <w:r w:rsidR="00AB413A">
        <w:rPr>
          <w:rFonts w:ascii="Times New Roman" w:hAnsi="Times New Roman" w:cs="Times New Roman"/>
          <w:sz w:val="24"/>
        </w:rPr>
        <w:t xml:space="preserve"> if </w:t>
      </w:r>
      <w:r w:rsidR="00A71AE5">
        <w:rPr>
          <w:rFonts w:ascii="Times New Roman" w:hAnsi="Times New Roman" w:cs="Times New Roman"/>
          <w:sz w:val="24"/>
        </w:rPr>
        <w:t xml:space="preserve">it was </w:t>
      </w:r>
      <w:r w:rsidR="00874213" w:rsidRPr="009875F8">
        <w:rPr>
          <w:rFonts w:ascii="Times New Roman" w:hAnsi="Times New Roman" w:cs="Times New Roman"/>
          <w:sz w:val="24"/>
        </w:rPr>
        <w:t xml:space="preserve">matching across </w:t>
      </w:r>
      <w:r w:rsidR="00753B52">
        <w:rPr>
          <w:rFonts w:ascii="Times New Roman" w:hAnsi="Times New Roman" w:cs="Times New Roman"/>
          <w:sz w:val="24"/>
        </w:rPr>
        <w:t xml:space="preserve">all </w:t>
      </w:r>
      <w:r w:rsidR="00874213" w:rsidRPr="009875F8">
        <w:rPr>
          <w:rFonts w:ascii="Times New Roman" w:hAnsi="Times New Roman" w:cs="Times New Roman"/>
          <w:sz w:val="24"/>
        </w:rPr>
        <w:t xml:space="preserve">samples. </w:t>
      </w:r>
      <w:r w:rsidR="00A71AE5">
        <w:rPr>
          <w:rFonts w:ascii="Times New Roman" w:hAnsi="Times New Roman" w:cs="Times New Roman"/>
          <w:sz w:val="24"/>
        </w:rPr>
        <w:t>Our analytical</w:t>
      </w:r>
      <w:r w:rsidR="002D18B6">
        <w:rPr>
          <w:rFonts w:ascii="Times New Roman" w:hAnsi="Times New Roman" w:cs="Times New Roman"/>
          <w:sz w:val="24"/>
        </w:rPr>
        <w:t xml:space="preserve"> method did</w:t>
      </w:r>
      <w:r w:rsidR="009875F8">
        <w:rPr>
          <w:rFonts w:ascii="Times New Roman" w:hAnsi="Times New Roman" w:cs="Times New Roman"/>
          <w:sz w:val="24"/>
        </w:rPr>
        <w:t xml:space="preserve"> not allow for an accur</w:t>
      </w:r>
      <w:r w:rsidR="002D18B6">
        <w:rPr>
          <w:rFonts w:ascii="Times New Roman" w:hAnsi="Times New Roman" w:cs="Times New Roman"/>
          <w:sz w:val="24"/>
        </w:rPr>
        <w:t>ate identification of substance names</w:t>
      </w:r>
      <w:r w:rsidR="009875F8">
        <w:rPr>
          <w:rFonts w:ascii="Times New Roman" w:hAnsi="Times New Roman" w:cs="Times New Roman"/>
          <w:sz w:val="24"/>
        </w:rPr>
        <w:t xml:space="preserve"> (therefore not reported here)</w:t>
      </w:r>
      <w:bookmarkStart w:id="0" w:name="_GoBack"/>
      <w:bookmarkEnd w:id="0"/>
      <w:r w:rsidR="00A71AE5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559"/>
      </w:tblGrid>
      <w:tr w:rsidR="00520E49" w:rsidRPr="00C17DD5" w:rsidTr="00520E49">
        <w:trPr>
          <w:trHeight w:val="99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20E49" w:rsidRPr="00357487" w:rsidRDefault="00520E49" w:rsidP="00520E49">
            <w:pPr>
              <w:suppressAutoHyphens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487">
              <w:rPr>
                <w:rFonts w:ascii="Arial" w:hAnsi="Arial" w:cs="Arial"/>
                <w:b/>
              </w:rPr>
              <w:t xml:space="preserve">Substance </w:t>
            </w:r>
            <w:r w:rsidRPr="00357487">
              <w:rPr>
                <w:rFonts w:ascii="Arial" w:hAnsi="Arial" w:cs="Arial"/>
              </w:rPr>
              <w:t>(retention time in min)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20E49" w:rsidRPr="00357487" w:rsidRDefault="00520E49" w:rsidP="00520E49">
            <w:pPr>
              <w:suppressAutoHyphens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487">
              <w:rPr>
                <w:rFonts w:ascii="Arial" w:hAnsi="Arial" w:cs="Arial"/>
                <w:b/>
                <w:i/>
              </w:rPr>
              <w:t>N</w:t>
            </w:r>
            <w:r w:rsidRPr="00357487">
              <w:rPr>
                <w:rFonts w:ascii="Arial" w:hAnsi="Arial" w:cs="Arial"/>
                <w:b/>
              </w:rPr>
              <w:t xml:space="preserve"> samples </w:t>
            </w:r>
            <w:r w:rsidRPr="00357487">
              <w:rPr>
                <w:rFonts w:ascii="Arial" w:hAnsi="Arial" w:cs="Arial"/>
              </w:rPr>
              <w:t>containing the substance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20E49" w:rsidRPr="00357487" w:rsidRDefault="00520E49" w:rsidP="00520E49">
            <w:pPr>
              <w:rPr>
                <w:rFonts w:ascii="Arial" w:hAnsi="Arial" w:cs="Arial"/>
                <w:b/>
              </w:rPr>
            </w:pPr>
            <w:r w:rsidRPr="00357487">
              <w:rPr>
                <w:rFonts w:ascii="Arial" w:hAnsi="Arial" w:cs="Arial"/>
                <w:b/>
              </w:rPr>
              <w:t>Relative abundance</w:t>
            </w:r>
          </w:p>
          <w:p w:rsidR="00520E49" w:rsidRPr="00357487" w:rsidRDefault="00520E49" w:rsidP="00520E49">
            <w:pPr>
              <w:suppressAutoHyphens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487">
              <w:rPr>
                <w:rFonts w:ascii="Arial" w:hAnsi="Arial" w:cs="Arial"/>
              </w:rPr>
              <w:t>(mean ± SD)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20E49" w:rsidRDefault="00520E49" w:rsidP="00520E49">
            <w:pPr>
              <w:suppressAutoHyphens w:val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</w:rPr>
              <w:t>Putative c</w:t>
            </w:r>
            <w:r>
              <w:rPr>
                <w:rFonts w:ascii="Arial" w:hAnsi="Arial" w:cs="Arial"/>
                <w:b/>
              </w:rPr>
              <w:t>lass</w:t>
            </w:r>
          </w:p>
        </w:tc>
      </w:tr>
      <w:tr w:rsidR="00520E49" w:rsidRPr="00C17DD5" w:rsidTr="00520E49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17.49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13.7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± 2.58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21.43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8.86 ± 3.87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15.96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8.53 ± 1.15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14.69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± 1.87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13.58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3.69 ± 1.59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13.84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3.16 ± 0.69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18.76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2.93 ± 0.53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24.00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2.81 ± 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16.29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± 0.59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18.26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2.72 ± 0.52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15.60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± 0.57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14.97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2.57 ± 0.47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18.05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2.23 ± 0.28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17.91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2.07 ± 0.58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12.64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1.91 ± 1.14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17.03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1.85 ± 0.33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15.09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1.83 ± 0.66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15.24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± 0.52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14.35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1.69 ± 0.56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12.87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± 0.49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Alkene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16.61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1.26 ± 0.23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27.11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1.22 ± 1.16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22.56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± 0.61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16.75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1.12 ± 0.34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16.43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1.11 ± 0.4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23.28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1.11 ± 0.53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Ether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20.22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0.99 ± 0.38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22.27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0.92 ± 0.43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12.02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0.89 ± 0.35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20.81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± 0.37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15.35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0.74 ± 0.24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18.42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0.67 ± 0.15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13.95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0.66 ± 0.62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14.07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0.66 ± 0.63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14.21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0.66 ± 0.25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14.03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0.61 ± 0.62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19.96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± 0.35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20.41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0.52 ± 0.22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15.49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0.46 ± 0.16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12.41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0.45 ± 0.3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19.76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0.45 ± 0.64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22.08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0.45 ± 0.4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12.98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0.43 ± 0.27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13.06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0.43 ± 0.31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16.51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0.36 ± 0.21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20.06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0.34 ± 0.19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19.73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0.32 ± 0.59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13.13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0.31 ± 0.22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17.80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0.25 ± 0.28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18.63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0.21 ± 0.11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14.15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0.19 ± 0.38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13.39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0.17 ± 0.1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12.11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0.14 ± 0.13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25.38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0.13 ± 0.18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11.01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0.12 ± 0.13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16.81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0.11 ± 0.24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19.69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0.11 ± 0.27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19.87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0.11 ± 0.15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13.24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0.09 ± 0.08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22.80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0.09 ± 0.09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26.24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0.08 ± 0.12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30.87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0.08 ± 0.19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11.58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0.07 ± 0.08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13.17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0.07 ± 0.11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25.02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0.07 ± 0.13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10.47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0.05 ± 0.03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28.35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0.05 ± 0.11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28.77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0.05 ± 0.14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29.82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0.05 ± 0.12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11.37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0.04 ± 0.06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17.25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0.03 ± 0.05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19.48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0.03 ± 0.09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21.88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0.03 ± 0.06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25.66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0.03 ± 0.09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11.44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0.02 ± 0.03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11.66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0.02 ± 0.03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24.66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0.02 ± 0.06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24.80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0.02 ± 0.07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25.18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0.02 ± 0.07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9.76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0.01 ± 0.01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10.80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0.01 ± 0.02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11.50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0.01 ± 0.01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13.69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0.01 ± 0.03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23.56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0.01 ± 0.02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4.62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5.14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5.56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5.73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Fatty acid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6.20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6.41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6.56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6.94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Fatty acid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7.34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10.59</w:t>
            </w:r>
          </w:p>
        </w:tc>
        <w:tc>
          <w:tcPr>
            <w:tcW w:w="1701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Monoester</w:t>
            </w:r>
          </w:p>
        </w:tc>
      </w:tr>
      <w:tr w:rsidR="00520E49" w:rsidRPr="00C17DD5" w:rsidTr="00520E49">
        <w:trPr>
          <w:trHeight w:val="32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10.70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&lt; </w:t>
            </w:r>
            <w:r w:rsidRPr="00C17DD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20E49" w:rsidRPr="00C17DD5" w:rsidRDefault="00520E49" w:rsidP="00520E49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49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Unidentified</w:t>
            </w:r>
          </w:p>
        </w:tc>
      </w:tr>
    </w:tbl>
    <w:p w:rsidR="00C17DD5" w:rsidRPr="00EB3F79" w:rsidRDefault="00C17DD5">
      <w:pPr>
        <w:rPr>
          <w:rFonts w:ascii="Arial" w:hAnsi="Arial" w:cs="Arial"/>
        </w:rPr>
      </w:pPr>
    </w:p>
    <w:sectPr w:rsidR="00C17DD5" w:rsidRPr="00EB3F79" w:rsidSect="007135CE">
      <w:pgSz w:w="12242" w:h="15842" w:code="1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29"/>
    <w:rsid w:val="000A38BD"/>
    <w:rsid w:val="00236B73"/>
    <w:rsid w:val="002D18B6"/>
    <w:rsid w:val="00357487"/>
    <w:rsid w:val="00406BD4"/>
    <w:rsid w:val="004A6407"/>
    <w:rsid w:val="004C3DDA"/>
    <w:rsid w:val="00520E49"/>
    <w:rsid w:val="005C25F6"/>
    <w:rsid w:val="005F21EA"/>
    <w:rsid w:val="007135CE"/>
    <w:rsid w:val="007365A3"/>
    <w:rsid w:val="00753B52"/>
    <w:rsid w:val="008517D4"/>
    <w:rsid w:val="00874213"/>
    <w:rsid w:val="009875F8"/>
    <w:rsid w:val="00A71AE5"/>
    <w:rsid w:val="00AB413A"/>
    <w:rsid w:val="00B74129"/>
    <w:rsid w:val="00C17DD5"/>
    <w:rsid w:val="00C8527C"/>
    <w:rsid w:val="00C85DFF"/>
    <w:rsid w:val="00DF0F5A"/>
    <w:rsid w:val="00E92466"/>
    <w:rsid w:val="00EB3F79"/>
    <w:rsid w:val="00EC41E2"/>
    <w:rsid w:val="00F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16EB"/>
  <w15:chartTrackingRefBased/>
  <w15:docId w15:val="{EE62F839-3BFA-4B8F-A617-6ECABC8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87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qFormat/>
    <w:rsid w:val="00B74129"/>
  </w:style>
  <w:style w:type="table" w:styleId="TableGrid">
    <w:name w:val="Table Grid"/>
    <w:basedOn w:val="TableNormal"/>
    <w:uiPriority w:val="39"/>
    <w:rsid w:val="00B7412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74129"/>
  </w:style>
  <w:style w:type="paragraph" w:styleId="BalloonText">
    <w:name w:val="Balloon Text"/>
    <w:basedOn w:val="Normal"/>
    <w:link w:val="BalloonTextChar"/>
    <w:uiPriority w:val="99"/>
    <w:semiHidden/>
    <w:unhideWhenUsed/>
    <w:rsid w:val="004A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Gilles</dc:creator>
  <cp:keywords/>
  <dc:description/>
  <cp:lastModifiedBy>Marc Gilles</cp:lastModifiedBy>
  <cp:revision>3</cp:revision>
  <dcterms:created xsi:type="dcterms:W3CDTF">2024-01-16T20:04:00Z</dcterms:created>
  <dcterms:modified xsi:type="dcterms:W3CDTF">2024-01-16T20:20:00Z</dcterms:modified>
</cp:coreProperties>
</file>