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5E" w:rsidRDefault="00B06ECC" w:rsidP="0010275E">
      <w:pPr>
        <w:spacing w:line="480" w:lineRule="auto"/>
        <w:rPr>
          <w:rFonts w:ascii="Times New Roman" w:hAnsi="Times New Roman" w:cs="Times New Roman"/>
          <w:sz w:val="24"/>
        </w:rPr>
      </w:pPr>
      <w:r>
        <w:rPr>
          <w:rFonts w:ascii="Times New Roman" w:hAnsi="Times New Roman" w:cs="Times New Roman"/>
          <w:b/>
        </w:rPr>
        <w:t>Table S2</w:t>
      </w:r>
      <w:bookmarkStart w:id="0" w:name="_GoBack"/>
      <w:bookmarkEnd w:id="0"/>
      <w:r w:rsidR="0010275E">
        <w:rPr>
          <w:rFonts w:ascii="Times New Roman" w:hAnsi="Times New Roman" w:cs="Times New Roman"/>
          <w:b/>
        </w:rPr>
        <w:t>.</w:t>
      </w:r>
      <w:r w:rsidR="0010275E">
        <w:rPr>
          <w:rFonts w:ascii="Times New Roman" w:hAnsi="Times New Roman" w:cs="Times New Roman"/>
        </w:rPr>
        <w:t xml:space="preserve"> </w:t>
      </w:r>
      <w:r w:rsidR="0010275E">
        <w:rPr>
          <w:rFonts w:ascii="Times New Roman" w:hAnsi="Times New Roman" w:cs="Times New Roman"/>
          <w:sz w:val="24"/>
        </w:rPr>
        <w:t xml:space="preserve">Results from </w:t>
      </w:r>
      <w:proofErr w:type="spellStart"/>
      <w:r w:rsidR="0010275E">
        <w:rPr>
          <w:rFonts w:ascii="Times New Roman" w:hAnsi="Times New Roman" w:cs="Times New Roman"/>
          <w:sz w:val="24"/>
        </w:rPr>
        <w:t>permutational</w:t>
      </w:r>
      <w:proofErr w:type="spellEnd"/>
      <w:r w:rsidR="0010275E">
        <w:rPr>
          <w:rFonts w:ascii="Times New Roman" w:hAnsi="Times New Roman" w:cs="Times New Roman"/>
          <w:sz w:val="24"/>
        </w:rPr>
        <w:t xml:space="preserve"> multivariate analysis of variance (PERMANOVA) testing the effect of sex, the number of days after laying and the interaction between sex and the number of days after laying on the beta diversity (Bray-Curtis dissimilarities) of the preen oil of Kentish plovers. The PERMANOVA was run on </w:t>
      </w:r>
      <w:r w:rsidR="0010275E">
        <w:rPr>
          <w:rFonts w:ascii="Times New Roman" w:eastAsia="Times New Roman" w:hAnsi="Times New Roman" w:cs="Times New Roman"/>
          <w:sz w:val="24"/>
          <w:szCs w:val="24"/>
        </w:rPr>
        <w:t>16 samples (</w:t>
      </w:r>
      <w:r w:rsidR="0010275E">
        <w:rPr>
          <w:rFonts w:ascii="Times New Roman" w:eastAsia="Times New Roman" w:hAnsi="Times New Roman" w:cs="Times New Roman"/>
          <w:i/>
          <w:sz w:val="24"/>
          <w:szCs w:val="24"/>
        </w:rPr>
        <w:t>N</w:t>
      </w:r>
      <w:r w:rsidR="0010275E">
        <w:rPr>
          <w:rFonts w:ascii="Times New Roman" w:eastAsia="Times New Roman" w:hAnsi="Times New Roman" w:cs="Times New Roman"/>
          <w:sz w:val="24"/>
          <w:szCs w:val="24"/>
        </w:rPr>
        <w:t xml:space="preserve"> = 16; 7 females and 9 males) out of the 20 samples, excluding 4 samples (2 females and 2 males) among “paired” samples (i.e. from the same breeding pair), so that all samples were from different breeding pairs. The PERMANOVA was iterated 1,000 times with a randomized selection of four excluded samples at each iteration, and was </w:t>
      </w:r>
      <w:r w:rsidR="0010275E">
        <w:rPr>
          <w:rFonts w:ascii="Times New Roman" w:hAnsi="Times New Roman" w:cs="Times New Roman"/>
          <w:sz w:val="24"/>
        </w:rPr>
        <w:t>run with 9,999 permutations and sequential (type I) sums of square</w:t>
      </w:r>
      <w:r w:rsidR="0010275E">
        <w:rPr>
          <w:rFonts w:ascii="Times New Roman" w:eastAsia="Times New Roman" w:hAnsi="Times New Roman" w:cs="Times New Roman"/>
          <w:sz w:val="24"/>
          <w:szCs w:val="24"/>
        </w:rPr>
        <w:t xml:space="preserve">. </w:t>
      </w:r>
      <w:r w:rsidR="0010275E">
        <w:rPr>
          <w:rFonts w:ascii="Times New Roman" w:hAnsi="Times New Roman" w:cs="Times New Roman"/>
          <w:sz w:val="24"/>
        </w:rPr>
        <w:t>Sums of square (</w:t>
      </w:r>
      <w:r w:rsidR="0010275E">
        <w:rPr>
          <w:rFonts w:ascii="Times New Roman" w:hAnsi="Times New Roman" w:cs="Times New Roman"/>
          <w:i/>
          <w:sz w:val="24"/>
        </w:rPr>
        <w:t>SS</w:t>
      </w:r>
      <w:r w:rsidR="0010275E">
        <w:rPr>
          <w:rFonts w:ascii="Times New Roman" w:hAnsi="Times New Roman" w:cs="Times New Roman"/>
          <w:sz w:val="24"/>
        </w:rPr>
        <w:t xml:space="preserve">), </w:t>
      </w:r>
      <w:r w:rsidR="0010275E">
        <w:rPr>
          <w:rFonts w:ascii="Times New Roman" w:hAnsi="Times New Roman" w:cs="Times New Roman"/>
          <w:i/>
          <w:sz w:val="24"/>
        </w:rPr>
        <w:t>R</w:t>
      </w:r>
      <w:r w:rsidR="0010275E">
        <w:rPr>
          <w:rFonts w:ascii="Times New Roman" w:hAnsi="Times New Roman" w:cs="Times New Roman"/>
          <w:i/>
          <w:sz w:val="24"/>
          <w:vertAlign w:val="superscript"/>
        </w:rPr>
        <w:t>2</w:t>
      </w:r>
      <w:r w:rsidR="0010275E">
        <w:rPr>
          <w:rFonts w:ascii="Times New Roman" w:hAnsi="Times New Roman" w:cs="Times New Roman"/>
          <w:sz w:val="24"/>
        </w:rPr>
        <w:t xml:space="preserve"> and </w:t>
      </w:r>
      <w:r w:rsidR="0010275E">
        <w:rPr>
          <w:rFonts w:ascii="Times New Roman" w:hAnsi="Times New Roman" w:cs="Times New Roman"/>
          <w:i/>
          <w:sz w:val="24"/>
        </w:rPr>
        <w:t>F</w:t>
      </w:r>
      <w:r w:rsidR="0010275E">
        <w:rPr>
          <w:rFonts w:ascii="Times New Roman" w:hAnsi="Times New Roman" w:cs="Times New Roman"/>
          <w:sz w:val="24"/>
        </w:rPr>
        <w:t xml:space="preserve"> values are reported as median (interquartile range) across iterations.</w:t>
      </w:r>
    </w:p>
    <w:p w:rsidR="0010275E" w:rsidRDefault="0010275E" w:rsidP="0010275E">
      <w:pPr>
        <w:spacing w:line="480" w:lineRule="auto"/>
        <w:rPr>
          <w:rFonts w:ascii="Times New Roman" w:hAnsi="Times New Roman" w:cs="Times New Roman"/>
          <w:sz w:val="24"/>
        </w:rPr>
      </w:pPr>
    </w:p>
    <w:tbl>
      <w:tblPr>
        <w:tblStyle w:val="TableGrid"/>
        <w:tblW w:w="9592" w:type="dxa"/>
        <w:jc w:val="center"/>
        <w:tblLayout w:type="fixed"/>
        <w:tblLook w:val="04A0" w:firstRow="1" w:lastRow="0" w:firstColumn="1" w:lastColumn="0" w:noHBand="0" w:noVBand="1"/>
      </w:tblPr>
      <w:tblGrid>
        <w:gridCol w:w="2789"/>
        <w:gridCol w:w="567"/>
        <w:gridCol w:w="1842"/>
        <w:gridCol w:w="1842"/>
        <w:gridCol w:w="1846"/>
        <w:gridCol w:w="706"/>
      </w:tblGrid>
      <w:tr w:rsidR="0010275E" w:rsidTr="0085434A">
        <w:trPr>
          <w:trHeight w:val="510"/>
          <w:jc w:val="center"/>
        </w:trPr>
        <w:tc>
          <w:tcPr>
            <w:tcW w:w="2788" w:type="dxa"/>
            <w:tcBorders>
              <w:top w:val="nil"/>
              <w:left w:val="nil"/>
              <w:right w:val="nil"/>
            </w:tcBorders>
            <w:vAlign w:val="center"/>
          </w:tcPr>
          <w:p w:rsidR="0010275E" w:rsidRDefault="0010275E" w:rsidP="0085434A">
            <w:pPr>
              <w:widowControl w:val="0"/>
              <w:rPr>
                <w:rFonts w:ascii="Arial" w:hAnsi="Arial" w:cs="Arial"/>
                <w:b/>
              </w:rPr>
            </w:pPr>
            <w:r>
              <w:rPr>
                <w:rFonts w:ascii="Arial" w:eastAsia="Calibri" w:hAnsi="Arial" w:cs="Arial"/>
                <w:b/>
              </w:rPr>
              <w:t>Bray-Curtis dissimilarity</w:t>
            </w:r>
          </w:p>
        </w:tc>
        <w:tc>
          <w:tcPr>
            <w:tcW w:w="567" w:type="dxa"/>
            <w:tcBorders>
              <w:left w:val="nil"/>
              <w:right w:val="nil"/>
            </w:tcBorders>
            <w:vAlign w:val="center"/>
          </w:tcPr>
          <w:p w:rsidR="0010275E" w:rsidRDefault="0010275E" w:rsidP="0085434A">
            <w:pPr>
              <w:widowControl w:val="0"/>
              <w:rPr>
                <w:rFonts w:ascii="Arial" w:hAnsi="Arial" w:cs="Arial"/>
              </w:rPr>
            </w:pPr>
            <w:proofErr w:type="spellStart"/>
            <w:r>
              <w:rPr>
                <w:rFonts w:ascii="Arial" w:eastAsia="Calibri" w:hAnsi="Arial" w:cs="Arial"/>
              </w:rPr>
              <w:t>df</w:t>
            </w:r>
            <w:proofErr w:type="spellEnd"/>
          </w:p>
        </w:tc>
        <w:tc>
          <w:tcPr>
            <w:tcW w:w="1842" w:type="dxa"/>
            <w:tcBorders>
              <w:left w:val="nil"/>
              <w:right w:val="nil"/>
            </w:tcBorders>
            <w:vAlign w:val="center"/>
          </w:tcPr>
          <w:p w:rsidR="0010275E" w:rsidRDefault="0010275E" w:rsidP="0085434A">
            <w:pPr>
              <w:widowControl w:val="0"/>
              <w:rPr>
                <w:rFonts w:ascii="Arial" w:hAnsi="Arial" w:cs="Arial"/>
              </w:rPr>
            </w:pPr>
            <w:r>
              <w:rPr>
                <w:rFonts w:ascii="Arial" w:eastAsia="Calibri" w:hAnsi="Arial" w:cs="Arial"/>
              </w:rPr>
              <w:t>SS</w:t>
            </w:r>
          </w:p>
        </w:tc>
        <w:tc>
          <w:tcPr>
            <w:tcW w:w="1842" w:type="dxa"/>
            <w:tcBorders>
              <w:left w:val="nil"/>
              <w:right w:val="nil"/>
            </w:tcBorders>
            <w:vAlign w:val="center"/>
          </w:tcPr>
          <w:p w:rsidR="0010275E" w:rsidRDefault="0010275E" w:rsidP="0085434A">
            <w:pPr>
              <w:widowControl w:val="0"/>
              <w:rPr>
                <w:rFonts w:ascii="Arial" w:hAnsi="Arial" w:cs="Arial"/>
                <w:i/>
              </w:rPr>
            </w:pPr>
            <w:r>
              <w:rPr>
                <w:rFonts w:ascii="Arial" w:eastAsia="Calibri" w:hAnsi="Arial" w:cs="Arial"/>
                <w:i/>
              </w:rPr>
              <w:t>R</w:t>
            </w:r>
            <w:r>
              <w:rPr>
                <w:rFonts w:ascii="Arial" w:eastAsia="Calibri" w:hAnsi="Arial" w:cs="Arial"/>
                <w:i/>
                <w:vertAlign w:val="superscript"/>
              </w:rPr>
              <w:t>2</w:t>
            </w:r>
          </w:p>
        </w:tc>
        <w:tc>
          <w:tcPr>
            <w:tcW w:w="1846" w:type="dxa"/>
            <w:tcBorders>
              <w:left w:val="nil"/>
              <w:right w:val="nil"/>
            </w:tcBorders>
            <w:vAlign w:val="center"/>
          </w:tcPr>
          <w:p w:rsidR="0010275E" w:rsidRDefault="0010275E" w:rsidP="0085434A">
            <w:pPr>
              <w:widowControl w:val="0"/>
              <w:rPr>
                <w:rFonts w:ascii="Arial" w:hAnsi="Arial" w:cs="Arial"/>
                <w:i/>
              </w:rPr>
            </w:pPr>
            <w:r>
              <w:rPr>
                <w:rFonts w:ascii="Arial" w:eastAsia="Calibri" w:hAnsi="Arial" w:cs="Arial"/>
                <w:i/>
              </w:rPr>
              <w:t>F</w:t>
            </w:r>
          </w:p>
        </w:tc>
        <w:tc>
          <w:tcPr>
            <w:tcW w:w="706" w:type="dxa"/>
            <w:tcBorders>
              <w:left w:val="nil"/>
              <w:right w:val="nil"/>
            </w:tcBorders>
            <w:vAlign w:val="center"/>
          </w:tcPr>
          <w:p w:rsidR="0010275E" w:rsidRDefault="0010275E" w:rsidP="0085434A">
            <w:pPr>
              <w:widowControl w:val="0"/>
              <w:rPr>
                <w:rFonts w:ascii="Arial" w:hAnsi="Arial" w:cs="Arial"/>
                <w:i/>
              </w:rPr>
            </w:pPr>
            <w:r>
              <w:rPr>
                <w:rFonts w:ascii="Arial" w:eastAsia="Calibri" w:hAnsi="Arial" w:cs="Arial"/>
                <w:i/>
              </w:rPr>
              <w:t>P</w:t>
            </w:r>
          </w:p>
        </w:tc>
      </w:tr>
      <w:tr w:rsidR="0010275E" w:rsidTr="0085434A">
        <w:trPr>
          <w:trHeight w:val="397"/>
          <w:jc w:val="center"/>
        </w:trPr>
        <w:tc>
          <w:tcPr>
            <w:tcW w:w="2788"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Sex</w:t>
            </w:r>
          </w:p>
        </w:tc>
        <w:tc>
          <w:tcPr>
            <w:tcW w:w="567"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1</w:t>
            </w:r>
          </w:p>
        </w:tc>
        <w:tc>
          <w:tcPr>
            <w:tcW w:w="1842"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0.02 (0.01–0.03)</w:t>
            </w:r>
          </w:p>
        </w:tc>
        <w:tc>
          <w:tcPr>
            <w:tcW w:w="1842"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0.11 (0.03–0.13)</w:t>
            </w:r>
          </w:p>
        </w:tc>
        <w:tc>
          <w:tcPr>
            <w:tcW w:w="1846"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1.77 (0.57–2.45)</w:t>
            </w:r>
          </w:p>
        </w:tc>
        <w:tc>
          <w:tcPr>
            <w:tcW w:w="706"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0.35</w:t>
            </w:r>
          </w:p>
        </w:tc>
      </w:tr>
      <w:tr w:rsidR="0010275E" w:rsidTr="0085434A">
        <w:trPr>
          <w:trHeight w:val="397"/>
          <w:jc w:val="center"/>
        </w:trPr>
        <w:tc>
          <w:tcPr>
            <w:tcW w:w="2788"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Days after laying</w:t>
            </w:r>
          </w:p>
        </w:tc>
        <w:tc>
          <w:tcPr>
            <w:tcW w:w="567"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1</w:t>
            </w:r>
          </w:p>
        </w:tc>
        <w:tc>
          <w:tcPr>
            <w:tcW w:w="1842"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0.02 (0.00–</w:t>
            </w:r>
            <w:r>
              <w:rPr>
                <w:rStyle w:val="hgkelc"/>
                <w:rFonts w:ascii="Arial" w:eastAsia="Calibri" w:hAnsi="Arial" w:cs="Arial"/>
                <w:bCs/>
                <w:lang w:val="en-US"/>
              </w:rPr>
              <w:t>0.03)</w:t>
            </w:r>
          </w:p>
        </w:tc>
        <w:tc>
          <w:tcPr>
            <w:tcW w:w="1842"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0.11 (0.01–0.15)</w:t>
            </w:r>
          </w:p>
        </w:tc>
        <w:tc>
          <w:tcPr>
            <w:tcW w:w="1846"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1.79 (0.27–2.87)</w:t>
            </w:r>
          </w:p>
        </w:tc>
        <w:tc>
          <w:tcPr>
            <w:tcW w:w="706"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0.48</w:t>
            </w:r>
          </w:p>
        </w:tc>
      </w:tr>
      <w:tr w:rsidR="0010275E" w:rsidTr="0085434A">
        <w:trPr>
          <w:trHeight w:val="397"/>
          <w:jc w:val="center"/>
        </w:trPr>
        <w:tc>
          <w:tcPr>
            <w:tcW w:w="2788"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Sex × Days after laying</w:t>
            </w:r>
          </w:p>
        </w:tc>
        <w:tc>
          <w:tcPr>
            <w:tcW w:w="567"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1</w:t>
            </w:r>
          </w:p>
        </w:tc>
        <w:tc>
          <w:tcPr>
            <w:tcW w:w="1842"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0.01 (0.01–</w:t>
            </w:r>
            <w:r>
              <w:rPr>
                <w:rStyle w:val="hgkelc"/>
                <w:rFonts w:ascii="Arial" w:eastAsia="Calibri" w:hAnsi="Arial" w:cs="Arial"/>
                <w:bCs/>
                <w:lang w:val="en-US"/>
              </w:rPr>
              <w:t>0.04)</w:t>
            </w:r>
          </w:p>
        </w:tc>
        <w:tc>
          <w:tcPr>
            <w:tcW w:w="1842"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0.06 (0.02–0.14)</w:t>
            </w:r>
          </w:p>
        </w:tc>
        <w:tc>
          <w:tcPr>
            <w:tcW w:w="1846"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1.06 (0.86–2.05)</w:t>
            </w:r>
          </w:p>
        </w:tc>
        <w:tc>
          <w:tcPr>
            <w:tcW w:w="706" w:type="dxa"/>
            <w:tcBorders>
              <w:top w:val="nil"/>
              <w:left w:val="nil"/>
              <w:bottom w:val="nil"/>
              <w:right w:val="nil"/>
            </w:tcBorders>
            <w:vAlign w:val="bottom"/>
          </w:tcPr>
          <w:p w:rsidR="0010275E" w:rsidRDefault="0010275E" w:rsidP="0085434A">
            <w:pPr>
              <w:widowControl w:val="0"/>
              <w:rPr>
                <w:rFonts w:ascii="Arial" w:hAnsi="Arial" w:cs="Arial"/>
              </w:rPr>
            </w:pPr>
            <w:r>
              <w:rPr>
                <w:rFonts w:ascii="Arial" w:eastAsia="Calibri" w:hAnsi="Arial" w:cs="Arial"/>
              </w:rPr>
              <w:t>0.34</w:t>
            </w:r>
          </w:p>
        </w:tc>
      </w:tr>
      <w:tr w:rsidR="0010275E" w:rsidTr="0085434A">
        <w:trPr>
          <w:trHeight w:val="510"/>
          <w:jc w:val="center"/>
        </w:trPr>
        <w:tc>
          <w:tcPr>
            <w:tcW w:w="2788" w:type="dxa"/>
            <w:tcBorders>
              <w:top w:val="nil"/>
              <w:left w:val="nil"/>
              <w:right w:val="nil"/>
            </w:tcBorders>
            <w:vAlign w:val="bottom"/>
          </w:tcPr>
          <w:p w:rsidR="0010275E" w:rsidRDefault="0010275E" w:rsidP="0085434A">
            <w:pPr>
              <w:widowControl w:val="0"/>
              <w:spacing w:line="360" w:lineRule="auto"/>
              <w:rPr>
                <w:rFonts w:ascii="Arial" w:hAnsi="Arial" w:cs="Arial"/>
              </w:rPr>
            </w:pPr>
            <w:r>
              <w:rPr>
                <w:rFonts w:ascii="Arial" w:eastAsia="Calibri" w:hAnsi="Arial" w:cs="Arial"/>
              </w:rPr>
              <w:t>Residuals</w:t>
            </w:r>
          </w:p>
        </w:tc>
        <w:tc>
          <w:tcPr>
            <w:tcW w:w="567" w:type="dxa"/>
            <w:tcBorders>
              <w:top w:val="nil"/>
              <w:left w:val="nil"/>
              <w:right w:val="nil"/>
            </w:tcBorders>
            <w:vAlign w:val="bottom"/>
          </w:tcPr>
          <w:p w:rsidR="0010275E" w:rsidRDefault="0010275E" w:rsidP="0085434A">
            <w:pPr>
              <w:widowControl w:val="0"/>
              <w:spacing w:line="360" w:lineRule="auto"/>
              <w:rPr>
                <w:rFonts w:ascii="Arial" w:hAnsi="Arial" w:cs="Arial"/>
              </w:rPr>
            </w:pPr>
            <w:r>
              <w:rPr>
                <w:rFonts w:ascii="Arial" w:eastAsia="Calibri" w:hAnsi="Arial" w:cs="Arial"/>
              </w:rPr>
              <w:t>12</w:t>
            </w:r>
          </w:p>
        </w:tc>
        <w:tc>
          <w:tcPr>
            <w:tcW w:w="1842" w:type="dxa"/>
            <w:tcBorders>
              <w:top w:val="nil"/>
              <w:left w:val="nil"/>
              <w:right w:val="nil"/>
            </w:tcBorders>
            <w:vAlign w:val="bottom"/>
          </w:tcPr>
          <w:p w:rsidR="0010275E" w:rsidRDefault="0010275E" w:rsidP="0085434A">
            <w:pPr>
              <w:widowControl w:val="0"/>
              <w:spacing w:line="360" w:lineRule="auto"/>
              <w:rPr>
                <w:rFonts w:ascii="Arial" w:hAnsi="Arial" w:cs="Arial"/>
              </w:rPr>
            </w:pPr>
            <w:r>
              <w:rPr>
                <w:rFonts w:ascii="Arial" w:eastAsia="Calibri" w:hAnsi="Arial" w:cs="Arial"/>
              </w:rPr>
              <w:t>0.16 (0.14–</w:t>
            </w:r>
            <w:r>
              <w:rPr>
                <w:rStyle w:val="hgkelc"/>
                <w:rFonts w:ascii="Arial" w:eastAsia="Calibri" w:hAnsi="Arial" w:cs="Arial"/>
                <w:bCs/>
                <w:lang w:val="en-US"/>
              </w:rPr>
              <w:t>0.20)</w:t>
            </w:r>
          </w:p>
        </w:tc>
        <w:tc>
          <w:tcPr>
            <w:tcW w:w="1842" w:type="dxa"/>
            <w:tcBorders>
              <w:top w:val="nil"/>
              <w:left w:val="nil"/>
              <w:right w:val="nil"/>
            </w:tcBorders>
            <w:vAlign w:val="bottom"/>
          </w:tcPr>
          <w:p w:rsidR="0010275E" w:rsidRDefault="0010275E" w:rsidP="0085434A">
            <w:pPr>
              <w:widowControl w:val="0"/>
              <w:spacing w:line="360" w:lineRule="auto"/>
              <w:rPr>
                <w:rFonts w:ascii="Arial" w:hAnsi="Arial" w:cs="Arial"/>
              </w:rPr>
            </w:pPr>
            <w:r>
              <w:rPr>
                <w:rFonts w:ascii="Arial" w:eastAsia="Calibri" w:hAnsi="Arial" w:cs="Arial"/>
              </w:rPr>
              <w:t>0.73 (0.64–0.80)</w:t>
            </w:r>
          </w:p>
        </w:tc>
        <w:tc>
          <w:tcPr>
            <w:tcW w:w="1846" w:type="dxa"/>
            <w:tcBorders>
              <w:top w:val="nil"/>
              <w:left w:val="nil"/>
              <w:right w:val="nil"/>
            </w:tcBorders>
            <w:vAlign w:val="bottom"/>
          </w:tcPr>
          <w:p w:rsidR="0010275E" w:rsidRDefault="0010275E" w:rsidP="0085434A">
            <w:pPr>
              <w:widowControl w:val="0"/>
              <w:spacing w:line="360" w:lineRule="auto"/>
              <w:rPr>
                <w:rFonts w:ascii="Arial" w:hAnsi="Arial" w:cs="Arial"/>
              </w:rPr>
            </w:pPr>
            <w:r>
              <w:rPr>
                <w:rStyle w:val="hgkelc"/>
                <w:rFonts w:eastAsia="Calibri"/>
                <w:b/>
                <w:bCs/>
                <w:lang w:val="en-US"/>
              </w:rPr>
              <w:t>—</w:t>
            </w:r>
          </w:p>
        </w:tc>
        <w:tc>
          <w:tcPr>
            <w:tcW w:w="706" w:type="dxa"/>
            <w:tcBorders>
              <w:top w:val="nil"/>
              <w:left w:val="nil"/>
              <w:right w:val="nil"/>
            </w:tcBorders>
            <w:vAlign w:val="bottom"/>
          </w:tcPr>
          <w:p w:rsidR="0010275E" w:rsidRDefault="0010275E" w:rsidP="0085434A">
            <w:pPr>
              <w:widowControl w:val="0"/>
              <w:spacing w:line="360" w:lineRule="auto"/>
              <w:rPr>
                <w:rFonts w:ascii="Arial" w:hAnsi="Arial" w:cs="Arial"/>
              </w:rPr>
            </w:pPr>
            <w:r>
              <w:rPr>
                <w:rStyle w:val="hgkelc"/>
                <w:rFonts w:eastAsia="Calibri"/>
                <w:b/>
                <w:bCs/>
                <w:lang w:val="en-US"/>
              </w:rPr>
              <w:t>—</w:t>
            </w:r>
          </w:p>
        </w:tc>
      </w:tr>
    </w:tbl>
    <w:p w:rsidR="00BB2E6E" w:rsidRDefault="00B06ECC"/>
    <w:sectPr w:rsidR="00BB2E6E" w:rsidSect="00A80F0C">
      <w:pgSz w:w="12242" w:h="15842"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5E"/>
    <w:rsid w:val="000A38BD"/>
    <w:rsid w:val="0010275E"/>
    <w:rsid w:val="005C25F6"/>
    <w:rsid w:val="006A7A00"/>
    <w:rsid w:val="00A80F0C"/>
    <w:rsid w:val="00B06ECC"/>
    <w:rsid w:val="00C1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57DE"/>
  <w15:chartTrackingRefBased/>
  <w15:docId w15:val="{0C5C8AEE-A2A3-4898-9234-D3F88BD9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5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qFormat/>
    <w:rsid w:val="0010275E"/>
  </w:style>
  <w:style w:type="table" w:styleId="TableGrid">
    <w:name w:val="Table Grid"/>
    <w:basedOn w:val="TableNormal"/>
    <w:uiPriority w:val="39"/>
    <w:rsid w:val="0010275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0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Gilles</dc:creator>
  <cp:keywords/>
  <dc:description/>
  <cp:lastModifiedBy>Marc Gilles</cp:lastModifiedBy>
  <cp:revision>5</cp:revision>
  <dcterms:created xsi:type="dcterms:W3CDTF">2023-11-11T11:53:00Z</dcterms:created>
  <dcterms:modified xsi:type="dcterms:W3CDTF">2024-01-16T14:31:00Z</dcterms:modified>
</cp:coreProperties>
</file>