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29" w:rsidRDefault="00B74129" w:rsidP="00B74129">
      <w:pPr>
        <w:spacing w:line="480" w:lineRule="auto"/>
        <w:rPr>
          <w:rFonts w:ascii="Times New Roman" w:hAnsi="Times New Roman" w:cs="Times New Roman"/>
          <w:sz w:val="24"/>
        </w:rPr>
      </w:pPr>
      <w:r>
        <w:rPr>
          <w:rFonts w:ascii="Times New Roman" w:hAnsi="Times New Roman" w:cs="Times New Roman"/>
          <w:b/>
        </w:rPr>
        <w:t>Table S</w:t>
      </w:r>
      <w:r w:rsidR="00165975">
        <w:rPr>
          <w:rFonts w:ascii="Times New Roman" w:hAnsi="Times New Roman" w:cs="Times New Roman"/>
          <w:b/>
        </w:rPr>
        <w:t>3</w:t>
      </w:r>
      <w:bookmarkStart w:id="0" w:name="_GoBack"/>
      <w:bookmarkEnd w:id="0"/>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z w:val="24"/>
        </w:rPr>
        <w:t>Results from linear mixed models (LMMs) testing the effect of sex (fixed), the number of days after laying (fixed), the interaction between sex and number of days after laying (fixed) and pair ID (random) on the alpha diversity, namely chemical diversity (Shannon index) and richness (number of substances), of the preen oil of Kentish plovers (</w:t>
      </w:r>
      <w:r>
        <w:rPr>
          <w:rFonts w:ascii="Times New Roman" w:hAnsi="Times New Roman" w:cs="Times New Roman"/>
          <w:i/>
          <w:sz w:val="24"/>
        </w:rPr>
        <w:t>N</w:t>
      </w:r>
      <w:r>
        <w:rPr>
          <w:rFonts w:ascii="Times New Roman" w:hAnsi="Times New Roman" w:cs="Times New Roman"/>
          <w:sz w:val="24"/>
        </w:rPr>
        <w:t xml:space="preserve"> = 20 samples; 9 females and 11 males).</w:t>
      </w:r>
    </w:p>
    <w:p w:rsidR="00B74129" w:rsidRDefault="00B74129" w:rsidP="00B74129">
      <w:pPr>
        <w:spacing w:line="480" w:lineRule="auto"/>
        <w:rPr>
          <w:rFonts w:ascii="Times New Roman" w:hAnsi="Times New Roman" w:cs="Times New Roman"/>
          <w:sz w:val="24"/>
        </w:rPr>
      </w:pPr>
    </w:p>
    <w:tbl>
      <w:tblPr>
        <w:tblStyle w:val="TableGrid"/>
        <w:tblW w:w="6822" w:type="dxa"/>
        <w:jc w:val="center"/>
        <w:tblLayout w:type="fixed"/>
        <w:tblLook w:val="04A0" w:firstRow="1" w:lastRow="0" w:firstColumn="1" w:lastColumn="0" w:noHBand="0" w:noVBand="1"/>
      </w:tblPr>
      <w:tblGrid>
        <w:gridCol w:w="2606"/>
        <w:gridCol w:w="2174"/>
        <w:gridCol w:w="2042"/>
      </w:tblGrid>
      <w:tr w:rsidR="00B74129" w:rsidTr="0085434A">
        <w:trPr>
          <w:trHeight w:val="510"/>
          <w:jc w:val="center"/>
        </w:trPr>
        <w:tc>
          <w:tcPr>
            <w:tcW w:w="2606" w:type="dxa"/>
            <w:tcBorders>
              <w:top w:val="nil"/>
              <w:left w:val="nil"/>
              <w:right w:val="nil"/>
            </w:tcBorders>
            <w:vAlign w:val="center"/>
          </w:tcPr>
          <w:p w:rsidR="00B74129" w:rsidRDefault="00B74129" w:rsidP="0085434A">
            <w:pPr>
              <w:widowControl w:val="0"/>
              <w:rPr>
                <w:rFonts w:ascii="Arial" w:hAnsi="Arial" w:cs="Arial"/>
                <w:b/>
              </w:rPr>
            </w:pPr>
            <w:r>
              <w:rPr>
                <w:rFonts w:ascii="Arial" w:eastAsia="Calibri" w:hAnsi="Arial" w:cs="Arial"/>
                <w:b/>
              </w:rPr>
              <w:t>Chemical diversity</w:t>
            </w:r>
          </w:p>
        </w:tc>
        <w:tc>
          <w:tcPr>
            <w:tcW w:w="2174" w:type="dxa"/>
            <w:tcBorders>
              <w:left w:val="nil"/>
              <w:right w:val="nil"/>
            </w:tcBorders>
            <w:vAlign w:val="center"/>
          </w:tcPr>
          <w:p w:rsidR="00B74129" w:rsidRDefault="00B74129" w:rsidP="0085434A">
            <w:pPr>
              <w:widowControl w:val="0"/>
              <w:rPr>
                <w:rFonts w:ascii="Arial" w:hAnsi="Arial" w:cs="Arial"/>
              </w:rPr>
            </w:pPr>
            <w:r>
              <w:rPr>
                <w:rFonts w:ascii="Arial" w:eastAsia="Calibri" w:hAnsi="Arial" w:cs="Arial"/>
              </w:rPr>
              <w:t>β [95% CI]</w:t>
            </w:r>
          </w:p>
        </w:tc>
        <w:tc>
          <w:tcPr>
            <w:tcW w:w="2042" w:type="dxa"/>
            <w:tcBorders>
              <w:left w:val="nil"/>
              <w:right w:val="nil"/>
            </w:tcBorders>
            <w:vAlign w:val="center"/>
          </w:tcPr>
          <w:p w:rsidR="00B74129" w:rsidRDefault="00B74129" w:rsidP="0085434A">
            <w:pPr>
              <w:widowControl w:val="0"/>
              <w:rPr>
                <w:rFonts w:ascii="Arial" w:hAnsi="Arial" w:cs="Arial"/>
              </w:rPr>
            </w:pPr>
            <w:r>
              <w:rPr>
                <w:rFonts w:ascii="Arial" w:eastAsia="Calibri" w:hAnsi="Arial" w:cs="Arial"/>
              </w:rPr>
              <w:t>Variance</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Sex (male)</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0.09 [–0.15, 0.36]</w:t>
            </w:r>
          </w:p>
        </w:tc>
        <w:tc>
          <w:tcPr>
            <w:tcW w:w="2042" w:type="dxa"/>
            <w:tcBorders>
              <w:top w:val="nil"/>
              <w:left w:val="nil"/>
              <w:bottom w:val="nil"/>
              <w:right w:val="nil"/>
            </w:tcBorders>
            <w:vAlign w:val="bottom"/>
          </w:tcPr>
          <w:p w:rsidR="00B74129" w:rsidRDefault="00B74129" w:rsidP="0085434A">
            <w:pPr>
              <w:widowControl w:val="0"/>
              <w:rPr>
                <w:rFonts w:ascii="Arial" w:hAnsi="Arial" w:cs="Arial"/>
              </w:rPr>
            </w:pPr>
            <w:r>
              <w:rPr>
                <w:rStyle w:val="hgkelc"/>
                <w:rFonts w:eastAsia="Calibri"/>
                <w:b/>
                <w:bCs/>
                <w:lang w:val="en-US"/>
              </w:rPr>
              <w:t>—</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Days after laying</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0.00 [–0.01, 0.01]</w:t>
            </w:r>
          </w:p>
        </w:tc>
        <w:tc>
          <w:tcPr>
            <w:tcW w:w="2042" w:type="dxa"/>
            <w:tcBorders>
              <w:top w:val="nil"/>
              <w:left w:val="nil"/>
              <w:bottom w:val="nil"/>
              <w:right w:val="nil"/>
            </w:tcBorders>
            <w:vAlign w:val="bottom"/>
          </w:tcPr>
          <w:p w:rsidR="00B74129" w:rsidRDefault="00B74129" w:rsidP="0085434A">
            <w:pPr>
              <w:widowControl w:val="0"/>
              <w:rPr>
                <w:rFonts w:ascii="Arial" w:hAnsi="Arial" w:cs="Arial"/>
              </w:rPr>
            </w:pPr>
            <w:r>
              <w:rPr>
                <w:rStyle w:val="hgkelc"/>
                <w:rFonts w:eastAsia="Calibri"/>
                <w:b/>
                <w:bCs/>
                <w:lang w:val="en-US"/>
              </w:rPr>
              <w:t>—</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Sex × Days after laying</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0.00 [–0.02, 0.01]</w:t>
            </w:r>
          </w:p>
        </w:tc>
        <w:tc>
          <w:tcPr>
            <w:tcW w:w="2042" w:type="dxa"/>
            <w:tcBorders>
              <w:top w:val="nil"/>
              <w:left w:val="nil"/>
              <w:bottom w:val="nil"/>
              <w:right w:val="nil"/>
            </w:tcBorders>
            <w:vAlign w:val="bottom"/>
          </w:tcPr>
          <w:p w:rsidR="00B74129" w:rsidRDefault="00B74129" w:rsidP="0085434A">
            <w:pPr>
              <w:widowControl w:val="0"/>
              <w:rPr>
                <w:rStyle w:val="hgkelc"/>
                <w:b/>
                <w:bCs/>
                <w:lang w:val="en-US"/>
              </w:rPr>
            </w:pPr>
            <w:r>
              <w:rPr>
                <w:rStyle w:val="hgkelc"/>
                <w:rFonts w:eastAsia="Calibri"/>
                <w:b/>
                <w:bCs/>
                <w:lang w:val="en-US"/>
              </w:rPr>
              <w:t>—</w:t>
            </w:r>
          </w:p>
        </w:tc>
      </w:tr>
      <w:tr w:rsidR="00B74129" w:rsidTr="0085434A">
        <w:trPr>
          <w:trHeight w:val="510"/>
          <w:jc w:val="center"/>
        </w:trPr>
        <w:tc>
          <w:tcPr>
            <w:tcW w:w="2606" w:type="dxa"/>
            <w:tcBorders>
              <w:top w:val="nil"/>
              <w:left w:val="nil"/>
              <w:right w:val="nil"/>
            </w:tcBorders>
            <w:vAlign w:val="bottom"/>
          </w:tcPr>
          <w:p w:rsidR="00B74129" w:rsidRDefault="00B74129" w:rsidP="0085434A">
            <w:pPr>
              <w:widowControl w:val="0"/>
              <w:spacing w:line="360" w:lineRule="auto"/>
              <w:rPr>
                <w:rFonts w:ascii="Arial" w:hAnsi="Arial" w:cs="Arial"/>
              </w:rPr>
            </w:pPr>
            <w:r>
              <w:rPr>
                <w:rFonts w:ascii="Arial" w:eastAsia="Calibri" w:hAnsi="Arial" w:cs="Arial"/>
              </w:rPr>
              <w:t>Pair ID</w:t>
            </w:r>
          </w:p>
        </w:tc>
        <w:tc>
          <w:tcPr>
            <w:tcW w:w="2174" w:type="dxa"/>
            <w:tcBorders>
              <w:top w:val="nil"/>
              <w:left w:val="nil"/>
              <w:right w:val="nil"/>
            </w:tcBorders>
            <w:vAlign w:val="bottom"/>
          </w:tcPr>
          <w:p w:rsidR="00B74129" w:rsidRDefault="00B74129" w:rsidP="0085434A">
            <w:pPr>
              <w:widowControl w:val="0"/>
              <w:spacing w:line="360" w:lineRule="auto"/>
              <w:rPr>
                <w:rFonts w:ascii="Arial" w:hAnsi="Arial" w:cs="Arial"/>
              </w:rPr>
            </w:pPr>
            <w:r>
              <w:rPr>
                <w:rStyle w:val="hgkelc"/>
                <w:rFonts w:eastAsia="Calibri"/>
                <w:b/>
                <w:bCs/>
                <w:lang w:val="en-US"/>
              </w:rPr>
              <w:t>—</w:t>
            </w:r>
          </w:p>
        </w:tc>
        <w:tc>
          <w:tcPr>
            <w:tcW w:w="2042" w:type="dxa"/>
            <w:tcBorders>
              <w:top w:val="nil"/>
              <w:left w:val="nil"/>
              <w:right w:val="nil"/>
            </w:tcBorders>
            <w:vAlign w:val="bottom"/>
          </w:tcPr>
          <w:p w:rsidR="00B74129" w:rsidRDefault="00B74129" w:rsidP="0085434A">
            <w:pPr>
              <w:widowControl w:val="0"/>
              <w:spacing w:line="360" w:lineRule="auto"/>
              <w:rPr>
                <w:rFonts w:ascii="Arial" w:hAnsi="Arial" w:cs="Arial"/>
              </w:rPr>
            </w:pPr>
            <w:r>
              <w:rPr>
                <w:rFonts w:ascii="Arial" w:eastAsia="Calibri" w:hAnsi="Arial" w:cs="Arial"/>
              </w:rPr>
              <w:t>0</w:t>
            </w:r>
          </w:p>
        </w:tc>
      </w:tr>
      <w:tr w:rsidR="00B74129" w:rsidTr="0085434A">
        <w:trPr>
          <w:trHeight w:val="510"/>
          <w:jc w:val="center"/>
        </w:trPr>
        <w:tc>
          <w:tcPr>
            <w:tcW w:w="2606" w:type="dxa"/>
            <w:tcBorders>
              <w:left w:val="nil"/>
              <w:bottom w:val="nil"/>
              <w:right w:val="nil"/>
            </w:tcBorders>
            <w:vAlign w:val="bottom"/>
          </w:tcPr>
          <w:p w:rsidR="00B74129" w:rsidRDefault="00B74129" w:rsidP="0085434A">
            <w:pPr>
              <w:widowControl w:val="0"/>
              <w:spacing w:line="360" w:lineRule="auto"/>
              <w:rPr>
                <w:rFonts w:ascii="Arial" w:hAnsi="Arial" w:cs="Arial"/>
              </w:rPr>
            </w:pPr>
          </w:p>
        </w:tc>
        <w:tc>
          <w:tcPr>
            <w:tcW w:w="2174" w:type="dxa"/>
            <w:tcBorders>
              <w:left w:val="nil"/>
              <w:bottom w:val="nil"/>
              <w:right w:val="nil"/>
            </w:tcBorders>
            <w:vAlign w:val="bottom"/>
          </w:tcPr>
          <w:p w:rsidR="00B74129" w:rsidRDefault="00B74129" w:rsidP="0085434A">
            <w:pPr>
              <w:widowControl w:val="0"/>
              <w:spacing w:line="360" w:lineRule="auto"/>
              <w:rPr>
                <w:rFonts w:ascii="Arial" w:hAnsi="Arial" w:cs="Arial"/>
              </w:rPr>
            </w:pPr>
          </w:p>
        </w:tc>
        <w:tc>
          <w:tcPr>
            <w:tcW w:w="2042" w:type="dxa"/>
            <w:tcBorders>
              <w:left w:val="nil"/>
              <w:bottom w:val="nil"/>
              <w:right w:val="nil"/>
            </w:tcBorders>
          </w:tcPr>
          <w:p w:rsidR="00B74129" w:rsidRDefault="00B74129" w:rsidP="0085434A">
            <w:pPr>
              <w:widowControl w:val="0"/>
              <w:spacing w:line="360" w:lineRule="auto"/>
              <w:rPr>
                <w:rFonts w:ascii="Arial" w:hAnsi="Arial" w:cs="Arial"/>
              </w:rPr>
            </w:pPr>
          </w:p>
        </w:tc>
      </w:tr>
      <w:tr w:rsidR="00B74129" w:rsidTr="0085434A">
        <w:trPr>
          <w:trHeight w:val="510"/>
          <w:jc w:val="center"/>
        </w:trPr>
        <w:tc>
          <w:tcPr>
            <w:tcW w:w="2606" w:type="dxa"/>
            <w:tcBorders>
              <w:top w:val="nil"/>
              <w:left w:val="nil"/>
              <w:right w:val="nil"/>
            </w:tcBorders>
            <w:vAlign w:val="center"/>
          </w:tcPr>
          <w:p w:rsidR="00B74129" w:rsidRDefault="00B74129" w:rsidP="0085434A">
            <w:pPr>
              <w:widowControl w:val="0"/>
              <w:rPr>
                <w:rFonts w:ascii="Arial" w:hAnsi="Arial" w:cs="Arial"/>
                <w:b/>
              </w:rPr>
            </w:pPr>
            <w:r>
              <w:rPr>
                <w:rFonts w:ascii="Arial" w:eastAsia="Calibri" w:hAnsi="Arial" w:cs="Arial"/>
                <w:b/>
              </w:rPr>
              <w:t>Chemical richness</w:t>
            </w:r>
          </w:p>
        </w:tc>
        <w:tc>
          <w:tcPr>
            <w:tcW w:w="2174" w:type="dxa"/>
            <w:tcBorders>
              <w:left w:val="nil"/>
              <w:right w:val="nil"/>
            </w:tcBorders>
            <w:vAlign w:val="center"/>
          </w:tcPr>
          <w:p w:rsidR="00B74129" w:rsidRDefault="00B74129" w:rsidP="0085434A">
            <w:pPr>
              <w:widowControl w:val="0"/>
              <w:rPr>
                <w:rFonts w:ascii="Arial" w:hAnsi="Arial" w:cs="Arial"/>
              </w:rPr>
            </w:pPr>
            <w:r>
              <w:rPr>
                <w:rFonts w:ascii="Arial" w:eastAsia="Calibri" w:hAnsi="Arial" w:cs="Arial"/>
              </w:rPr>
              <w:t>β [95% CI]</w:t>
            </w:r>
          </w:p>
        </w:tc>
        <w:tc>
          <w:tcPr>
            <w:tcW w:w="2042" w:type="dxa"/>
            <w:tcBorders>
              <w:left w:val="nil"/>
              <w:right w:val="nil"/>
            </w:tcBorders>
            <w:vAlign w:val="center"/>
          </w:tcPr>
          <w:p w:rsidR="00B74129" w:rsidRDefault="00B74129" w:rsidP="0085434A">
            <w:pPr>
              <w:widowControl w:val="0"/>
              <w:rPr>
                <w:rFonts w:ascii="Arial" w:hAnsi="Arial" w:cs="Arial"/>
              </w:rPr>
            </w:pPr>
            <w:r>
              <w:rPr>
                <w:rFonts w:ascii="Arial" w:eastAsia="Calibri" w:hAnsi="Arial" w:cs="Arial"/>
              </w:rPr>
              <w:t>Variance</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Sex (male)</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5.88 [–12.7, 26.4]</w:t>
            </w:r>
          </w:p>
        </w:tc>
        <w:tc>
          <w:tcPr>
            <w:tcW w:w="2042" w:type="dxa"/>
            <w:tcBorders>
              <w:top w:val="nil"/>
              <w:left w:val="nil"/>
              <w:bottom w:val="nil"/>
              <w:right w:val="nil"/>
            </w:tcBorders>
            <w:vAlign w:val="bottom"/>
          </w:tcPr>
          <w:p w:rsidR="00B74129" w:rsidRDefault="00B74129" w:rsidP="0085434A">
            <w:pPr>
              <w:widowControl w:val="0"/>
              <w:rPr>
                <w:rFonts w:ascii="Arial" w:hAnsi="Arial" w:cs="Arial"/>
              </w:rPr>
            </w:pPr>
            <w:r>
              <w:rPr>
                <w:rStyle w:val="hgkelc"/>
                <w:rFonts w:eastAsia="Calibri"/>
                <w:b/>
                <w:bCs/>
                <w:lang w:val="en-US"/>
              </w:rPr>
              <w:t>—</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Days after laying</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0.02 [–0.81,0.86]</w:t>
            </w:r>
          </w:p>
        </w:tc>
        <w:tc>
          <w:tcPr>
            <w:tcW w:w="2042" w:type="dxa"/>
            <w:tcBorders>
              <w:top w:val="nil"/>
              <w:left w:val="nil"/>
              <w:bottom w:val="nil"/>
              <w:right w:val="nil"/>
            </w:tcBorders>
            <w:vAlign w:val="bottom"/>
          </w:tcPr>
          <w:p w:rsidR="00B74129" w:rsidRDefault="00B74129" w:rsidP="0085434A">
            <w:pPr>
              <w:widowControl w:val="0"/>
              <w:rPr>
                <w:rFonts w:ascii="Arial" w:hAnsi="Arial" w:cs="Arial"/>
              </w:rPr>
            </w:pPr>
            <w:r>
              <w:rPr>
                <w:rStyle w:val="hgkelc"/>
                <w:rFonts w:eastAsia="Calibri"/>
                <w:b/>
                <w:bCs/>
                <w:lang w:val="en-US"/>
              </w:rPr>
              <w:t>—</w:t>
            </w:r>
          </w:p>
        </w:tc>
      </w:tr>
      <w:tr w:rsidR="00B74129" w:rsidTr="0085434A">
        <w:trPr>
          <w:trHeight w:val="397"/>
          <w:jc w:val="center"/>
        </w:trPr>
        <w:tc>
          <w:tcPr>
            <w:tcW w:w="2606"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Sex × Days after laying</w:t>
            </w:r>
          </w:p>
        </w:tc>
        <w:tc>
          <w:tcPr>
            <w:tcW w:w="2174" w:type="dxa"/>
            <w:tcBorders>
              <w:top w:val="nil"/>
              <w:left w:val="nil"/>
              <w:bottom w:val="nil"/>
              <w:right w:val="nil"/>
            </w:tcBorders>
            <w:vAlign w:val="bottom"/>
          </w:tcPr>
          <w:p w:rsidR="00B74129" w:rsidRDefault="00B74129" w:rsidP="0085434A">
            <w:pPr>
              <w:widowControl w:val="0"/>
              <w:rPr>
                <w:rFonts w:ascii="Arial" w:hAnsi="Arial" w:cs="Arial"/>
              </w:rPr>
            </w:pPr>
            <w:r>
              <w:rPr>
                <w:rFonts w:ascii="Arial" w:eastAsia="Calibri" w:hAnsi="Arial" w:cs="Arial"/>
              </w:rPr>
              <w:t>–0.32 [–1.73, 0.93]</w:t>
            </w:r>
          </w:p>
        </w:tc>
        <w:tc>
          <w:tcPr>
            <w:tcW w:w="2042" w:type="dxa"/>
            <w:tcBorders>
              <w:top w:val="nil"/>
              <w:left w:val="nil"/>
              <w:bottom w:val="nil"/>
              <w:right w:val="nil"/>
            </w:tcBorders>
            <w:vAlign w:val="bottom"/>
          </w:tcPr>
          <w:p w:rsidR="00B74129" w:rsidRDefault="00B74129" w:rsidP="0085434A">
            <w:pPr>
              <w:widowControl w:val="0"/>
              <w:rPr>
                <w:rStyle w:val="hgkelc"/>
                <w:b/>
                <w:bCs/>
                <w:lang w:val="en-US"/>
              </w:rPr>
            </w:pPr>
            <w:r>
              <w:rPr>
                <w:rStyle w:val="hgkelc"/>
                <w:rFonts w:eastAsia="Calibri"/>
                <w:b/>
                <w:bCs/>
                <w:lang w:val="en-US"/>
              </w:rPr>
              <w:t>—</w:t>
            </w:r>
          </w:p>
        </w:tc>
      </w:tr>
      <w:tr w:rsidR="00B74129" w:rsidTr="0085434A">
        <w:trPr>
          <w:trHeight w:val="510"/>
          <w:jc w:val="center"/>
        </w:trPr>
        <w:tc>
          <w:tcPr>
            <w:tcW w:w="2606" w:type="dxa"/>
            <w:tcBorders>
              <w:top w:val="nil"/>
              <w:left w:val="nil"/>
              <w:right w:val="nil"/>
            </w:tcBorders>
            <w:vAlign w:val="bottom"/>
          </w:tcPr>
          <w:p w:rsidR="00B74129" w:rsidRDefault="00B74129" w:rsidP="0085434A">
            <w:pPr>
              <w:widowControl w:val="0"/>
              <w:spacing w:line="360" w:lineRule="auto"/>
              <w:rPr>
                <w:rFonts w:ascii="Arial" w:hAnsi="Arial" w:cs="Arial"/>
              </w:rPr>
            </w:pPr>
            <w:r>
              <w:rPr>
                <w:rFonts w:ascii="Arial" w:eastAsia="Calibri" w:hAnsi="Arial" w:cs="Arial"/>
              </w:rPr>
              <w:t>Pair ID</w:t>
            </w:r>
          </w:p>
        </w:tc>
        <w:tc>
          <w:tcPr>
            <w:tcW w:w="2174" w:type="dxa"/>
            <w:tcBorders>
              <w:top w:val="nil"/>
              <w:left w:val="nil"/>
              <w:right w:val="nil"/>
            </w:tcBorders>
            <w:vAlign w:val="bottom"/>
          </w:tcPr>
          <w:p w:rsidR="00B74129" w:rsidRDefault="00B74129" w:rsidP="0085434A">
            <w:pPr>
              <w:widowControl w:val="0"/>
              <w:spacing w:line="360" w:lineRule="auto"/>
              <w:rPr>
                <w:rFonts w:ascii="Arial" w:hAnsi="Arial" w:cs="Arial"/>
              </w:rPr>
            </w:pPr>
            <w:r>
              <w:rPr>
                <w:rStyle w:val="hgkelc"/>
                <w:rFonts w:eastAsia="Calibri"/>
                <w:b/>
                <w:bCs/>
                <w:lang w:val="en-US"/>
              </w:rPr>
              <w:t>—</w:t>
            </w:r>
          </w:p>
        </w:tc>
        <w:tc>
          <w:tcPr>
            <w:tcW w:w="2042" w:type="dxa"/>
            <w:tcBorders>
              <w:top w:val="nil"/>
              <w:left w:val="nil"/>
              <w:right w:val="nil"/>
            </w:tcBorders>
            <w:vAlign w:val="bottom"/>
          </w:tcPr>
          <w:p w:rsidR="00B74129" w:rsidRDefault="00B74129" w:rsidP="0085434A">
            <w:pPr>
              <w:widowControl w:val="0"/>
              <w:spacing w:line="360" w:lineRule="auto"/>
              <w:rPr>
                <w:rFonts w:ascii="Arial" w:hAnsi="Arial" w:cs="Arial"/>
              </w:rPr>
            </w:pPr>
            <w:r>
              <w:rPr>
                <w:rFonts w:ascii="Arial" w:eastAsia="Calibri" w:hAnsi="Arial" w:cs="Arial"/>
              </w:rPr>
              <w:t>0</w:t>
            </w:r>
          </w:p>
        </w:tc>
      </w:tr>
    </w:tbl>
    <w:p w:rsidR="00BB2E6E" w:rsidRDefault="00165975"/>
    <w:sectPr w:rsidR="00BB2E6E" w:rsidSect="007135CE">
      <w:pgSz w:w="12242" w:h="15842"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9"/>
    <w:rsid w:val="000A38BD"/>
    <w:rsid w:val="00165975"/>
    <w:rsid w:val="005C25F6"/>
    <w:rsid w:val="007135CE"/>
    <w:rsid w:val="00B7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BDD8"/>
  <w15:chartTrackingRefBased/>
  <w15:docId w15:val="{EE62F839-3BFA-4B8F-A617-6ECABC8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2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qFormat/>
    <w:rsid w:val="00B74129"/>
  </w:style>
  <w:style w:type="table" w:styleId="TableGrid">
    <w:name w:val="Table Grid"/>
    <w:basedOn w:val="TableNormal"/>
    <w:uiPriority w:val="39"/>
    <w:rsid w:val="00B7412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7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Gilles</dc:creator>
  <cp:keywords/>
  <dc:description/>
  <cp:lastModifiedBy>Marc Gilles</cp:lastModifiedBy>
  <cp:revision>3</cp:revision>
  <dcterms:created xsi:type="dcterms:W3CDTF">2023-11-11T11:53:00Z</dcterms:created>
  <dcterms:modified xsi:type="dcterms:W3CDTF">2024-01-16T14:32:00Z</dcterms:modified>
</cp:coreProperties>
</file>