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3F23" w14:textId="266FB83B" w:rsidR="002C7F20" w:rsidRPr="002C7F20" w:rsidRDefault="000E3FBA" w:rsidP="002C7F20">
      <w:pPr>
        <w:spacing w:line="480" w:lineRule="auto"/>
        <w:rPr>
          <w:i w:val="0"/>
          <w:iCs/>
        </w:rPr>
      </w:pPr>
      <w:r>
        <w:rPr>
          <w:b/>
          <w:bCs/>
          <w:i w:val="0"/>
          <w:iCs/>
        </w:rPr>
        <w:t>Table S</w:t>
      </w:r>
      <w:r w:rsidR="00286032">
        <w:rPr>
          <w:b/>
          <w:bCs/>
          <w:i w:val="0"/>
          <w:iCs/>
        </w:rPr>
        <w:t>3</w:t>
      </w:r>
      <w:r>
        <w:rPr>
          <w:b/>
          <w:bCs/>
          <w:i w:val="0"/>
          <w:iCs/>
        </w:rPr>
        <w:t>.</w:t>
      </w:r>
      <w:r>
        <w:rPr>
          <w:i w:val="0"/>
          <w:iCs/>
        </w:rPr>
        <w:t xml:space="preserve"> </w:t>
      </w:r>
      <w:r w:rsidR="00161DDF">
        <w:rPr>
          <w:rFonts w:eastAsia="Times New Roman"/>
          <w:i w:val="0"/>
          <w:iCs/>
        </w:rPr>
        <w:t xml:space="preserve">HOMOVA </w:t>
      </w:r>
      <w:r w:rsidR="002C7F20">
        <w:rPr>
          <w:rFonts w:eastAsia="Times New Roman"/>
          <w:i w:val="0"/>
          <w:iCs/>
        </w:rPr>
        <w:t>and AMOVA tests to determine</w:t>
      </w:r>
      <w:r w:rsidR="00161DDF">
        <w:rPr>
          <w:rFonts w:eastAsia="Times New Roman"/>
          <w:i w:val="0"/>
          <w:iCs/>
        </w:rPr>
        <w:t xml:space="preserve"> </w:t>
      </w:r>
      <w:r w:rsidR="002C7F20">
        <w:rPr>
          <w:rFonts w:eastAsia="Times New Roman"/>
          <w:i w:val="0"/>
          <w:iCs/>
        </w:rPr>
        <w:t xml:space="preserve">quantitative microbiota community differences at genus and species OTUs </w:t>
      </w:r>
      <w:r w:rsidR="00F913F7">
        <w:rPr>
          <w:rFonts w:eastAsia="Times New Roman"/>
          <w:i w:val="0"/>
          <w:iCs/>
        </w:rPr>
        <w:t xml:space="preserve">between aerobic and anaerobic sample transport groups </w:t>
      </w:r>
      <w:r w:rsidR="002C7F20">
        <w:rPr>
          <w:rFonts w:eastAsia="Times New Roman"/>
          <w:i w:val="0"/>
          <w:iCs/>
        </w:rPr>
        <w:t xml:space="preserve">based on differing </w:t>
      </w:r>
      <w:r w:rsidR="00161DDF">
        <w:rPr>
          <w:rFonts w:eastAsia="Times New Roman"/>
          <w:i w:val="0"/>
          <w:iCs/>
        </w:rPr>
        <w:t>beta diversity</w:t>
      </w:r>
      <w:r w:rsidR="001A31F3" w:rsidRPr="001A31F3">
        <w:rPr>
          <w:rFonts w:eastAsia="Times New Roman"/>
          <w:i w:val="0"/>
          <w:iCs/>
        </w:rPr>
        <w:t xml:space="preserve"> coefficient</w:t>
      </w:r>
      <w:r w:rsidR="00161DDF">
        <w:rPr>
          <w:rFonts w:eastAsia="Times New Roman"/>
          <w:i w:val="0"/>
          <w:iCs/>
        </w:rPr>
        <w:t>s</w:t>
      </w:r>
      <w:r w:rsidR="001A31F3" w:rsidRPr="001A31F3">
        <w:rPr>
          <w:rFonts w:eastAsia="Times New Roman"/>
          <w:i w:val="0"/>
          <w:iCs/>
        </w:rPr>
        <w:t xml:space="preserve"> </w:t>
      </w:r>
      <w:r w:rsidR="002C7F20">
        <w:rPr>
          <w:rFonts w:eastAsia="Times New Roman"/>
          <w:i w:val="0"/>
          <w:iCs/>
        </w:rPr>
        <w:t xml:space="preserve">(no statistical difference was reported, </w:t>
      </w:r>
      <w:r w:rsidR="001A31F3" w:rsidRPr="002C7F20">
        <w:t>P</w:t>
      </w:r>
      <w:r w:rsidR="002C7F20">
        <w:rPr>
          <w:i w:val="0"/>
          <w:iCs/>
        </w:rPr>
        <w:t xml:space="preserve"> &gt; </w:t>
      </w:r>
      <w:r w:rsidR="001A31F3" w:rsidRPr="001A31F3">
        <w:rPr>
          <w:i w:val="0"/>
          <w:iCs/>
        </w:rPr>
        <w:t>0</w:t>
      </w:r>
      <w:r w:rsidR="001A31F3" w:rsidRPr="001A31F3">
        <w:rPr>
          <w:i w:val="0"/>
          <w:iCs/>
          <w:cs/>
        </w:rPr>
        <w:t>.</w:t>
      </w:r>
      <w:r w:rsidR="001A31F3" w:rsidRPr="001A31F3">
        <w:rPr>
          <w:i w:val="0"/>
          <w:iCs/>
        </w:rPr>
        <w:t>05</w:t>
      </w:r>
      <w:r w:rsidR="002C7F20">
        <w:rPr>
          <w:i w:val="0"/>
          <w:iCs/>
        </w:rPr>
        <w:t>).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620"/>
        <w:gridCol w:w="1435"/>
        <w:gridCol w:w="1598"/>
        <w:gridCol w:w="1377"/>
      </w:tblGrid>
      <w:tr w:rsidR="001A31F3" w:rsidRPr="001A31F3" w14:paraId="12D23730" w14:textId="77777777" w:rsidTr="000B12BB">
        <w:trPr>
          <w:jc w:val="center"/>
        </w:trPr>
        <w:tc>
          <w:tcPr>
            <w:tcW w:w="3150" w:type="dxa"/>
            <w:vMerge w:val="restart"/>
            <w:vAlign w:val="center"/>
          </w:tcPr>
          <w:p w14:paraId="161BB378" w14:textId="5D9A78D6" w:rsidR="001A31F3" w:rsidRPr="001A31F3" w:rsidRDefault="00161DDF" w:rsidP="000B12BB">
            <w:pPr>
              <w:spacing w:after="0"/>
              <w:jc w:val="center"/>
              <w:rPr>
                <w:b/>
                <w:bCs/>
                <w:i w:val="0"/>
                <w:iCs/>
              </w:rPr>
            </w:pPr>
            <w:r>
              <w:rPr>
                <w:rFonts w:eastAsia="Times New Roman"/>
                <w:b/>
                <w:bCs/>
                <w:i w:val="0"/>
                <w:iCs/>
              </w:rPr>
              <w:t xml:space="preserve">Beta diversity </w:t>
            </w:r>
            <w:r w:rsidR="001A31F3" w:rsidRPr="001A31F3">
              <w:rPr>
                <w:rFonts w:eastAsia="Times New Roman"/>
                <w:b/>
                <w:bCs/>
                <w:i w:val="0"/>
                <w:iCs/>
              </w:rPr>
              <w:t>coefficient</w:t>
            </w:r>
            <w:r>
              <w:rPr>
                <w:rFonts w:eastAsia="Times New Roman"/>
                <w:b/>
                <w:bCs/>
                <w:i w:val="0"/>
                <w:iCs/>
              </w:rPr>
              <w:t>s</w:t>
            </w:r>
          </w:p>
        </w:tc>
        <w:tc>
          <w:tcPr>
            <w:tcW w:w="3055" w:type="dxa"/>
            <w:gridSpan w:val="2"/>
          </w:tcPr>
          <w:p w14:paraId="3FC0C248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  <w:i w:val="0"/>
                <w:iCs/>
              </w:rPr>
            </w:pPr>
            <w:r w:rsidRPr="001A31F3">
              <w:rPr>
                <w:b/>
                <w:bCs/>
                <w:i w:val="0"/>
                <w:iCs/>
              </w:rPr>
              <w:t>Genus</w:t>
            </w:r>
          </w:p>
        </w:tc>
        <w:tc>
          <w:tcPr>
            <w:tcW w:w="2975" w:type="dxa"/>
            <w:gridSpan w:val="2"/>
          </w:tcPr>
          <w:p w14:paraId="60EA2D21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  <w:i w:val="0"/>
                <w:iCs/>
              </w:rPr>
            </w:pPr>
            <w:r w:rsidRPr="001A31F3">
              <w:rPr>
                <w:b/>
                <w:bCs/>
                <w:i w:val="0"/>
                <w:iCs/>
              </w:rPr>
              <w:t>Species</w:t>
            </w:r>
          </w:p>
        </w:tc>
      </w:tr>
      <w:tr w:rsidR="001A31F3" w:rsidRPr="001A31F3" w14:paraId="1D44C6CB" w14:textId="77777777" w:rsidTr="000B12BB">
        <w:trPr>
          <w:jc w:val="center"/>
        </w:trPr>
        <w:tc>
          <w:tcPr>
            <w:tcW w:w="3150" w:type="dxa"/>
            <w:vMerge/>
            <w:vAlign w:val="center"/>
          </w:tcPr>
          <w:p w14:paraId="259BEB01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  <w:i w:val="0"/>
                <w:iCs/>
              </w:rPr>
            </w:pPr>
          </w:p>
        </w:tc>
        <w:tc>
          <w:tcPr>
            <w:tcW w:w="1620" w:type="dxa"/>
            <w:vAlign w:val="center"/>
          </w:tcPr>
          <w:p w14:paraId="6993528A" w14:textId="33B24CDD" w:rsidR="001A31F3" w:rsidRPr="001A31F3" w:rsidRDefault="001A31F3" w:rsidP="000B12BB">
            <w:pPr>
              <w:spacing w:after="0"/>
              <w:jc w:val="center"/>
              <w:rPr>
                <w:b/>
                <w:bCs/>
                <w:i w:val="0"/>
                <w:iCs/>
              </w:rPr>
            </w:pPr>
            <w:r w:rsidRPr="001A31F3">
              <w:rPr>
                <w:b/>
                <w:bCs/>
                <w:i w:val="0"/>
                <w:iCs/>
              </w:rPr>
              <w:t>HOMOVA</w:t>
            </w:r>
          </w:p>
        </w:tc>
        <w:tc>
          <w:tcPr>
            <w:tcW w:w="1435" w:type="dxa"/>
            <w:vAlign w:val="center"/>
          </w:tcPr>
          <w:p w14:paraId="53D2556B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  <w:i w:val="0"/>
                <w:iCs/>
              </w:rPr>
            </w:pPr>
            <w:r w:rsidRPr="001A31F3">
              <w:rPr>
                <w:b/>
                <w:bCs/>
                <w:i w:val="0"/>
                <w:iCs/>
              </w:rPr>
              <w:t>AMOVA</w:t>
            </w:r>
          </w:p>
        </w:tc>
        <w:tc>
          <w:tcPr>
            <w:tcW w:w="1598" w:type="dxa"/>
            <w:vAlign w:val="center"/>
          </w:tcPr>
          <w:p w14:paraId="4723C92E" w14:textId="7891B908" w:rsidR="001A31F3" w:rsidRPr="001A31F3" w:rsidRDefault="001A31F3" w:rsidP="000B12BB">
            <w:pPr>
              <w:spacing w:after="0"/>
              <w:jc w:val="center"/>
              <w:rPr>
                <w:b/>
                <w:bCs/>
                <w:i w:val="0"/>
                <w:iCs/>
              </w:rPr>
            </w:pPr>
            <w:r w:rsidRPr="001A31F3">
              <w:rPr>
                <w:b/>
                <w:bCs/>
                <w:i w:val="0"/>
                <w:iCs/>
              </w:rPr>
              <w:t>HOMOVA</w:t>
            </w:r>
          </w:p>
        </w:tc>
        <w:tc>
          <w:tcPr>
            <w:tcW w:w="1377" w:type="dxa"/>
            <w:vAlign w:val="center"/>
          </w:tcPr>
          <w:p w14:paraId="42E9C559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  <w:i w:val="0"/>
                <w:iCs/>
              </w:rPr>
            </w:pPr>
            <w:r w:rsidRPr="001A31F3">
              <w:rPr>
                <w:b/>
                <w:bCs/>
                <w:i w:val="0"/>
                <w:iCs/>
              </w:rPr>
              <w:t>AMOVA</w:t>
            </w:r>
          </w:p>
        </w:tc>
      </w:tr>
      <w:tr w:rsidR="001A31F3" w:rsidRPr="001A31F3" w14:paraId="5F6DF133" w14:textId="77777777" w:rsidTr="000B12BB">
        <w:trPr>
          <w:jc w:val="center"/>
        </w:trPr>
        <w:tc>
          <w:tcPr>
            <w:tcW w:w="3150" w:type="dxa"/>
            <w:vAlign w:val="center"/>
          </w:tcPr>
          <w:p w14:paraId="728B1CF4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  <w:i w:val="0"/>
                <w:iCs/>
              </w:rPr>
            </w:pPr>
            <w:r w:rsidRPr="001A31F3">
              <w:rPr>
                <w:b/>
                <w:bCs/>
                <w:i w:val="0"/>
                <w:iCs/>
              </w:rPr>
              <w:t>Thetan</w:t>
            </w:r>
          </w:p>
        </w:tc>
        <w:tc>
          <w:tcPr>
            <w:tcW w:w="1620" w:type="dxa"/>
          </w:tcPr>
          <w:p w14:paraId="5DE2BA38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1.000</w:t>
            </w:r>
          </w:p>
        </w:tc>
        <w:tc>
          <w:tcPr>
            <w:tcW w:w="1435" w:type="dxa"/>
          </w:tcPr>
          <w:p w14:paraId="5E0EE0AA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0.681</w:t>
            </w:r>
          </w:p>
        </w:tc>
        <w:tc>
          <w:tcPr>
            <w:tcW w:w="1598" w:type="dxa"/>
          </w:tcPr>
          <w:p w14:paraId="7BCDD04B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1.000</w:t>
            </w:r>
          </w:p>
        </w:tc>
        <w:tc>
          <w:tcPr>
            <w:tcW w:w="1377" w:type="dxa"/>
          </w:tcPr>
          <w:p w14:paraId="21BCB4B9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0.864</w:t>
            </w:r>
          </w:p>
        </w:tc>
      </w:tr>
      <w:tr w:rsidR="001A31F3" w:rsidRPr="001A31F3" w14:paraId="3F335C5F" w14:textId="77777777" w:rsidTr="000B12BB">
        <w:trPr>
          <w:jc w:val="center"/>
        </w:trPr>
        <w:tc>
          <w:tcPr>
            <w:tcW w:w="3150" w:type="dxa"/>
            <w:vAlign w:val="center"/>
          </w:tcPr>
          <w:p w14:paraId="17CB231F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  <w:i w:val="0"/>
                <w:iCs/>
              </w:rPr>
            </w:pPr>
            <w:r w:rsidRPr="001A31F3">
              <w:rPr>
                <w:b/>
                <w:bCs/>
                <w:i w:val="0"/>
                <w:iCs/>
              </w:rPr>
              <w:t>Sorabund</w:t>
            </w:r>
          </w:p>
        </w:tc>
        <w:tc>
          <w:tcPr>
            <w:tcW w:w="1620" w:type="dxa"/>
            <w:vAlign w:val="center"/>
          </w:tcPr>
          <w:p w14:paraId="670F1DD2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1.000</w:t>
            </w:r>
          </w:p>
        </w:tc>
        <w:tc>
          <w:tcPr>
            <w:tcW w:w="1435" w:type="dxa"/>
            <w:vAlign w:val="center"/>
          </w:tcPr>
          <w:p w14:paraId="49F7FF05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0.604</w:t>
            </w:r>
          </w:p>
        </w:tc>
        <w:tc>
          <w:tcPr>
            <w:tcW w:w="1598" w:type="dxa"/>
            <w:vAlign w:val="center"/>
          </w:tcPr>
          <w:p w14:paraId="49FF34B6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1.000</w:t>
            </w:r>
          </w:p>
        </w:tc>
        <w:tc>
          <w:tcPr>
            <w:tcW w:w="1377" w:type="dxa"/>
            <w:vAlign w:val="center"/>
          </w:tcPr>
          <w:p w14:paraId="5E961869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0.809</w:t>
            </w:r>
          </w:p>
        </w:tc>
      </w:tr>
      <w:tr w:rsidR="001A31F3" w:rsidRPr="001A31F3" w14:paraId="2AAE8383" w14:textId="77777777" w:rsidTr="000B12BB">
        <w:trPr>
          <w:jc w:val="center"/>
        </w:trPr>
        <w:tc>
          <w:tcPr>
            <w:tcW w:w="3150" w:type="dxa"/>
            <w:vAlign w:val="center"/>
          </w:tcPr>
          <w:p w14:paraId="306B7564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  <w:i w:val="0"/>
                <w:iCs/>
              </w:rPr>
            </w:pPr>
            <w:r w:rsidRPr="001A31F3">
              <w:rPr>
                <w:b/>
                <w:bCs/>
                <w:i w:val="0"/>
                <w:iCs/>
                <w:color w:val="000000"/>
              </w:rPr>
              <w:t>Morisita</w:t>
            </w:r>
            <w:r w:rsidRPr="001A31F3">
              <w:rPr>
                <w:b/>
                <w:bCs/>
                <w:i w:val="0"/>
                <w:iCs/>
                <w:color w:val="000000"/>
                <w:cs/>
              </w:rPr>
              <w:t>–</w:t>
            </w:r>
            <w:r w:rsidRPr="001A31F3">
              <w:rPr>
                <w:b/>
                <w:bCs/>
                <w:i w:val="0"/>
                <w:iCs/>
                <w:color w:val="000000"/>
              </w:rPr>
              <w:t>Horn</w:t>
            </w:r>
          </w:p>
        </w:tc>
        <w:tc>
          <w:tcPr>
            <w:tcW w:w="1620" w:type="dxa"/>
          </w:tcPr>
          <w:p w14:paraId="25833EBE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1.000</w:t>
            </w:r>
          </w:p>
        </w:tc>
        <w:tc>
          <w:tcPr>
            <w:tcW w:w="1435" w:type="dxa"/>
          </w:tcPr>
          <w:p w14:paraId="370AC874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0.870</w:t>
            </w:r>
          </w:p>
        </w:tc>
        <w:tc>
          <w:tcPr>
            <w:tcW w:w="1598" w:type="dxa"/>
          </w:tcPr>
          <w:p w14:paraId="33B8E448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1.000</w:t>
            </w:r>
          </w:p>
        </w:tc>
        <w:tc>
          <w:tcPr>
            <w:tcW w:w="1377" w:type="dxa"/>
          </w:tcPr>
          <w:p w14:paraId="571A6556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0.863</w:t>
            </w:r>
          </w:p>
        </w:tc>
      </w:tr>
      <w:tr w:rsidR="001A31F3" w:rsidRPr="001A31F3" w14:paraId="7E648478" w14:textId="77777777" w:rsidTr="000B12BB">
        <w:trPr>
          <w:jc w:val="center"/>
        </w:trPr>
        <w:tc>
          <w:tcPr>
            <w:tcW w:w="3150" w:type="dxa"/>
            <w:vAlign w:val="center"/>
          </w:tcPr>
          <w:p w14:paraId="03F80851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  <w:i w:val="0"/>
                <w:iCs/>
              </w:rPr>
            </w:pPr>
            <w:r w:rsidRPr="001A31F3">
              <w:rPr>
                <w:b/>
                <w:bCs/>
                <w:i w:val="0"/>
                <w:iCs/>
              </w:rPr>
              <w:t>Thetayc</w:t>
            </w:r>
          </w:p>
        </w:tc>
        <w:tc>
          <w:tcPr>
            <w:tcW w:w="1620" w:type="dxa"/>
          </w:tcPr>
          <w:p w14:paraId="5D63C917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1.000</w:t>
            </w:r>
          </w:p>
        </w:tc>
        <w:tc>
          <w:tcPr>
            <w:tcW w:w="1435" w:type="dxa"/>
          </w:tcPr>
          <w:p w14:paraId="58266400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0.979</w:t>
            </w:r>
          </w:p>
        </w:tc>
        <w:tc>
          <w:tcPr>
            <w:tcW w:w="1598" w:type="dxa"/>
          </w:tcPr>
          <w:p w14:paraId="53D73C60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1.000</w:t>
            </w:r>
          </w:p>
        </w:tc>
        <w:tc>
          <w:tcPr>
            <w:tcW w:w="1377" w:type="dxa"/>
          </w:tcPr>
          <w:p w14:paraId="033409B1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0.977</w:t>
            </w:r>
          </w:p>
        </w:tc>
      </w:tr>
      <w:tr w:rsidR="001A31F3" w:rsidRPr="001A31F3" w14:paraId="1146FD2A" w14:textId="77777777" w:rsidTr="000B12BB">
        <w:trPr>
          <w:jc w:val="center"/>
        </w:trPr>
        <w:tc>
          <w:tcPr>
            <w:tcW w:w="3150" w:type="dxa"/>
            <w:vAlign w:val="center"/>
          </w:tcPr>
          <w:p w14:paraId="713AE023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  <w:i w:val="0"/>
                <w:iCs/>
              </w:rPr>
            </w:pPr>
            <w:r w:rsidRPr="001A31F3">
              <w:rPr>
                <w:b/>
                <w:bCs/>
                <w:i w:val="0"/>
                <w:iCs/>
              </w:rPr>
              <w:t>Bray</w:t>
            </w:r>
            <w:r w:rsidRPr="001A31F3">
              <w:rPr>
                <w:b/>
                <w:bCs/>
                <w:i w:val="0"/>
                <w:iCs/>
                <w:cs/>
              </w:rPr>
              <w:t>-</w:t>
            </w:r>
            <w:r w:rsidRPr="001A31F3">
              <w:rPr>
                <w:b/>
                <w:bCs/>
                <w:i w:val="0"/>
                <w:iCs/>
              </w:rPr>
              <w:t>Curtis</w:t>
            </w:r>
          </w:p>
        </w:tc>
        <w:tc>
          <w:tcPr>
            <w:tcW w:w="1620" w:type="dxa"/>
          </w:tcPr>
          <w:p w14:paraId="7AB588E3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1.000</w:t>
            </w:r>
          </w:p>
        </w:tc>
        <w:tc>
          <w:tcPr>
            <w:tcW w:w="1435" w:type="dxa"/>
          </w:tcPr>
          <w:p w14:paraId="21515524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0.221</w:t>
            </w:r>
          </w:p>
        </w:tc>
        <w:tc>
          <w:tcPr>
            <w:tcW w:w="1598" w:type="dxa"/>
          </w:tcPr>
          <w:p w14:paraId="483C167A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1.000</w:t>
            </w:r>
          </w:p>
        </w:tc>
        <w:tc>
          <w:tcPr>
            <w:tcW w:w="1377" w:type="dxa"/>
          </w:tcPr>
          <w:p w14:paraId="44371C57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0.308</w:t>
            </w:r>
          </w:p>
        </w:tc>
      </w:tr>
      <w:tr w:rsidR="001A31F3" w:rsidRPr="001A31F3" w14:paraId="2D81CD31" w14:textId="77777777" w:rsidTr="000B12BB">
        <w:trPr>
          <w:jc w:val="center"/>
        </w:trPr>
        <w:tc>
          <w:tcPr>
            <w:tcW w:w="3150" w:type="dxa"/>
            <w:vAlign w:val="center"/>
          </w:tcPr>
          <w:p w14:paraId="6B6AF9A4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  <w:i w:val="0"/>
                <w:iCs/>
              </w:rPr>
            </w:pPr>
            <w:r w:rsidRPr="001A31F3">
              <w:rPr>
                <w:b/>
                <w:bCs/>
                <w:i w:val="0"/>
                <w:iCs/>
              </w:rPr>
              <w:t>Jclass</w:t>
            </w:r>
          </w:p>
        </w:tc>
        <w:tc>
          <w:tcPr>
            <w:tcW w:w="1620" w:type="dxa"/>
          </w:tcPr>
          <w:p w14:paraId="01F7EA10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1.000</w:t>
            </w:r>
          </w:p>
        </w:tc>
        <w:tc>
          <w:tcPr>
            <w:tcW w:w="1435" w:type="dxa"/>
          </w:tcPr>
          <w:p w14:paraId="1EDB276E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0.980</w:t>
            </w:r>
          </w:p>
        </w:tc>
        <w:tc>
          <w:tcPr>
            <w:tcW w:w="1598" w:type="dxa"/>
          </w:tcPr>
          <w:p w14:paraId="5884629B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1.000</w:t>
            </w:r>
          </w:p>
        </w:tc>
        <w:tc>
          <w:tcPr>
            <w:tcW w:w="1377" w:type="dxa"/>
          </w:tcPr>
          <w:p w14:paraId="69C7B543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1.000</w:t>
            </w:r>
          </w:p>
        </w:tc>
      </w:tr>
      <w:tr w:rsidR="001A31F3" w:rsidRPr="001A31F3" w14:paraId="066D3001" w14:textId="77777777" w:rsidTr="000B12BB">
        <w:trPr>
          <w:jc w:val="center"/>
        </w:trPr>
        <w:tc>
          <w:tcPr>
            <w:tcW w:w="3150" w:type="dxa"/>
            <w:vAlign w:val="center"/>
          </w:tcPr>
          <w:p w14:paraId="67A9A252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  <w:i w:val="0"/>
                <w:iCs/>
              </w:rPr>
            </w:pPr>
            <w:r w:rsidRPr="001A31F3">
              <w:rPr>
                <w:b/>
                <w:bCs/>
                <w:i w:val="0"/>
                <w:iCs/>
              </w:rPr>
              <w:t>Lennon</w:t>
            </w:r>
          </w:p>
        </w:tc>
        <w:tc>
          <w:tcPr>
            <w:tcW w:w="1620" w:type="dxa"/>
          </w:tcPr>
          <w:p w14:paraId="71C5159A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1.000</w:t>
            </w:r>
          </w:p>
        </w:tc>
        <w:tc>
          <w:tcPr>
            <w:tcW w:w="1435" w:type="dxa"/>
          </w:tcPr>
          <w:p w14:paraId="30DAB1C7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0.716</w:t>
            </w:r>
          </w:p>
        </w:tc>
        <w:tc>
          <w:tcPr>
            <w:tcW w:w="1598" w:type="dxa"/>
          </w:tcPr>
          <w:p w14:paraId="50E2EA72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1.000</w:t>
            </w:r>
          </w:p>
        </w:tc>
        <w:tc>
          <w:tcPr>
            <w:tcW w:w="1377" w:type="dxa"/>
          </w:tcPr>
          <w:p w14:paraId="2C48F85F" w14:textId="77777777" w:rsidR="001A31F3" w:rsidRPr="001A31F3" w:rsidRDefault="001A31F3" w:rsidP="000B12BB">
            <w:pPr>
              <w:spacing w:after="0"/>
              <w:jc w:val="center"/>
              <w:rPr>
                <w:b/>
                <w:bCs/>
              </w:rPr>
            </w:pPr>
            <w:r w:rsidRPr="001A31F3">
              <w:rPr>
                <w:b/>
                <w:cs/>
              </w:rPr>
              <w:t>0.801</w:t>
            </w:r>
          </w:p>
        </w:tc>
      </w:tr>
    </w:tbl>
    <w:p w14:paraId="23B36414" w14:textId="4DF97D22" w:rsidR="008801FC" w:rsidRPr="001A31F3" w:rsidRDefault="008801FC" w:rsidP="001A31F3">
      <w:pPr>
        <w:spacing w:line="480" w:lineRule="auto"/>
        <w:rPr>
          <w:i w:val="0"/>
          <w:iCs/>
        </w:rPr>
      </w:pPr>
    </w:p>
    <w:sectPr w:rsidR="008801FC" w:rsidRPr="001A31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59"/>
    <w:rsid w:val="000B5BE2"/>
    <w:rsid w:val="000D12D3"/>
    <w:rsid w:val="000E3FBA"/>
    <w:rsid w:val="00134468"/>
    <w:rsid w:val="00142DEF"/>
    <w:rsid w:val="00161DDF"/>
    <w:rsid w:val="001A31F3"/>
    <w:rsid w:val="00270574"/>
    <w:rsid w:val="002730BE"/>
    <w:rsid w:val="00286032"/>
    <w:rsid w:val="002C7F20"/>
    <w:rsid w:val="002D003E"/>
    <w:rsid w:val="00516C53"/>
    <w:rsid w:val="005171A2"/>
    <w:rsid w:val="005A07F8"/>
    <w:rsid w:val="00647DED"/>
    <w:rsid w:val="006C47A8"/>
    <w:rsid w:val="007A405B"/>
    <w:rsid w:val="007C140F"/>
    <w:rsid w:val="008801FC"/>
    <w:rsid w:val="008A693D"/>
    <w:rsid w:val="008B4607"/>
    <w:rsid w:val="008F617F"/>
    <w:rsid w:val="008F73BA"/>
    <w:rsid w:val="009C4159"/>
    <w:rsid w:val="00B63B7D"/>
    <w:rsid w:val="00E81C4F"/>
    <w:rsid w:val="00F75676"/>
    <w:rsid w:val="00F913F7"/>
    <w:rsid w:val="00F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B3E"/>
  <w15:chartTrackingRefBased/>
  <w15:docId w15:val="{1D343F29-DFE1-4056-BEAC-DE96C9F8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159"/>
    <w:rPr>
      <w:rFonts w:ascii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159"/>
    <w:pPr>
      <w:spacing w:after="0" w:line="240" w:lineRule="auto"/>
    </w:pPr>
    <w:rPr>
      <w:rFonts w:ascii="Times New Roman" w:hAnsi="Times New Roman" w:cs="Times New Roman"/>
      <w:i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4159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i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6B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6B5"/>
    <w:rPr>
      <w:rFonts w:ascii="Segoe UI" w:hAnsi="Segoe UI" w:cs="Angsana New"/>
      <w:i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E06B5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E06B5"/>
  </w:style>
  <w:style w:type="paragraph" w:customStyle="1" w:styleId="EndNoteBibliography">
    <w:name w:val="EndNote Bibliography"/>
    <w:basedOn w:val="Normal"/>
    <w:link w:val="EndNoteBibliographyChar"/>
    <w:rsid w:val="000E3FBA"/>
    <w:pPr>
      <w:spacing w:line="240" w:lineRule="auto"/>
    </w:pPr>
    <w:rPr>
      <w:rFonts w:ascii="TH SarabunPSK" w:hAnsi="TH SarabunPSK"/>
      <w:bCs/>
      <w:i w:val="0"/>
      <w:noProof/>
      <w:sz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0E3FBA"/>
    <w:rPr>
      <w:rFonts w:ascii="TH SarabunPSK" w:hAnsi="TH SarabunPSK" w:cs="Times New Roman"/>
      <w:bCs/>
      <w:noProof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Naraporn Somboonna</dc:creator>
  <cp:keywords/>
  <dc:description/>
  <cp:lastModifiedBy>Naraporn Somboonna</cp:lastModifiedBy>
  <cp:revision>33</cp:revision>
  <dcterms:created xsi:type="dcterms:W3CDTF">2023-09-27T10:10:00Z</dcterms:created>
  <dcterms:modified xsi:type="dcterms:W3CDTF">2023-09-27T10:37:00Z</dcterms:modified>
</cp:coreProperties>
</file>