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164"/>
        <w:gridCol w:w="1304"/>
        <w:gridCol w:w="527"/>
        <w:gridCol w:w="1210"/>
        <w:gridCol w:w="579"/>
        <w:gridCol w:w="1324"/>
      </w:tblGrid>
      <w:tr w:rsidR="00D43969" w:rsidRPr="00D43969" w:rsidTr="00D43969">
        <w:trPr>
          <w:trHeight w:val="306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D43969" w:rsidRPr="00D43969" w:rsidRDefault="00CD23DC" w:rsidP="00D43969">
            <w:pPr>
              <w:pStyle w:val="MDPI52figure"/>
              <w:jc w:val="left"/>
              <w:rPr>
                <w:rFonts w:cs="Cordia New"/>
                <w:bCs/>
                <w:snapToGrid/>
                <w:sz w:val="18"/>
                <w:szCs w:val="18"/>
              </w:rPr>
            </w:pPr>
            <w:r>
              <w:rPr>
                <w:rFonts w:cs="Cordia New"/>
                <w:b/>
                <w:snapToGrid/>
                <w:sz w:val="18"/>
                <w:szCs w:val="18"/>
              </w:rPr>
              <w:t xml:space="preserve">Supplementary </w:t>
            </w:r>
            <w:r w:rsidR="00D43969" w:rsidRPr="00D43969">
              <w:rPr>
                <w:rFonts w:cs="Cordia New"/>
                <w:b/>
                <w:snapToGrid/>
                <w:sz w:val="18"/>
                <w:szCs w:val="18"/>
              </w:rPr>
              <w:t xml:space="preserve">Table </w:t>
            </w:r>
            <w:r>
              <w:rPr>
                <w:rFonts w:cs="Cordia New"/>
                <w:b/>
                <w:snapToGrid/>
                <w:sz w:val="18"/>
                <w:szCs w:val="18"/>
              </w:rPr>
              <w:t>1</w:t>
            </w:r>
            <w:r w:rsidR="00D43969" w:rsidRPr="00D43969">
              <w:rPr>
                <w:rFonts w:cs="Cordia New"/>
                <w:b/>
                <w:snapToGrid/>
                <w:sz w:val="18"/>
                <w:szCs w:val="18"/>
              </w:rPr>
              <w:t xml:space="preserve">. </w:t>
            </w:r>
            <w:r w:rsidR="00D43969" w:rsidRPr="00D43969">
              <w:rPr>
                <w:rFonts w:cs="Cordia New"/>
                <w:bCs/>
                <w:snapToGrid/>
                <w:sz w:val="18"/>
                <w:szCs w:val="18"/>
              </w:rPr>
              <w:t xml:space="preserve">List of 24 essential </w:t>
            </w:r>
            <w:r w:rsidR="00D43969" w:rsidRPr="00D43969">
              <w:rPr>
                <w:rFonts w:cs="Cordia New"/>
                <w:bCs/>
                <w:i/>
                <w:iCs/>
                <w:snapToGrid/>
                <w:sz w:val="18"/>
                <w:szCs w:val="18"/>
              </w:rPr>
              <w:t>P. larvae</w:t>
            </w:r>
            <w:r w:rsidR="00D43969" w:rsidRPr="00D43969">
              <w:rPr>
                <w:rFonts w:cs="Cordia New"/>
                <w:bCs/>
                <w:snapToGrid/>
                <w:sz w:val="18"/>
                <w:szCs w:val="18"/>
              </w:rPr>
              <w:t xml:space="preserve"> proteins determined by DEG and </w:t>
            </w:r>
            <w:proofErr w:type="spellStart"/>
            <w:r w:rsidR="00D43969" w:rsidRPr="00D43969">
              <w:rPr>
                <w:rFonts w:cs="Cordia New"/>
                <w:bCs/>
                <w:snapToGrid/>
                <w:sz w:val="18"/>
                <w:szCs w:val="18"/>
              </w:rPr>
              <w:t>BLASTp</w:t>
            </w:r>
            <w:proofErr w:type="spellEnd"/>
            <w:r w:rsidR="00D43969" w:rsidRPr="00D43969">
              <w:rPr>
                <w:rFonts w:cs="Cordia New"/>
                <w:bCs/>
                <w:snapToGrid/>
                <w:sz w:val="18"/>
                <w:szCs w:val="18"/>
              </w:rPr>
              <w:t xml:space="preserve"> software.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Protein 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DEG identifier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Coverage of the request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E-value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Identity percentage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Length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D43969">
              <w:rPr>
                <w:b/>
                <w:sz w:val="18"/>
                <w:szCs w:val="18"/>
              </w:rPr>
              <w:t>Accession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1-ATP-dependent helicase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DEG10550152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35.59%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WP_104932911.1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2-helicase-exonuclease </w:t>
            </w:r>
            <w:proofErr w:type="spellStart"/>
            <w:r w:rsidRPr="00D43969">
              <w:rPr>
                <w:sz w:val="18"/>
                <w:szCs w:val="18"/>
              </w:rPr>
              <w:t>AddABsubunitAddA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DEG10050476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37.23%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WP_042119081.1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3-amino </w:t>
            </w:r>
            <w:proofErr w:type="spellStart"/>
            <w:r w:rsidRPr="00D43969">
              <w:rPr>
                <w:sz w:val="18"/>
                <w:szCs w:val="18"/>
              </w:rPr>
              <w:t>acidadenylationdomain-containingprotein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74.10%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WP_237088672.1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4-sigma-70 family RNA polymerase sigma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DEG10360071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30.56%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WP_052337356.1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5-asparagine--</w:t>
            </w:r>
            <w:proofErr w:type="spellStart"/>
            <w:r w:rsidRPr="00D43969">
              <w:rPr>
                <w:sz w:val="18"/>
                <w:szCs w:val="18"/>
              </w:rPr>
              <w:t>tRNA</w:t>
            </w:r>
            <w:proofErr w:type="spellEnd"/>
            <w:r w:rsidRPr="00D43969">
              <w:rPr>
                <w:sz w:val="18"/>
                <w:szCs w:val="18"/>
              </w:rPr>
              <w:t xml:space="preserve"> ligase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DEG10370076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52.61%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WP_024093784.1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6-UvrD-helicase domain-containing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DEG10560996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42.68%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WP_024095352.1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7-acyltransferasedomain-containingprotein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DEG10270361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8e-28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38.66%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WP_237088801.1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8-PD-(D/E)XK nuclease family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DEG10580098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59.09%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WP_237089125.1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9-chromosome </w:t>
            </w:r>
            <w:proofErr w:type="spellStart"/>
            <w:r w:rsidRPr="00D43969">
              <w:rPr>
                <w:sz w:val="18"/>
                <w:szCs w:val="18"/>
              </w:rPr>
              <w:t>segregationprotein</w:t>
            </w:r>
            <w:proofErr w:type="spellEnd"/>
            <w:r w:rsidRPr="00D43969">
              <w:rPr>
                <w:sz w:val="18"/>
                <w:szCs w:val="18"/>
              </w:rPr>
              <w:t xml:space="preserve"> SMC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DEG10070066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9e-116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36.09%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WP_023484350.1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10-2,4-dienoyl-CoA reductase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2e-135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75.30%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WP_079940690.1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11-iron-containing </w:t>
            </w:r>
            <w:proofErr w:type="spellStart"/>
            <w:r w:rsidRPr="00D43969">
              <w:rPr>
                <w:sz w:val="18"/>
                <w:szCs w:val="18"/>
              </w:rPr>
              <w:t>alcoholdehydrogenase</w:t>
            </w:r>
            <w:proofErr w:type="spellEnd"/>
            <w:r w:rsidRPr="00D43969">
              <w:rPr>
                <w:sz w:val="18"/>
                <w:szCs w:val="18"/>
              </w:rPr>
              <w:t>, partial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DEG10430416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52.03%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WP_192807335.1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12-UvrD-helicase domain-containing protein, partial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DEG10580104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40.98%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WP_040931833.1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13-ketoacyl-ACP synthase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DEG10570076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7e-83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49.39%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WP_174567582.1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14-condensation domain-</w:t>
            </w:r>
            <w:proofErr w:type="spellStart"/>
            <w:r w:rsidRPr="00D43969">
              <w:rPr>
                <w:sz w:val="18"/>
                <w:szCs w:val="18"/>
              </w:rPr>
              <w:t>containingprotein</w:t>
            </w:r>
            <w:proofErr w:type="spellEnd"/>
            <w:r w:rsidRPr="00D43969">
              <w:rPr>
                <w:sz w:val="18"/>
                <w:szCs w:val="18"/>
              </w:rPr>
              <w:t>, partial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3e-162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39.62%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WP_040931378.1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15-acetyl-CoA C-acyltransferase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DEG10250448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WP_042118900.1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16-ACP S-</w:t>
            </w:r>
            <w:proofErr w:type="spellStart"/>
            <w:r w:rsidRPr="00D43969">
              <w:rPr>
                <w:sz w:val="18"/>
                <w:szCs w:val="18"/>
              </w:rPr>
              <w:t>malonyltransferase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DEG10010117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7e-119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54.60%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WP_023484345.1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17-(2,3-dihydroxybenzoyl) adenylate synthase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DEG10270431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44.01%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WP_083038287.1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18-isochorismatase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2e-158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69.90%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WP_024093894.1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19-DNA </w:t>
            </w:r>
            <w:proofErr w:type="spellStart"/>
            <w:r w:rsidRPr="00D43969">
              <w:rPr>
                <w:sz w:val="18"/>
                <w:szCs w:val="18"/>
              </w:rPr>
              <w:t>helicasePcrA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DEG10010080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58.66%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WP_077996486.1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20-SDR </w:t>
            </w:r>
            <w:proofErr w:type="spellStart"/>
            <w:r w:rsidRPr="00D43969">
              <w:rPr>
                <w:sz w:val="18"/>
                <w:szCs w:val="18"/>
              </w:rPr>
              <w:t>familyoxidoreductase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38.69%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WP_024094242.1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 xml:space="preserve">21-non-ribosomal peptide </w:t>
            </w:r>
            <w:proofErr w:type="spellStart"/>
            <w:r w:rsidRPr="00D43969">
              <w:rPr>
                <w:sz w:val="18"/>
                <w:szCs w:val="18"/>
              </w:rPr>
              <w:t>synthetase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67.23%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WP_172423458.1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22-beta-ketoacyl-ACP synthase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DEG10560281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52.31%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WP_024094309.1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23-beta-ketoacyl-ACP synthase II, partial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DEG10010090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1e-172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62.84%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WP_040930630.1</w:t>
            </w:r>
          </w:p>
        </w:tc>
      </w:tr>
      <w:tr w:rsidR="00D43969" w:rsidRPr="00D43969" w:rsidTr="00D43969">
        <w:trPr>
          <w:trHeight w:val="306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24-N-acetylmuramoyl-L-alanine amidase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DEG10470083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7e-13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38.54%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969" w:rsidRPr="00D43969" w:rsidRDefault="00D43969" w:rsidP="00C460E1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D43969">
              <w:rPr>
                <w:sz w:val="18"/>
                <w:szCs w:val="18"/>
              </w:rPr>
              <w:t>WP_198963601.1</w:t>
            </w:r>
          </w:p>
        </w:tc>
      </w:tr>
    </w:tbl>
    <w:p w:rsidR="00D43969" w:rsidRPr="00D43969" w:rsidRDefault="00D43969" w:rsidP="00D43969">
      <w:pPr>
        <w:pStyle w:val="MDPI31text"/>
        <w:rPr>
          <w:sz w:val="18"/>
          <w:szCs w:val="18"/>
        </w:rPr>
      </w:pPr>
    </w:p>
    <w:p w:rsidR="00980498" w:rsidRDefault="00980498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CD23DC" w:rsidRDefault="00CD23DC" w:rsidP="00D43969">
      <w:pPr>
        <w:rPr>
          <w:sz w:val="18"/>
          <w:szCs w:val="18"/>
        </w:rPr>
      </w:pPr>
    </w:p>
    <w:p w:rsidR="000C1D0C" w:rsidRDefault="000C1D0C" w:rsidP="00D43969">
      <w:pPr>
        <w:rPr>
          <w:sz w:val="18"/>
          <w:szCs w:val="18"/>
        </w:rPr>
      </w:pPr>
    </w:p>
    <w:p w:rsidR="000C1D0C" w:rsidRDefault="000C1D0C" w:rsidP="00D43969">
      <w:pPr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5760720" cy="5386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DC" w:rsidRPr="006825FE" w:rsidRDefault="000C1D0C" w:rsidP="00D43969">
      <w:pPr>
        <w:rPr>
          <w:color w:val="FF0000"/>
          <w:sz w:val="18"/>
          <w:szCs w:val="18"/>
        </w:rPr>
      </w:pPr>
      <w:r w:rsidRPr="006825FE">
        <w:rPr>
          <w:color w:val="FF0000"/>
          <w:sz w:val="18"/>
          <w:szCs w:val="18"/>
        </w:rPr>
        <w:t xml:space="preserve">Supplementary Fig. 1. </w:t>
      </w:r>
      <w:r w:rsidR="00823E89" w:rsidRPr="006825FE">
        <w:rPr>
          <w:color w:val="FF0000"/>
          <w:sz w:val="18"/>
          <w:szCs w:val="18"/>
        </w:rPr>
        <w:t xml:space="preserve">(A) Core-pan </w:t>
      </w:r>
      <w:r w:rsidR="00B55D2F" w:rsidRPr="006825FE">
        <w:rPr>
          <w:color w:val="FF0000"/>
          <w:sz w:val="18"/>
          <w:szCs w:val="18"/>
        </w:rPr>
        <w:t xml:space="preserve">proteome </w:t>
      </w:r>
      <w:r w:rsidR="00823E89" w:rsidRPr="006825FE">
        <w:rPr>
          <w:color w:val="FF0000"/>
          <w:sz w:val="18"/>
          <w:szCs w:val="18"/>
        </w:rPr>
        <w:t xml:space="preserve">dot plot of studied strains. (B) Percent COGs shown for studied strains in respective genome fractions. </w:t>
      </w:r>
      <w:r w:rsidR="00904A49" w:rsidRPr="006825FE">
        <w:rPr>
          <w:color w:val="FF0000"/>
          <w:sz w:val="18"/>
          <w:szCs w:val="18"/>
        </w:rPr>
        <w:t xml:space="preserve">Core fraction shown by green, accessory by red and unique by sky blue. </w:t>
      </w:r>
      <w:r w:rsidR="00B55D2F" w:rsidRPr="006825FE">
        <w:rPr>
          <w:color w:val="FF0000"/>
          <w:sz w:val="18"/>
          <w:szCs w:val="18"/>
        </w:rPr>
        <w:t>(C)Core proteome based phylogenetic tree of studied strains (D) Pan-proteome based phylogeny of studied strains.</w:t>
      </w:r>
    </w:p>
    <w:p w:rsidR="00CD23DC" w:rsidRDefault="00CD23DC" w:rsidP="00D43969">
      <w:pPr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5760720" cy="1891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6C" w:rsidRDefault="005C2C6C" w:rsidP="0075632D">
      <w:pPr>
        <w:rPr>
          <w:sz w:val="18"/>
          <w:szCs w:val="18"/>
        </w:rPr>
      </w:pPr>
      <w:r>
        <w:rPr>
          <w:sz w:val="18"/>
          <w:szCs w:val="18"/>
        </w:rPr>
        <w:t xml:space="preserve">Supplementary Fig. </w:t>
      </w:r>
      <w:r w:rsidR="0075632D">
        <w:rPr>
          <w:sz w:val="18"/>
          <w:szCs w:val="18"/>
        </w:rPr>
        <w:t>2</w:t>
      </w:r>
      <w:bookmarkStart w:id="0" w:name="_GoBack"/>
      <w:bookmarkEnd w:id="0"/>
      <w:r>
        <w:rPr>
          <w:sz w:val="18"/>
          <w:szCs w:val="18"/>
        </w:rPr>
        <w:t xml:space="preserve">. </w:t>
      </w:r>
      <w:r w:rsidR="00F94AF4">
        <w:rPr>
          <w:sz w:val="18"/>
          <w:szCs w:val="18"/>
        </w:rPr>
        <w:t>2D structures of top scoring ligands.</w:t>
      </w:r>
    </w:p>
    <w:p w:rsidR="00CD23DC" w:rsidRPr="00D43969" w:rsidRDefault="00CD23DC" w:rsidP="00D43969">
      <w:pPr>
        <w:rPr>
          <w:sz w:val="18"/>
          <w:szCs w:val="18"/>
        </w:rPr>
      </w:pPr>
    </w:p>
    <w:sectPr w:rsidR="00CD23DC" w:rsidRPr="00D43969" w:rsidSect="009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bc0Mzc3s7Q0MLMwNzNX0lEKTi0uzszPAykwrAUA/B1a2iwAAAA="/>
  </w:docVars>
  <w:rsids>
    <w:rsidRoot w:val="00192E0B"/>
    <w:rsid w:val="000255F7"/>
    <w:rsid w:val="00062663"/>
    <w:rsid w:val="000802CE"/>
    <w:rsid w:val="00081EE0"/>
    <w:rsid w:val="000B2246"/>
    <w:rsid w:val="000B672B"/>
    <w:rsid w:val="000C1D0C"/>
    <w:rsid w:val="000D72E9"/>
    <w:rsid w:val="000F2E48"/>
    <w:rsid w:val="0010076A"/>
    <w:rsid w:val="00147646"/>
    <w:rsid w:val="00156366"/>
    <w:rsid w:val="00164DA5"/>
    <w:rsid w:val="0017423D"/>
    <w:rsid w:val="001773AC"/>
    <w:rsid w:val="00192E0B"/>
    <w:rsid w:val="0019529E"/>
    <w:rsid w:val="00195545"/>
    <w:rsid w:val="001A5854"/>
    <w:rsid w:val="001C3BA9"/>
    <w:rsid w:val="001D3A64"/>
    <w:rsid w:val="001D4AC5"/>
    <w:rsid w:val="001F7ACB"/>
    <w:rsid w:val="00200227"/>
    <w:rsid w:val="002216C6"/>
    <w:rsid w:val="00267E6C"/>
    <w:rsid w:val="0029760A"/>
    <w:rsid w:val="002B1751"/>
    <w:rsid w:val="002B689B"/>
    <w:rsid w:val="002E39F1"/>
    <w:rsid w:val="002E40B7"/>
    <w:rsid w:val="00313DA4"/>
    <w:rsid w:val="0033632C"/>
    <w:rsid w:val="003476A6"/>
    <w:rsid w:val="0036535D"/>
    <w:rsid w:val="003715C7"/>
    <w:rsid w:val="00377A75"/>
    <w:rsid w:val="00392CB1"/>
    <w:rsid w:val="003C20D8"/>
    <w:rsid w:val="003C39DF"/>
    <w:rsid w:val="003D462C"/>
    <w:rsid w:val="003D78A3"/>
    <w:rsid w:val="003E39D3"/>
    <w:rsid w:val="003F2427"/>
    <w:rsid w:val="00431E4F"/>
    <w:rsid w:val="00432B2B"/>
    <w:rsid w:val="00436355"/>
    <w:rsid w:val="004844F9"/>
    <w:rsid w:val="004917E8"/>
    <w:rsid w:val="004B44A2"/>
    <w:rsid w:val="004C4AC3"/>
    <w:rsid w:val="004E3077"/>
    <w:rsid w:val="005040EC"/>
    <w:rsid w:val="00527CF7"/>
    <w:rsid w:val="00535A95"/>
    <w:rsid w:val="0054627D"/>
    <w:rsid w:val="005502DC"/>
    <w:rsid w:val="00582ECB"/>
    <w:rsid w:val="00590DB8"/>
    <w:rsid w:val="005B4700"/>
    <w:rsid w:val="005C2C6C"/>
    <w:rsid w:val="005D1DC8"/>
    <w:rsid w:val="005D44F1"/>
    <w:rsid w:val="00617432"/>
    <w:rsid w:val="00642C90"/>
    <w:rsid w:val="00657AA9"/>
    <w:rsid w:val="006825FE"/>
    <w:rsid w:val="006B03AF"/>
    <w:rsid w:val="006D56D7"/>
    <w:rsid w:val="00713073"/>
    <w:rsid w:val="00715401"/>
    <w:rsid w:val="00717596"/>
    <w:rsid w:val="00752CE2"/>
    <w:rsid w:val="0075632D"/>
    <w:rsid w:val="00761CC3"/>
    <w:rsid w:val="00764ED7"/>
    <w:rsid w:val="0077528C"/>
    <w:rsid w:val="00786EC5"/>
    <w:rsid w:val="007A68F9"/>
    <w:rsid w:val="007B2BB1"/>
    <w:rsid w:val="007D3498"/>
    <w:rsid w:val="008153A9"/>
    <w:rsid w:val="00823E89"/>
    <w:rsid w:val="00871314"/>
    <w:rsid w:val="00891155"/>
    <w:rsid w:val="00895148"/>
    <w:rsid w:val="008B1B3C"/>
    <w:rsid w:val="008D0F8F"/>
    <w:rsid w:val="008D795B"/>
    <w:rsid w:val="008E05A4"/>
    <w:rsid w:val="008E282B"/>
    <w:rsid w:val="008E693A"/>
    <w:rsid w:val="00904A49"/>
    <w:rsid w:val="00923146"/>
    <w:rsid w:val="00946156"/>
    <w:rsid w:val="0097247C"/>
    <w:rsid w:val="009761B4"/>
    <w:rsid w:val="00980498"/>
    <w:rsid w:val="009854AF"/>
    <w:rsid w:val="009B61E1"/>
    <w:rsid w:val="009E52BE"/>
    <w:rsid w:val="009F1FB1"/>
    <w:rsid w:val="009F3DF9"/>
    <w:rsid w:val="00A07400"/>
    <w:rsid w:val="00A13A42"/>
    <w:rsid w:val="00A40D99"/>
    <w:rsid w:val="00A43356"/>
    <w:rsid w:val="00A44B9A"/>
    <w:rsid w:val="00A450E5"/>
    <w:rsid w:val="00AA3B9D"/>
    <w:rsid w:val="00AB45FF"/>
    <w:rsid w:val="00AC703B"/>
    <w:rsid w:val="00B35850"/>
    <w:rsid w:val="00B46955"/>
    <w:rsid w:val="00B47EA3"/>
    <w:rsid w:val="00B50841"/>
    <w:rsid w:val="00B54F2F"/>
    <w:rsid w:val="00B55223"/>
    <w:rsid w:val="00B55D2F"/>
    <w:rsid w:val="00B5685B"/>
    <w:rsid w:val="00B631DA"/>
    <w:rsid w:val="00B85B3A"/>
    <w:rsid w:val="00BA2688"/>
    <w:rsid w:val="00BA2E08"/>
    <w:rsid w:val="00BD4C5D"/>
    <w:rsid w:val="00BE6201"/>
    <w:rsid w:val="00C33D05"/>
    <w:rsid w:val="00C67D7A"/>
    <w:rsid w:val="00C86709"/>
    <w:rsid w:val="00CC7F6E"/>
    <w:rsid w:val="00CD23BA"/>
    <w:rsid w:val="00CD23DC"/>
    <w:rsid w:val="00CD7F2D"/>
    <w:rsid w:val="00CE1C30"/>
    <w:rsid w:val="00D43969"/>
    <w:rsid w:val="00D7498E"/>
    <w:rsid w:val="00DA1E62"/>
    <w:rsid w:val="00DC025A"/>
    <w:rsid w:val="00DD3986"/>
    <w:rsid w:val="00E22DDF"/>
    <w:rsid w:val="00E264B3"/>
    <w:rsid w:val="00E4609A"/>
    <w:rsid w:val="00E67192"/>
    <w:rsid w:val="00EA6A9A"/>
    <w:rsid w:val="00EC1197"/>
    <w:rsid w:val="00EF2ED3"/>
    <w:rsid w:val="00EF60F7"/>
    <w:rsid w:val="00EF6FE0"/>
    <w:rsid w:val="00F23ABD"/>
    <w:rsid w:val="00F24D83"/>
    <w:rsid w:val="00F3273C"/>
    <w:rsid w:val="00F34682"/>
    <w:rsid w:val="00F715A0"/>
    <w:rsid w:val="00F72244"/>
    <w:rsid w:val="00F72D67"/>
    <w:rsid w:val="00F831C3"/>
    <w:rsid w:val="00F94AF4"/>
    <w:rsid w:val="00FA47E2"/>
    <w:rsid w:val="00FB59C6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CEB9"/>
  <w15:docId w15:val="{9B2CAF89-A74B-47EC-BF9C-8406F2F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0B"/>
    <w:pPr>
      <w:spacing w:before="0"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192E0B"/>
    <w:pPr>
      <w:adjustRightInd w:val="0"/>
      <w:snapToGrid w:val="0"/>
      <w:spacing w:before="0"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192E0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192E0B"/>
    <w:pPr>
      <w:adjustRightInd w:val="0"/>
      <w:snapToGrid w:val="0"/>
      <w:spacing w:before="0"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B47EA3"/>
    <w:pPr>
      <w:adjustRightInd w:val="0"/>
      <w:snapToGrid w:val="0"/>
      <w:spacing w:before="0"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E22DD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52figure">
    <w:name w:val="MDPI_5.2_figure"/>
    <w:qFormat/>
    <w:rsid w:val="00D4396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AYMAN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Author</cp:lastModifiedBy>
  <cp:revision>11</cp:revision>
  <dcterms:created xsi:type="dcterms:W3CDTF">2023-10-27T14:06:00Z</dcterms:created>
  <dcterms:modified xsi:type="dcterms:W3CDTF">2023-12-25T08:53:00Z</dcterms:modified>
</cp:coreProperties>
</file>