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Bold" w:hAnsi="Times New Roman Bold" w:cs="Times New Roman Bold"/>
          <w:b/>
          <w:bCs/>
          <w:sz w:val="28"/>
          <w:szCs w:val="28"/>
          <w:lang w:val="en-US"/>
        </w:rPr>
      </w:pPr>
      <w:r>
        <w:rPr>
          <w:rFonts w:hint="default" w:ascii="Times New Roman Bold" w:hAnsi="Times New Roman Bold" w:cs="Times New Roman Bold"/>
          <w:b/>
          <w:bCs/>
          <w:sz w:val="28"/>
          <w:szCs w:val="28"/>
          <w:lang w:val="en-US"/>
        </w:rPr>
        <w:t>Supplementary material: RT-qPCR process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  <w:t xml:space="preserve">RNA extraction and </w:t>
      </w:r>
      <w:r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 w:eastAsia="zh-CN"/>
        </w:rPr>
        <w:t>quality detection</w:t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Total RNA was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extracted and </w:t>
      </w:r>
      <w:r>
        <w:rPr>
          <w:rFonts w:hint="eastAsia" w:ascii="Times New Roman" w:hAnsi="Times New Roman" w:cs="Times New Roman"/>
          <w:bCs/>
          <w:sz w:val="24"/>
          <w:szCs w:val="24"/>
        </w:rPr>
        <w:t>isolated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>using RNAisoTM PLUS (TaKaRa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, Japan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under the RNase free condition </w:t>
      </w:r>
      <w:r>
        <w:rPr>
          <w:rFonts w:hint="eastAsia" w:ascii="Times New Roman" w:hAnsi="Times New Roman" w:cs="Times New Roman"/>
          <w:bCs/>
          <w:sz w:val="24"/>
          <w:szCs w:val="24"/>
        </w:rPr>
        <w:t>following the manufacturer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hint="eastAsia" w:ascii="Times New Roman" w:hAnsi="Times New Roman" w:cs="Times New Roman"/>
          <w:bCs/>
          <w:sz w:val="24"/>
          <w:szCs w:val="24"/>
        </w:rPr>
        <w:t>s protocol.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Nanodrop Lite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Thermofisher</w:t>
      </w:r>
      <w:r>
        <w:rPr>
          <w:rFonts w:hint="eastAsia" w:ascii="Times New Roman" w:hAnsi="Times New Roman" w:cs="Times New Roman"/>
          <w:bCs/>
          <w:sz w:val="24"/>
          <w:szCs w:val="24"/>
        </w:rPr>
        <w:t>, USA)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was used to detect t</w:t>
      </w:r>
      <w:r>
        <w:rPr>
          <w:rFonts w:hint="eastAsia" w:ascii="Times New Roman" w:hAnsi="Times New Roman" w:cs="Times New Roman"/>
          <w:bCs/>
          <w:sz w:val="24"/>
          <w:szCs w:val="24"/>
        </w:rPr>
        <w:t>he quality and quantity of RNAs by the absorbance at 260 nm/280 nm (A260/A280)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Denaturing agarose gel electrophoresis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was used to detect RNA purity and integrity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 w:eastAsia="zh-CN"/>
        </w:rPr>
        <w:t>Reverse transcription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PrimeScript™ RT reagent Kit with gDNA Eraser (</w:t>
      </w:r>
      <w:r>
        <w:rPr>
          <w:rFonts w:hint="eastAsia" w:ascii="Times New Roman" w:hAnsi="Times New Roman" w:cs="Times New Roman"/>
          <w:bCs/>
          <w:sz w:val="24"/>
          <w:szCs w:val="24"/>
        </w:rPr>
        <w:t>TaKaRa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, Japan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was used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for erasing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gen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omic DNA and RNA transcription, with the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reaction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volume of 10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baseline"/>
          <w:lang w:val="en-US" w:eastAsia="zh-CN"/>
        </w:rPr>
        <w:t>µl (reaction system 1)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and 20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baseline"/>
          <w:lang w:val="en-US" w:eastAsia="zh-CN"/>
        </w:rPr>
        <w:t xml:space="preserve">µl (reaction system 2) and the PCR reactions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as below, respectively.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339"/>
        <w:gridCol w:w="21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81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Reaction system (1)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Volume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PCR reaction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813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5×gDNA Eraser Buffer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 µl</w:t>
            </w:r>
          </w:p>
        </w:tc>
        <w:tc>
          <w:tcPr>
            <w:tcW w:w="2110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813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gDNA Eraser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 µl</w:t>
            </w: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℃  2 minutes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813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Total RNA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 µg</w:t>
            </w:r>
          </w:p>
        </w:tc>
        <w:tc>
          <w:tcPr>
            <w:tcW w:w="2110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℃   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813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RNase free H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Up to 10 µl</w:t>
            </w:r>
          </w:p>
        </w:tc>
        <w:tc>
          <w:tcPr>
            <w:tcW w:w="2110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61"/>
        <w:gridCol w:w="23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Reaction system (2)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Volume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PCR reaction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5× Buffer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 µl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RT Enzyme Mix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 µl</w:t>
            </w:r>
          </w:p>
        </w:tc>
        <w:tc>
          <w:tcPr>
            <w:tcW w:w="2337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℃  15 minutes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Mix I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 µl</w:t>
            </w:r>
          </w:p>
        </w:tc>
        <w:tc>
          <w:tcPr>
            <w:tcW w:w="2337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℃  5 seconds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Primer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 µl</w:t>
            </w:r>
          </w:p>
        </w:tc>
        <w:tc>
          <w:tcPr>
            <w:tcW w:w="2337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 Regular" w:hAnsi="Times New Roman Regular" w:cs="Times New Roman Regular" w:eastAsiaTheme="minorEastAsia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PingFang SC" w:cs="Times New Roman Regular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℃   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RNase free H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 µl</w:t>
            </w:r>
          </w:p>
        </w:tc>
        <w:tc>
          <w:tcPr>
            <w:tcW w:w="2337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Total volume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 µl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  <w:t>Real-time PCR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RT</w:t>
      </w:r>
      <w:r>
        <w:rPr>
          <w:rFonts w:hint="eastAsia" w:ascii="Times New Roman" w:hAnsi="Times New Roman" w:cs="Times New Roman"/>
          <w:bCs/>
          <w:sz w:val="24"/>
          <w:szCs w:val="24"/>
        </w:rPr>
        <w:t>‒qPCR was performed using the ABI Prism 7900 (Applied Biosystems, Foster City, CA, USA) and SYBR PrimeScript RT-PCR kit II (TaKaRa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, Japan</w:t>
      </w:r>
      <w:r>
        <w:rPr>
          <w:rFonts w:hint="eastAsia" w:ascii="Times New Roman" w:hAnsi="Times New Roman" w:cs="Times New Roman"/>
          <w:bCs/>
          <w:sz w:val="24"/>
          <w:szCs w:val="24"/>
        </w:rPr>
        <w:t>) according to the manufacturer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hint="eastAsia" w:ascii="Times New Roman" w:hAnsi="Times New Roman" w:cs="Times New Roman"/>
          <w:bCs/>
          <w:sz w:val="24"/>
          <w:szCs w:val="24"/>
        </w:rPr>
        <w:t>s instructions.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Primer sequences of target DEGs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were designed and </w:t>
      </w:r>
      <w:r>
        <w:rPr>
          <w:rFonts w:hint="eastAsia" w:ascii="Times New Roman" w:hAnsi="Times New Roman" w:cs="Times New Roman"/>
          <w:bCs/>
          <w:sz w:val="24"/>
          <w:szCs w:val="24"/>
        </w:rPr>
        <w:t>synthesized by RiboBio (Guangzhou, China)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and ar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e shown in </w:t>
      </w:r>
      <w:r>
        <w:rPr>
          <w:rFonts w:hint="eastAsia" w:ascii="Times New Roman" w:hAnsi="Times New Roman" w:cs="Times New Roman"/>
          <w:bCs/>
          <w:color w:val="00B0F0"/>
          <w:sz w:val="24"/>
          <w:szCs w:val="24"/>
        </w:rPr>
        <w:t>Tab</w:t>
      </w:r>
      <w:r>
        <w:rPr>
          <w:rFonts w:hint="default" w:ascii="Times New Roman" w:hAnsi="Times New Roman" w:cs="Times New Roman"/>
          <w:bCs/>
          <w:color w:val="00B0F0"/>
          <w:sz w:val="24"/>
          <w:szCs w:val="24"/>
          <w:lang w:val="en-US"/>
        </w:rPr>
        <w:t>.</w:t>
      </w:r>
      <w:r>
        <w:rPr>
          <w:rFonts w:hint="eastAsia" w:ascii="Times New Roman" w:hAnsi="Times New Roman" w:cs="Times New Roman"/>
          <w:bCs/>
          <w:color w:val="00B0F0"/>
          <w:sz w:val="24"/>
          <w:szCs w:val="24"/>
        </w:rPr>
        <w:t xml:space="preserve"> S2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The specificity of the primer pair was v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er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ified by Primer-BLAST (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instrText xml:space="preserve"> HYPERLINK "https://www.ncbi.nlm.nih.gov/tools/primer-blast/." </w:instrTex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fldChar w:fldCharType="separate"/>
      </w:r>
      <w:r>
        <w:rPr>
          <w:rStyle w:val="5"/>
          <w:rFonts w:hint="default" w:ascii="Times New Roman" w:hAnsi="Times New Roman" w:cs="Times New Roman"/>
          <w:bCs/>
          <w:sz w:val="24"/>
          <w:szCs w:val="24"/>
          <w:lang w:val="en-US"/>
        </w:rPr>
        <w:t>https://www.ncbi.nlm.nih.gov/tools/primer-blast/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).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GAPDH was used as a reference gene.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The </w:t>
      </w:r>
      <w:r>
        <w:rPr>
          <w:rFonts w:hint="eastAsia" w:ascii="Times New Roman" w:hAnsi="Times New Roman" w:cs="Times New Roman"/>
          <w:bCs/>
          <w:sz w:val="24"/>
          <w:szCs w:val="24"/>
        </w:rPr>
        <w:t>PCR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>conditions were as follows: denaturing for 10 min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utes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at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95 </w:t>
      </w:r>
      <w:r>
        <w:rPr>
          <w:rFonts w:hint="default" w:ascii="Times New Roman Regular" w:hAnsi="Times New Roman Regular" w:eastAsia="PingFang SC" w:cs="Times New Roman Regular"/>
          <w:bCs/>
          <w:sz w:val="24"/>
          <w:szCs w:val="24"/>
        </w:rPr>
        <w:t>℃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, then 40 cycles including denaturation for 15 s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econds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at 95 </w:t>
      </w:r>
      <w:r>
        <w:rPr>
          <w:rFonts w:hint="default" w:ascii="Times New Roman Regular" w:hAnsi="Times New Roman Regular" w:eastAsia="PingFang SC" w:cs="Times New Roman Regular"/>
          <w:bCs/>
          <w:sz w:val="24"/>
          <w:szCs w:val="24"/>
        </w:rPr>
        <w:t>℃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, with annealing and extension for 1 min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ute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at 60 </w:t>
      </w:r>
      <w:r>
        <w:rPr>
          <w:rFonts w:hint="default" w:ascii="Times New Roman Regular" w:hAnsi="Times New Roman Regular" w:eastAsia="PingFang SC" w:cs="Times New Roman Regular"/>
          <w:bCs/>
          <w:sz w:val="24"/>
          <w:szCs w:val="24"/>
        </w:rPr>
        <w:t>℃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. Three te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chnique replicates were performed for PCR amplification of each sample.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1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353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Reaction system (3)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Volumn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2× SYBR@ Premix Ex TaqII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F Primer(10µM)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0.8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 Primer(10µM)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0.8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ROX Reference II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0.4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353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cDNA template </w:t>
            </w: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ddH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 µl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353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Total volume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 µl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 w:val="0"/>
          <w:sz w:val="24"/>
          <w:szCs w:val="24"/>
          <w:lang w:val="en-US"/>
        </w:rPr>
        <w:t xml:space="preserve">Validation of qPCR </w:t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The specificity of PCR products was detected by 1.5% agarose nucleic acid electrophoresis. NTCs were used to detect PCR contamination in SYBR Green I reactions. NTCs were included in each plate, and the Cq of NTCs ≥ 40 were ignored if the maximum value of Cq is 35.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At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 the same time, a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positive control of nucleic acid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was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used to monitor changes in the experiment over time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. For linear dynamic range, Cq variation was set as 12 at lower limit and 35 for the limitation of detection. 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Outlier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  <w:t xml:space="preserve">ere identified and indicated by instrument cue and we repeated the RT-PCR for the samples. </w:t>
      </w:r>
    </w:p>
    <w:p>
      <w:pPr>
        <w:spacing w:line="360" w:lineRule="auto"/>
        <w:rPr>
          <w:rFonts w:hint="default" w:ascii="Times New Roman" w:hAnsi="Times New Roman" w:cs="Times New Roman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/>
        </w:rPr>
        <w:t>Statistical analysis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Cs/>
          <w:sz w:val="24"/>
          <w:szCs w:val="24"/>
        </w:rPr>
        <w:t>The 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data were collected automa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bCs/>
          <w:sz w:val="24"/>
          <w:szCs w:val="24"/>
        </w:rPr>
        <w:t>tically. The relative expression for a target gene was calc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</w:rPr>
        <w:t>ulated using 2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  <w:vertAlign w:val="superscript"/>
          <w:lang w:val="en-US"/>
        </w:rPr>
        <w:t>-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  <w:vertAlign w:val="superscript"/>
        </w:rPr>
        <w:t>△△C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  <w:vertAlign w:val="superscript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</w:rPr>
        <w:t>.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△C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 xml:space="preserve">was calculated by 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△C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 xml:space="preserve">q 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=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 xml:space="preserve"> Cq of target gene -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Cq of GAPDH, and -</w:t>
      </w:r>
      <w:r>
        <w:rPr>
          <w:rFonts w:hint="eastAsia" w:ascii="PingFang SC" w:hAnsi="PingFang SC" w:eastAsia="PingFang SC" w:cs="PingFang SC"/>
          <w:bCs/>
          <w:sz w:val="24"/>
          <w:szCs w:val="24"/>
          <w:vertAlign w:val="baseline"/>
        </w:rPr>
        <w:t>△△</w:t>
      </w:r>
      <w:r>
        <w:rPr>
          <w:rFonts w:hint="default" w:ascii="Times New Roman Regular" w:hAnsi="Times New Roman Regular" w:cs="Times New Roman Regular"/>
          <w:bCs/>
          <w:sz w:val="24"/>
          <w:szCs w:val="24"/>
          <w:vertAlign w:val="baseline"/>
        </w:rPr>
        <w:t>C</w:t>
      </w:r>
      <w:r>
        <w:rPr>
          <w:rFonts w:hint="default" w:ascii="Times New Roman Regular" w:hAnsi="Times New Roman Regular" w:cs="Times New Roman Regular"/>
          <w:bCs/>
          <w:sz w:val="24"/>
          <w:szCs w:val="24"/>
          <w:vertAlign w:val="baseline"/>
          <w:lang w:val="en-US"/>
        </w:rPr>
        <w:t xml:space="preserve">q 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was calculated by 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-△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△C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= average △C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of the 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CON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group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 xml:space="preserve"> - 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>△C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q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of the </w:t>
      </w:r>
      <w:r>
        <w:rPr>
          <w:rFonts w:hint="default" w:ascii="Times New Roman Regular" w:hAnsi="Times New Roman Regular" w:cs="Times New Roman Regular"/>
          <w:bCs/>
          <w:sz w:val="24"/>
          <w:szCs w:val="24"/>
          <w:lang w:val="en-US"/>
        </w:rPr>
        <w:t>CA</w:t>
      </w:r>
      <w:r>
        <w:rPr>
          <w:rFonts w:hint="default" w:ascii="Times New Roman Regular" w:hAnsi="Times New Roman Regular" w:cs="Times New Roman Regular"/>
          <w:bCs/>
          <w:sz w:val="24"/>
          <w:szCs w:val="24"/>
        </w:rPr>
        <w:t xml:space="preserve"> group.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bCs/>
          <w:color w:val="auto"/>
          <w:sz w:val="24"/>
          <w:szCs w:val="24"/>
          <w:lang w:val="en-US"/>
        </w:rPr>
        <w:t xml:space="preserve">AS ratio was calculated by AS ratio = the relative expression of gene-AS / gene-M. </w:t>
      </w:r>
      <w:r>
        <w:rPr>
          <w:rFonts w:hint="default" w:ascii="Times New Roman Regular" w:hAnsi="Times New Roman Regular" w:cs="Times New Roman Regular"/>
          <w:color w:val="auto"/>
          <w:sz w:val="24"/>
          <w:szCs w:val="24"/>
          <w:lang w:val="en-US"/>
        </w:rPr>
        <w:t xml:space="preserve">Quantitative variables were expressed as means ± standard error 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(SE). All calculations and plots were completed using GraphPad v9. </w:t>
      </w:r>
      <w:r>
        <w:rPr>
          <w:rFonts w:ascii="Times New Roman" w:hAnsi="Times New Roman" w:cs="Times New Roman"/>
          <w:bCs/>
          <w:sz w:val="24"/>
          <w:szCs w:val="24"/>
        </w:rPr>
        <w:t>Student’s t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test was used to compare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the expression of target genes and AS </w:t>
      </w:r>
      <w:r>
        <w:rPr>
          <w:rFonts w:ascii="Times New Roman" w:hAnsi="Times New Roman" w:cs="Times New Roman"/>
          <w:bCs/>
          <w:sz w:val="24"/>
          <w:szCs w:val="24"/>
        </w:rPr>
        <w:t>ratio change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target gene splicing events.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A </w:t>
      </w:r>
      <w:r>
        <w:rPr>
          <w:rFonts w:hint="default" w:ascii="Times New Roman Italic" w:hAnsi="Times New Roman Italic" w:cs="Times New Roman Italic"/>
          <w:bCs/>
          <w:i/>
          <w:i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 xml:space="preserve"> value &lt; 0.05 was considered statistically significant.</w:t>
      </w:r>
    </w:p>
    <w:p>
      <w:pPr>
        <w:spacing w:line="360" w:lineRule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B1C9"/>
    <w:multiLevelType w:val="singleLevel"/>
    <w:tmpl w:val="82F2B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2715"/>
    <w:rsid w:val="5FFC4FA9"/>
    <w:rsid w:val="69FEAD73"/>
    <w:rsid w:val="790EF5E4"/>
    <w:rsid w:val="79973CFD"/>
    <w:rsid w:val="7B6A75FA"/>
    <w:rsid w:val="7BF71DB1"/>
    <w:rsid w:val="B6E402AD"/>
    <w:rsid w:val="DFFF2715"/>
    <w:rsid w:val="EDFF798C"/>
    <w:rsid w:val="FF77E33E"/>
    <w:rsid w:val="FFE3F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2023-12-16T15:40:00Z</dcterms:created>
  <dc:creator>倾城之恋601</dc:creator>
  <cp:lastModifiedBy>倾城之恋601</cp:lastModifiedBy>
  <dcterms:modified xsi:type="dcterms:W3CDTF">2023-12-21T21:35:35Z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3541399AB10AE74C53B17A65D22730C8_41</vt:lpwstr>
  </property>
</Properties>
</file>