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291"/>
        <w:gridCol w:w="1595"/>
        <w:gridCol w:w="1696"/>
        <w:gridCol w:w="10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83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 Regular" w:hAnsi="Times New Roman Regular" w:cs="Times New Roman Regular"/>
                <w:b w:val="0"/>
                <w:bCs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1"/>
                <w:szCs w:val="21"/>
                <w:lang w:val="en-US" w:eastAsia="zh-CN"/>
              </w:rPr>
              <w:t>Table S1. Characteristics of the study subjects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403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Characteristics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CA group (n=40)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CON Group (n=15)</w:t>
            </w:r>
          </w:p>
        </w:tc>
        <w:tc>
          <w:tcPr>
            <w:tcW w:w="10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i/>
                <w:iCs/>
                <w:sz w:val="21"/>
                <w:szCs w:val="21"/>
                <w:vertAlign w:val="baseline"/>
                <w:lang w:val="en-US" w:eastAsia="zh-CN"/>
              </w:rPr>
              <w:t xml:space="preserve">P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4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Ages (Mean, SD)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26.63 ±4.91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25.35 ± 5.10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0.398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4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BMI (Mean, SD)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21.58 ± 0.76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21.23 ± 0.64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7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HPV genotyping (n)</w:t>
            </w:r>
          </w:p>
        </w:tc>
        <w:tc>
          <w:tcPr>
            <w:tcW w:w="229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Single low-risk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1744" w:type="dxa"/>
            <w:vMerge w:val="continue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With HPV 16/18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17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With other high-risk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17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Disease courses at first visit</w:t>
            </w:r>
          </w:p>
        </w:tc>
        <w:tc>
          <w:tcPr>
            <w:tcW w:w="229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&lt; 6 months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1744" w:type="dxa"/>
            <w:vMerge w:val="continue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6-12 months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17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PingFang SC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12 months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D747D"/>
    <w:rsid w:val="DF6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2024-03-09T00:35:00Z</dcterms:created>
  <dc:creator>倾城之恋601</dc:creator>
  <cp:lastModifiedBy>倾城之恋601</cp:lastModifiedBy>
  <dcterms:modified xsi:type="dcterms:W3CDTF">2024-03-09T00:36:15Z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2BF5A51525C3C30E3E3EEB650C914657_41</vt:lpwstr>
  </property>
</Properties>
</file>