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rationale for conducting the meta-analysis. </w:t>
      </w:r>
    </w:p>
    <w:p>
      <w:pPr>
        <w:spacing w:line="276" w:lineRule="auto"/>
        <w:jc w:val="both"/>
        <w:rPr>
          <w:rFonts w:ascii="Times New Roman" w:hAnsi="Times New Roman" w:eastAsia="Times New Roman" w:cs="Times New Roman"/>
          <w:sz w:val="24"/>
          <w:szCs w:val="24"/>
        </w:rPr>
      </w:pPr>
    </w:p>
    <w:p>
      <w:pPr>
        <w:spacing w:line="276" w:lineRule="auto"/>
        <w:jc w:val="both"/>
        <w:rPr>
          <w:rFonts w:hint="eastAsia" w:ascii="Times New Roman" w:hAnsi="Times New Roman" w:eastAsia="Times New Roman" w:cs="Times New Roman"/>
          <w:sz w:val="24"/>
          <w:szCs w:val="24"/>
        </w:rPr>
      </w:pPr>
      <w:r>
        <w:rPr>
          <w:rFonts w:hint="eastAsia" w:ascii="Times New Roman" w:hAnsi="Times New Roman"/>
          <w:color w:val="auto"/>
          <w:sz w:val="24"/>
          <w:lang w:val="en-US" w:eastAsia="zh-CN"/>
        </w:rPr>
        <w:t>D. Rischin</w:t>
      </w:r>
      <w:r>
        <w:rPr>
          <w:rFonts w:hint="eastAsia" w:ascii="Times New Roman" w:hAnsi="Times New Roman" w:eastAsia="Times New Roman" w:cs="Times New Roman"/>
          <w:sz w:val="24"/>
          <w:szCs w:val="24"/>
        </w:rPr>
        <w:t xml:space="preserve"> et al. </w:t>
      </w:r>
      <w:r>
        <w:rPr>
          <w:rFonts w:hint="eastAsia" w:ascii="Times New Roman" w:hAnsi="Times New Roman" w:eastAsia="宋体" w:cs="Times New Roman"/>
          <w:sz w:val="24"/>
          <w:szCs w:val="24"/>
          <w:lang w:val="en-US" w:eastAsia="zh-CN"/>
        </w:rPr>
        <w:t>2021</w:t>
      </w:r>
      <w:r>
        <w:rPr>
          <w:rFonts w:hint="eastAsia" w:ascii="Times New Roman" w:hAnsi="Times New Roman" w:eastAsia="Times New Roman" w:cs="Times New Roman"/>
          <w:sz w:val="24"/>
          <w:szCs w:val="24"/>
        </w:rPr>
        <w:t xml:space="preserve"> and J. Huang</w:t>
      </w:r>
      <w:r>
        <w:rPr>
          <w:rFonts w:hint="eastAsia" w:ascii="Times New Roman" w:hAnsi="Times New Roman" w:eastAsia="Times New Roman" w:cs="Times New Roman"/>
          <w:sz w:val="24"/>
          <w:szCs w:val="24"/>
        </w:rPr>
        <w:t>et al.</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Times New Roman" w:cs="Times New Roman"/>
          <w:sz w:val="24"/>
          <w:szCs w:val="24"/>
        </w:rPr>
        <w:t>a meta-analysis of 31 retrospective and some prospective studies</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Times New Roman" w:cs="Times New Roman"/>
          <w:sz w:val="24"/>
          <w:szCs w:val="24"/>
        </w:rPr>
        <w:t>as landmark trials in downstaging both concluded that using cetuximab instead of cisplatin in combination with radiotherapy significantly improved patient survival, although it did not reduce its toxic side effects. However, in subsequent trials conducted by multinational research groups, however, the opposite conclusion was reached: the incidence of adverse events was not significantly different between the two treatment groups, and the overall survival of patients was significantly reduced in both cases. Therefore, it is necessary to clarify the efficacy and safety of cetuximab combined with radiotherapy regimen compared with conventional cisplatin combined with radiotherapy regimen for HPV</w:t>
      </w:r>
      <w:r>
        <w:rPr>
          <w:rFonts w:hint="eastAsia" w:ascii="Times New Roman" w:hAnsi="Times New Roman" w:eastAsia="Times New Roman" w:cs="Times New Roman"/>
          <w:sz w:val="24"/>
          <w:szCs w:val="24"/>
          <w:vertAlign w:val="superscript"/>
        </w:rPr>
        <w:t>+</w:t>
      </w:r>
      <w:r>
        <w:rPr>
          <w:rFonts w:hint="eastAsia" w:ascii="Times New Roman" w:hAnsi="Times New Roman" w:eastAsia="Times New Roman" w:cs="Times New Roman"/>
          <w:sz w:val="24"/>
          <w:szCs w:val="24"/>
        </w:rPr>
        <w:t xml:space="preserve"> OPSCC and to conduct systematic evaluation and Meta-analysis.</w:t>
      </w:r>
    </w:p>
    <w:p>
      <w:pPr>
        <w:spacing w:line="276" w:lineRule="auto"/>
        <w:jc w:val="both"/>
        <w:rPr>
          <w:rFonts w:hint="eastAsia" w:ascii="Times New Roman" w:hAnsi="Times New Roman" w:eastAsia="Times New Roman" w:cs="Times New Roman"/>
          <w:sz w:val="24"/>
          <w:szCs w:val="24"/>
        </w:rPr>
      </w:pPr>
    </w:p>
    <w:p>
      <w:pPr>
        <w:numPr>
          <w:ilvl w:val="0"/>
          <w:numId w:val="1"/>
        </w:numPr>
        <w:spacing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contribution that the meta-analysis makes to knowledge in light of previously published related reports, including other meta-analyses and systematic reviews.</w:t>
      </w:r>
    </w:p>
    <w:p>
      <w:pPr>
        <w:spacing w:line="276" w:lineRule="auto"/>
        <w:jc w:val="both"/>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In this study, by including five randomized controlled trials in the literature, all of which were meta-analyses of cetuximab combination radiotherapy versus cisplatin combination radiotherapy regimens for the treatment of patients with HPV</w:t>
      </w:r>
      <w:r>
        <w:rPr>
          <w:rFonts w:hint="eastAsia" w:ascii="Times New Roman" w:hAnsi="Times New Roman" w:eastAsia="Times New Roman" w:cs="Times New Roman"/>
          <w:sz w:val="24"/>
          <w:szCs w:val="24"/>
          <w:vertAlign w:val="superscript"/>
        </w:rPr>
        <w:t>+</w:t>
      </w:r>
      <w:r>
        <w:rPr>
          <w:rFonts w:hint="eastAsia" w:ascii="Times New Roman" w:hAnsi="Times New Roman" w:eastAsia="Times New Roman" w:cs="Times New Roman"/>
          <w:sz w:val="24"/>
          <w:szCs w:val="24"/>
        </w:rPr>
        <w:t xml:space="preserve"> OPSCC, it was clarified that cisplatin combination radiotherapy continues to serve as the gold standard for HPV</w:t>
      </w:r>
      <w:r>
        <w:rPr>
          <w:rFonts w:hint="eastAsia" w:ascii="Times New Roman" w:hAnsi="Times New Roman" w:eastAsia="Times New Roman" w:cs="Times New Roman"/>
          <w:sz w:val="24"/>
          <w:szCs w:val="24"/>
          <w:vertAlign w:val="superscript"/>
        </w:rPr>
        <w:t xml:space="preserve">+ </w:t>
      </w:r>
      <w:r>
        <w:rPr>
          <w:rFonts w:hint="eastAsia" w:ascii="Times New Roman" w:hAnsi="Times New Roman" w:eastAsia="Times New Roman" w:cs="Times New Roman"/>
          <w:sz w:val="24"/>
          <w:szCs w:val="24"/>
        </w:rPr>
        <w:t>OPSCC, and further subgroup analyses revealed that patients with low-risk HPV</w:t>
      </w:r>
      <w:r>
        <w:rPr>
          <w:rFonts w:hint="eastAsia" w:ascii="Times New Roman" w:hAnsi="Times New Roman" w:eastAsia="Times New Roman" w:cs="Times New Roman"/>
          <w:sz w:val="24"/>
          <w:szCs w:val="24"/>
          <w:vertAlign w:val="superscript"/>
        </w:rPr>
        <w:t>+</w:t>
      </w:r>
      <w:r>
        <w:rPr>
          <w:rFonts w:hint="eastAsia" w:ascii="Times New Roman" w:hAnsi="Times New Roman" w:eastAsia="Times New Roman" w:cs="Times New Roman"/>
          <w:sz w:val="24"/>
          <w:szCs w:val="24"/>
        </w:rPr>
        <w:t xml:space="preserve"> OPSCC with a smoking history of ≤10 packs/year by the 7</w:t>
      </w:r>
      <w:r>
        <w:rPr>
          <w:rFonts w:hint="eastAsia" w:ascii="Times New Roman" w:hAnsi="Times New Roman" w:eastAsia="Times New Roman" w:cs="Times New Roman"/>
          <w:sz w:val="24"/>
          <w:szCs w:val="24"/>
          <w:vertAlign w:val="superscript"/>
        </w:rPr>
        <w:t>th</w:t>
      </w:r>
      <w:r>
        <w:rPr>
          <w:rFonts w:hint="eastAsia" w:ascii="Times New Roman" w:hAnsi="Times New Roman" w:eastAsia="Times New Roman" w:cs="Times New Roman"/>
          <w:sz w:val="24"/>
          <w:szCs w:val="24"/>
        </w:rPr>
        <w:t xml:space="preserve"> edition of the AJCC/UICC criteria and without the involvement of Low-risk HPV</w:t>
      </w:r>
      <w:r>
        <w:rPr>
          <w:rFonts w:hint="eastAsia" w:ascii="Times New Roman" w:hAnsi="Times New Roman" w:eastAsia="Times New Roman" w:cs="Times New Roman"/>
          <w:sz w:val="24"/>
          <w:szCs w:val="24"/>
          <w:vertAlign w:val="superscript"/>
        </w:rPr>
        <w:t>+</w:t>
      </w:r>
      <w:r>
        <w:rPr>
          <w:rFonts w:hint="eastAsia" w:ascii="Times New Roman" w:hAnsi="Times New Roman" w:eastAsia="Times New Roman" w:cs="Times New Roman"/>
          <w:sz w:val="24"/>
          <w:szCs w:val="24"/>
        </w:rPr>
        <w:t xml:space="preserve"> OPSCC patients with non-pharyngeal tumors with lymphatic metastases under the 7th edition of the AJCC/UICC criteria, using cetuximab instead of cisplatin in combination with radiotherapy, had similar survival outcomes to the traditional regimen using cisplatin. This may be an alternative downstaging strategy after carboplatin/5-fluorouracil for patients who fit this profile and are also intolerant to cisplatin, especially if they are allergic to platinum-based agents.</w:t>
      </w:r>
    </w:p>
    <w:p>
      <w:pPr>
        <w:jc w:val="both"/>
        <w:rPr>
          <w:rFonts w:ascii="Times" w:hAnsi="Times" w:eastAsia="Times" w:cs="Times"/>
          <w:sz w:val="24"/>
          <w:szCs w:val="24"/>
        </w:rPr>
      </w:pPr>
    </w:p>
    <w:p>
      <w:pPr>
        <w:ind w:firstLine="720"/>
        <w:jc w:val="both"/>
        <w:rPr>
          <w:rFonts w:hint="eastAsia" w:ascii="Times New Roman" w:hAnsi="Times New Roman" w:eastAsia="Times New Roman" w:cs="Times New Roman"/>
          <w:color w:val="212121"/>
          <w:sz w:val="24"/>
          <w:szCs w:val="24"/>
          <w:highlight w:val="white"/>
        </w:rPr>
      </w:pPr>
      <w:r>
        <w:rPr>
          <w:rFonts w:hint="eastAsia" w:ascii="Times New Roman" w:hAnsi="Times New Roman" w:eastAsia="Times New Roman" w:cs="Times New Roman"/>
          <w:color w:val="212121"/>
          <w:sz w:val="24"/>
          <w:szCs w:val="24"/>
          <w:highlight w:val="white"/>
        </w:rPr>
        <w:t>M. Buglione, M. Maddalo, R. Corvo, L. Pirtoli, F. Paiar, L. Lastrucci, et al.Subgroup analysis according to human papillomavirus status and tumor site of a randomized phase II trial comparing cetuximab and cisplatin combined with radiation therapy for locally advanced head and neck cancer Int [J] Radiat Oncol Biol Phys, 97 (2017), pp. 462-472</w:t>
      </w:r>
    </w:p>
    <w:p>
      <w:pPr>
        <w:ind w:firstLine="720"/>
        <w:jc w:val="both"/>
        <w:rPr>
          <w:rFonts w:hint="eastAsia" w:ascii="Times New Roman" w:hAnsi="Times New Roman" w:eastAsia="Times New Roman" w:cs="Times New Roman"/>
          <w:color w:val="212121"/>
          <w:sz w:val="24"/>
          <w:szCs w:val="24"/>
          <w:highlight w:val="white"/>
        </w:rPr>
      </w:pPr>
      <w:r>
        <w:rPr>
          <w:rFonts w:hint="eastAsia" w:ascii="Times New Roman" w:hAnsi="Times New Roman" w:eastAsia="Times New Roman" w:cs="Times New Roman"/>
          <w:color w:val="212121"/>
          <w:sz w:val="24"/>
          <w:szCs w:val="24"/>
          <w:highlight w:val="white"/>
        </w:rPr>
        <w:t>M.L. Gillison, A.M. Trotti, J. Harris, A. Eisbruch, P.M. Harari, D.J. Adelstein, et al.Radiotherapy plus cetuximab or cisplatin in human papillomavirus-positive oropharyngeal cancer (NRG Oncology RTOG 1016): a randomised, multicentre, non-inferiority trial Lancet, 393 (2019), pp. 40-50</w:t>
      </w:r>
    </w:p>
    <w:p>
      <w:pPr>
        <w:ind w:firstLine="720"/>
        <w:jc w:val="both"/>
        <w:rPr>
          <w:rFonts w:hint="eastAsia" w:ascii="Times New Roman" w:hAnsi="Times New Roman" w:eastAsia="Times New Roman" w:cs="Times New Roman"/>
          <w:color w:val="212121"/>
          <w:sz w:val="24"/>
          <w:szCs w:val="24"/>
          <w:highlight w:val="white"/>
        </w:rPr>
      </w:pPr>
      <w:r>
        <w:rPr>
          <w:rFonts w:hint="eastAsia" w:ascii="Times New Roman" w:hAnsi="Times New Roman" w:eastAsia="Times New Roman" w:cs="Times New Roman"/>
          <w:color w:val="212121"/>
          <w:sz w:val="24"/>
          <w:szCs w:val="24"/>
          <w:highlight w:val="white"/>
        </w:rPr>
        <w:t>H. Mehanna, M. Robinson, A. Hartley, A. Kong, B. Foran, T. Fulton-Lieuw, et al.Radiotherapy plus cisplatin or cetuximab in low-risk human papillomavirus-positive oropharyngeal cancer (De-ESCALaTE HPV): an open-label randomised controlled phase 3 trial Lancet, 393 (2019), pp. 51-60</w:t>
      </w:r>
      <w:bookmarkStart w:id="0" w:name="_GoBack"/>
      <w:bookmarkEnd w:id="0"/>
    </w:p>
    <w:p>
      <w:pPr>
        <w:ind w:firstLine="720"/>
        <w:jc w:val="both"/>
        <w:rPr>
          <w:rFonts w:hint="eastAsia" w:ascii="Times New Roman" w:hAnsi="Times New Roman" w:eastAsia="Times New Roman" w:cs="Times New Roman"/>
          <w:color w:val="212121"/>
          <w:sz w:val="24"/>
          <w:szCs w:val="24"/>
          <w:highlight w:val="white"/>
        </w:rPr>
      </w:pPr>
      <w:r>
        <w:rPr>
          <w:rFonts w:hint="eastAsia" w:ascii="Times New Roman" w:hAnsi="Times New Roman" w:eastAsia="Times New Roman" w:cs="Times New Roman"/>
          <w:color w:val="212121"/>
          <w:sz w:val="24"/>
          <w:szCs w:val="24"/>
          <w:highlight w:val="white"/>
        </w:rPr>
        <w:t>M. Gebre-Medhin, E. Brun, P. Engstrom, H. Haugen Cange, L. Hammarstedt-Nordenvall, J. Reizenstein, et al. ARTSCAN III: a randomized phase III study comparing chemoradiotherapy with cisplatin versus cetuximab in patients with locoregionally advanced head and neck squamous cell cancer [J] Clin Oncol, 39 (2021), pp. 38-47</w:t>
      </w:r>
    </w:p>
    <w:p>
      <w:pPr>
        <w:ind w:firstLine="720"/>
        <w:jc w:val="both"/>
        <w:rPr>
          <w:rFonts w:ascii="Times New Roman" w:hAnsi="Times New Roman" w:eastAsia="Times New Roman" w:cs="Times New Roman"/>
          <w:color w:val="212121"/>
          <w:sz w:val="24"/>
          <w:szCs w:val="24"/>
          <w:highlight w:val="white"/>
        </w:rPr>
      </w:pPr>
      <w:r>
        <w:rPr>
          <w:rFonts w:hint="eastAsia" w:ascii="Times New Roman" w:hAnsi="Times New Roman" w:eastAsia="Times New Roman" w:cs="Times New Roman"/>
          <w:color w:val="212121"/>
          <w:sz w:val="24"/>
          <w:szCs w:val="24"/>
          <w:highlight w:val="white"/>
        </w:rPr>
        <w:t>Curran D, Giralt J, Harari PM, et al. Quality of life in head and neck cancer patients after treatment with high-dose radiotherapy alone or in combination with cetuximab. [J] Clin Oncol 2007;25:2191–7.</w:t>
      </w:r>
    </w:p>
    <w:sectPr>
      <w:pgSz w:w="12240" w:h="15840"/>
      <w:pgMar w:top="1440" w:right="1440" w:bottom="1440" w:left="1440" w:header="720" w:footer="720" w:gutter="0"/>
      <w:pgNumType w:start="1"/>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mbria">
    <w:panose1 w:val="02040503050406030204"/>
    <w:charset w:val="A2"/>
    <w:family w:val="roman"/>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Times">
    <w:altName w:val="Times New Roman"/>
    <w:panose1 w:val="02020603050405020304"/>
    <w:charset w:val="A2"/>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65FCC"/>
    <w:multiLevelType w:val="multilevel"/>
    <w:tmpl w:val="3DE65FC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0ODRjODA5MzExZWUxZmMxNjc5NzMzZTZkYjg0N2MifQ=="/>
  </w:docVars>
  <w:rsids>
    <w:rsidRoot w:val="00D35D1F"/>
    <w:rsid w:val="00D35D1F"/>
    <w:rsid w:val="00F25F5B"/>
    <w:rsid w:val="0C1C60C4"/>
    <w:rsid w:val="1E61543A"/>
    <w:rsid w:val="34F82570"/>
    <w:rsid w:val="4714323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2"/>
      <w:szCs w:val="22"/>
      <w:lang w:val="en-US" w:eastAsia="tr-TR" w:bidi="ar-SA"/>
    </w:rPr>
  </w:style>
  <w:style w:type="paragraph" w:styleId="2">
    <w:name w:val="heading 1"/>
    <w:link w:val="14"/>
    <w:qFormat/>
    <w:uiPriority w:val="9"/>
    <w:pPr>
      <w:keepNext/>
      <w:keepLines/>
      <w:outlineLvl w:val="0"/>
    </w:pPr>
    <w:rPr>
      <w:rFonts w:ascii="Calibri" w:hAnsi="Calibri" w:eastAsiaTheme="majorEastAsia" w:cstheme="majorBidi"/>
      <w:b/>
      <w:bCs/>
      <w:color w:val="000000" w:themeColor="text1"/>
      <w:sz w:val="24"/>
      <w:szCs w:val="24"/>
      <w:lang w:val="en-US" w:eastAsia="tr-TR" w:bidi="ar-SA"/>
      <w14:textFill>
        <w14:solidFill>
          <w14:schemeClr w14:val="tx1"/>
        </w14:solidFill>
      </w14:textFill>
    </w:rPr>
  </w:style>
  <w:style w:type="paragraph" w:styleId="3">
    <w:name w:val="heading 2"/>
    <w:basedOn w:val="1"/>
    <w:link w:val="15"/>
    <w:unhideWhenUsed/>
    <w:qFormat/>
    <w:uiPriority w:val="9"/>
    <w:pPr>
      <w:outlineLvl w:val="1"/>
    </w:pPr>
  </w:style>
  <w:style w:type="paragraph" w:styleId="4">
    <w:name w:val="heading 3"/>
    <w:basedOn w:val="1"/>
    <w:next w:val="1"/>
    <w:link w:val="16"/>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8">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9">
    <w:name w:val="Normal (Web)"/>
    <w:basedOn w:val="1"/>
    <w:semiHidden/>
    <w:unhideWhenUsed/>
    <w:qFormat/>
    <w:uiPriority w:val="99"/>
    <w:pPr>
      <w:spacing w:before="100" w:beforeAutospacing="1" w:after="100" w:afterAutospacing="1"/>
    </w:pPr>
    <w:rPr>
      <w:rFonts w:ascii="Times New Roman" w:hAnsi="Times New Roman" w:cs="Times New Roman"/>
      <w:sz w:val="24"/>
      <w:szCs w:val="24"/>
    </w:rPr>
  </w:style>
  <w:style w:type="paragraph" w:styleId="10">
    <w:name w:val="Title"/>
    <w:basedOn w:val="1"/>
    <w:next w:val="1"/>
    <w:qFormat/>
    <w:uiPriority w:val="0"/>
    <w:pPr>
      <w:keepNext/>
      <w:keepLines/>
      <w:spacing w:before="480" w:after="120"/>
    </w:pPr>
    <w:rPr>
      <w:b/>
      <w:sz w:val="72"/>
      <w:szCs w:val="72"/>
    </w:rPr>
  </w:style>
  <w:style w:type="table" w:customStyle="1" w:styleId="13">
    <w:name w:val="Table Normal"/>
    <w:qFormat/>
    <w:uiPriority w:val="0"/>
    <w:tblPr>
      <w:tblCellMar>
        <w:top w:w="0" w:type="dxa"/>
        <w:left w:w="0" w:type="dxa"/>
        <w:bottom w:w="0" w:type="dxa"/>
        <w:right w:w="0" w:type="dxa"/>
      </w:tblCellMar>
    </w:tblPr>
  </w:style>
  <w:style w:type="character" w:customStyle="1" w:styleId="14">
    <w:name w:val="Başlık 1 Char"/>
    <w:basedOn w:val="12"/>
    <w:link w:val="2"/>
    <w:qFormat/>
    <w:uiPriority w:val="9"/>
    <w:rPr>
      <w:rFonts w:eastAsiaTheme="majorEastAsia" w:cstheme="majorBidi"/>
      <w:b/>
      <w:bCs/>
      <w:color w:val="000000" w:themeColor="text1"/>
      <w:sz w:val="24"/>
      <w:szCs w:val="24"/>
      <w14:textFill>
        <w14:solidFill>
          <w14:schemeClr w14:val="tx1"/>
        </w14:solidFill>
      </w14:textFill>
    </w:rPr>
  </w:style>
  <w:style w:type="character" w:customStyle="1" w:styleId="15">
    <w:name w:val="Başlık 2 Char"/>
    <w:basedOn w:val="12"/>
    <w:link w:val="3"/>
    <w:qFormat/>
    <w:uiPriority w:val="9"/>
  </w:style>
  <w:style w:type="character" w:customStyle="1" w:styleId="16">
    <w:name w:val="Başlık 3 Char"/>
    <w:basedOn w:val="12"/>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17">
    <w:name w:val="TOC Heading"/>
    <w:basedOn w:val="2"/>
    <w:next w:val="1"/>
    <w:unhideWhenUsed/>
    <w:qFormat/>
    <w:uiPriority w:val="39"/>
    <w:pPr>
      <w:spacing w:before="480" w:line="276" w:lineRule="auto"/>
      <w:outlineLvl w:val="9"/>
    </w:pPr>
    <w:rPr>
      <w:rFonts w:asciiTheme="majorHAnsi" w:hAnsiTheme="majorHAnsi"/>
      <w:color w:val="376092" w:themeColor="accent1" w:themeShade="BF"/>
      <w:sz w:val="28"/>
      <w:szCs w:val="28"/>
      <w:lang w:eastAsia="ja-JP"/>
    </w:rPr>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KX2IGPEgI4d+puetDQzyqYStg==">AMUW2mVNqwPRPlU22c58PdHcBRDBlrYZdIDFG4raqsbr5kqvz4ZUuOVQyn0l0CFm7nJHAZL9rbuckoglWpQZC+UAbn/V8rSl7+vtDg8mNiHEZ6uS2p8OC6VfB4+jUVvgqNDib14a5h7KpcUjQ7VUYIXSv3pfSTGaL87fVYowzI6mgL2gfob9NTzNVMGYuysx+ue5Uwzyj3BpbVeqPFwItJ1E3gBsUV/ciNo3O3yQ38wvREFXCoeh15e1ME1j8qWciMq48ToUZaBtqAEMlvZYQH5UYHpj2ug5MRa/8lfGSFoDDiymBcIsZ8NMor4WUh2LB4Nu/ults6sgR9nGntc61pxoDSSLcE23WeBGlGZElFV3NS90SRTE6CR6MhlyPRsmyA+YcPaQH7i+mfNooifD2slt1QEKTDwzZlBrH7zBRIzbeu9pYuPQIq67P/7TNS31DQI7MjmU6Ma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ACUGMSCCM01</Company>
  <Pages>2</Pages>
  <Words>654</Words>
  <Characters>3733</Characters>
  <Lines>31</Lines>
  <Paragraphs>8</Paragraphs>
  <TotalTime>2</TotalTime>
  <ScaleCrop>false</ScaleCrop>
  <LinksUpToDate>false</LinksUpToDate>
  <CharactersWithSpaces>4379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2023-01-17T18:09:00Z</dcterms:created>
  <dc:creator>soo kuan meng</dc:creator>
  <cp:lastModifiedBy>刘思源</cp:lastModifiedBy>
  <dcterms:modified xsi:type="dcterms:W3CDTF">2023-11-02T17:04:29Z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sookuanmeng@gmail.com@www.mendeley.com</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2052-12.1.0.15712</vt:lpwstr>
  </property>
  <property fmtid="{D5CDD505-2E9C-101B-9397-08002B2CF9AE}" pid="26" name="ICV">
    <vt:lpwstr>344916957E5F406EBFC6E9D4C3D3CFEE_13</vt:lpwstr>
  </property>
</Properties>
</file>