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1148"/>
        <w:gridCol w:w="1141"/>
        <w:gridCol w:w="1134"/>
        <w:gridCol w:w="905"/>
        <w:gridCol w:w="1130"/>
        <w:gridCol w:w="988"/>
        <w:gridCol w:w="1272"/>
        <w:gridCol w:w="1371"/>
        <w:gridCol w:w="1127"/>
      </w:tblGrid>
      <w:tr w:rsidR="00B27E59" w:rsidRPr="00437798" w14:paraId="769A0C59" w14:textId="77777777" w:rsidTr="00C01869">
        <w:trPr>
          <w:trHeight w:val="600"/>
        </w:trPr>
        <w:tc>
          <w:tcPr>
            <w:tcW w:w="12806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E9C8B55" w14:textId="66D1A5F4" w:rsidR="00B27E59" w:rsidRPr="00437798" w:rsidRDefault="00B27E59" w:rsidP="00C01869">
            <w:pPr>
              <w:pStyle w:val="MDPI42tablebody"/>
              <w:autoSpaceDE w:val="0"/>
              <w:autoSpaceDN w:val="0"/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Table S1. </w:t>
            </w:r>
            <w:r w:rsidRPr="00437798">
              <w:rPr>
                <w:rFonts w:ascii="Times New Roman" w:hAnsi="Times New Roman"/>
                <w:sz w:val="24"/>
                <w:szCs w:val="24"/>
              </w:rPr>
              <w:t>Location and main characteristics of the studied lakes. Lat = latitude, Long = longitude, Alt = altitude, Vol = volume, Z</w:t>
            </w:r>
            <w:r w:rsidRPr="0043779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MAX </w:t>
            </w:r>
            <w:r w:rsidRPr="00437798">
              <w:rPr>
                <w:rFonts w:ascii="Times New Roman" w:hAnsi="Times New Roman"/>
                <w:sz w:val="24"/>
                <w:szCs w:val="24"/>
              </w:rPr>
              <w:t>= maximum depth, Z</w:t>
            </w:r>
            <w:r w:rsidRPr="00437798">
              <w:rPr>
                <w:rFonts w:ascii="Times New Roman" w:hAnsi="Times New Roman"/>
                <w:sz w:val="24"/>
                <w:szCs w:val="24"/>
                <w:vertAlign w:val="subscript"/>
              </w:rPr>
              <w:t>M</w:t>
            </w:r>
            <w:r w:rsidRPr="00437798">
              <w:rPr>
                <w:rFonts w:ascii="Times New Roman" w:hAnsi="Times New Roman"/>
                <w:sz w:val="24"/>
                <w:szCs w:val="24"/>
              </w:rPr>
              <w:t xml:space="preserve"> = mean depth. </w:t>
            </w:r>
          </w:p>
        </w:tc>
      </w:tr>
      <w:tr w:rsidR="00B27E59" w:rsidRPr="00437798" w14:paraId="5A3E1C8A" w14:textId="77777777" w:rsidTr="00C01869">
        <w:trPr>
          <w:trHeight w:val="600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8B5AF" w14:textId="77777777" w:rsidR="00B27E59" w:rsidRPr="00437798" w:rsidRDefault="00B27E59" w:rsidP="00C01869">
            <w:pPr>
              <w:pStyle w:val="NormalWeb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lang w:val="en-US"/>
              </w:rPr>
            </w:pPr>
            <w:r w:rsidRPr="00437798">
              <w:rPr>
                <w:b/>
                <w:bCs/>
                <w:lang w:val="en-US"/>
              </w:rPr>
              <w:t>Lake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EBE16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Lat.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F1EB7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Long.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A52AE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Alt.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62D551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Vol.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E8B39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Surface area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FDADC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  <w:r w:rsidRPr="0043779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MAX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BD288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  <w:r w:rsidRPr="0043779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MEAN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18967C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Residence</w:t>
            </w:r>
          </w:p>
          <w:p w14:paraId="7851B5CF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B8D130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Urban area</w:t>
            </w:r>
          </w:p>
        </w:tc>
      </w:tr>
      <w:tr w:rsidR="00B27E59" w:rsidRPr="00437798" w14:paraId="69D0A12D" w14:textId="77777777" w:rsidTr="00C01869">
        <w:trPr>
          <w:trHeight w:val="402"/>
        </w:trPr>
        <w:tc>
          <w:tcPr>
            <w:tcW w:w="25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D9CEF3" w14:textId="77777777" w:rsidR="00B27E59" w:rsidRPr="00437798" w:rsidRDefault="00B27E59" w:rsidP="00C01869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4FA93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(N)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D9905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(W)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941076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(m a.s.l.)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848D3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(hm</w:t>
            </w:r>
            <w:r w:rsidRPr="0043779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1E84D7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(ha)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B232B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(m)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0F426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(m)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3333E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(y)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D19868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(km</w:t>
            </w:r>
            <w:r w:rsidRPr="0043779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43779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27E59" w:rsidRPr="00437798" w14:paraId="65982358" w14:textId="77777777" w:rsidTr="00C01869">
        <w:trPr>
          <w:trHeight w:val="507"/>
        </w:trPr>
        <w:tc>
          <w:tcPr>
            <w:tcW w:w="259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41B8F" w14:textId="77777777" w:rsidR="00B27E59" w:rsidRPr="00437798" w:rsidRDefault="00B27E59" w:rsidP="00C01869">
            <w:pPr>
              <w:pStyle w:val="NormalWeb"/>
              <w:autoSpaceDE w:val="0"/>
              <w:autoSpaceDN w:val="0"/>
              <w:adjustRightInd w:val="0"/>
              <w:snapToGrid w:val="0"/>
              <w:jc w:val="center"/>
              <w:rPr>
                <w:lang w:val="en-US"/>
              </w:rPr>
            </w:pPr>
            <w:r w:rsidRPr="00437798">
              <w:rPr>
                <w:lang w:val="en-US"/>
              </w:rPr>
              <w:t>Conceja (LC)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1F91F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38.9211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EC844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2.8097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5C6C5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576D41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7097D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03E70F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424F5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CAA43F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0BC52D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0.0004</w:t>
            </w:r>
          </w:p>
        </w:tc>
      </w:tr>
      <w:tr w:rsidR="00B27E59" w:rsidRPr="00437798" w14:paraId="39CC1055" w14:textId="77777777" w:rsidTr="00C01869">
        <w:trPr>
          <w:trHeight w:val="512"/>
        </w:trPr>
        <w:tc>
          <w:tcPr>
            <w:tcW w:w="259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0C934" w14:textId="77777777" w:rsidR="00B27E59" w:rsidRPr="00437798" w:rsidRDefault="00B27E59" w:rsidP="00C01869">
            <w:pPr>
              <w:pStyle w:val="NormalWeb"/>
              <w:autoSpaceDE w:val="0"/>
              <w:autoSpaceDN w:val="0"/>
              <w:adjustRightInd w:val="0"/>
              <w:snapToGrid w:val="0"/>
              <w:jc w:val="center"/>
              <w:rPr>
                <w:lang w:val="en-US"/>
              </w:rPr>
            </w:pPr>
            <w:r w:rsidRPr="00437798">
              <w:rPr>
                <w:lang w:val="en-US"/>
              </w:rPr>
              <w:t>Colgada (CG)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38864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38.9606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41628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2.8922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2CE5A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33A06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113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5BE3D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FFDA2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1F0AA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1371" w:type="dxa"/>
            <w:shd w:val="clear" w:color="auto" w:fill="FFFFFF"/>
            <w:vAlign w:val="center"/>
          </w:tcPr>
          <w:p w14:paraId="48AA882B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18.4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5136AE5D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1.98</w:t>
            </w:r>
          </w:p>
        </w:tc>
      </w:tr>
      <w:tr w:rsidR="00B27E59" w:rsidRPr="00437798" w14:paraId="689D7E21" w14:textId="77777777" w:rsidTr="00C01869">
        <w:trPr>
          <w:trHeight w:val="491"/>
        </w:trPr>
        <w:tc>
          <w:tcPr>
            <w:tcW w:w="259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9B71F5" w14:textId="77777777" w:rsidR="00B27E59" w:rsidRPr="00437798" w:rsidRDefault="00B27E59" w:rsidP="00C01869">
            <w:pPr>
              <w:pStyle w:val="NormalWeb"/>
              <w:autoSpaceDE w:val="0"/>
              <w:autoSpaceDN w:val="0"/>
              <w:adjustRightInd w:val="0"/>
              <w:snapToGrid w:val="0"/>
              <w:jc w:val="center"/>
              <w:rPr>
                <w:lang w:val="en-US"/>
              </w:rPr>
            </w:pPr>
            <w:r w:rsidRPr="00437798">
              <w:rPr>
                <w:lang w:val="en-US"/>
              </w:rPr>
              <w:t>Cueva Morenilla (CM)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6F9F1E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38.9841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816F1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2.9158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4FB9B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56445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46164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90741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D81EDB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249406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13.6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4F6334" w14:textId="77777777" w:rsidR="00B27E59" w:rsidRPr="00437798" w:rsidRDefault="00B27E59" w:rsidP="00C01869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98">
              <w:rPr>
                <w:rFonts w:ascii="Times New Roman" w:hAnsi="Times New Roman"/>
                <w:sz w:val="24"/>
                <w:szCs w:val="24"/>
              </w:rPr>
              <w:t>2.37</w:t>
            </w:r>
          </w:p>
        </w:tc>
      </w:tr>
    </w:tbl>
    <w:p w14:paraId="2BFE6BBE" w14:textId="0A84DA29" w:rsidR="00B27E59" w:rsidRPr="00437798" w:rsidRDefault="00B27E59" w:rsidP="007211D1">
      <w:pPr>
        <w:spacing w:line="360" w:lineRule="auto"/>
        <w:jc w:val="both"/>
        <w:rPr>
          <w:b/>
          <w:bCs/>
        </w:rPr>
      </w:pPr>
    </w:p>
    <w:p w14:paraId="25B20E58" w14:textId="77777777" w:rsidR="00B27E59" w:rsidRPr="00437798" w:rsidRDefault="00B27E59">
      <w:pPr>
        <w:rPr>
          <w:b/>
          <w:bCs/>
        </w:rPr>
      </w:pPr>
      <w:r w:rsidRPr="00437798">
        <w:rPr>
          <w:b/>
          <w:bCs/>
        </w:rPr>
        <w:br w:type="page"/>
      </w:r>
    </w:p>
    <w:p w14:paraId="10D9B1C0" w14:textId="77777777" w:rsidR="00B27E59" w:rsidRPr="00437798" w:rsidRDefault="00B27E59" w:rsidP="007211D1">
      <w:pPr>
        <w:spacing w:line="360" w:lineRule="auto"/>
        <w:jc w:val="both"/>
        <w:rPr>
          <w:b/>
          <w:bCs/>
        </w:rPr>
      </w:pPr>
    </w:p>
    <w:p w14:paraId="0928426D" w14:textId="04960F9A" w:rsidR="0030469E" w:rsidRPr="00437798" w:rsidRDefault="0030469E" w:rsidP="007211D1">
      <w:pPr>
        <w:spacing w:line="360" w:lineRule="auto"/>
        <w:jc w:val="both"/>
      </w:pPr>
      <w:r w:rsidRPr="00437798">
        <w:rPr>
          <w:b/>
          <w:bCs/>
        </w:rPr>
        <w:t>Table S</w:t>
      </w:r>
      <w:r w:rsidR="00B27E59" w:rsidRPr="00437798">
        <w:rPr>
          <w:b/>
          <w:bCs/>
        </w:rPr>
        <w:t>2</w:t>
      </w:r>
      <w:r w:rsidRPr="00437798">
        <w:rPr>
          <w:b/>
          <w:bCs/>
        </w:rPr>
        <w:t>.</w:t>
      </w:r>
      <w:r w:rsidRPr="00437798">
        <w:t xml:space="preserve"> </w:t>
      </w:r>
      <w:r w:rsidR="00C01DF6" w:rsidRPr="00437798">
        <w:t>Averages (± standard deviation) of water t</w:t>
      </w:r>
      <w:r w:rsidRPr="00437798">
        <w:t>emperature (ºC), dissolved oxygen (DO), pH, electric conductivity (K</w:t>
      </w:r>
      <w:r w:rsidRPr="00437798">
        <w:rPr>
          <w:vertAlign w:val="subscript"/>
        </w:rPr>
        <w:t>25</w:t>
      </w:r>
      <w:r w:rsidRPr="00437798">
        <w:t>)</w:t>
      </w:r>
      <w:r w:rsidR="00403BF7" w:rsidRPr="00437798">
        <w:t>, and euphotic zone</w:t>
      </w:r>
      <w:r w:rsidR="00C01DF6" w:rsidRPr="00437798">
        <w:t xml:space="preserve"> length</w:t>
      </w:r>
      <w:r w:rsidR="00403BF7" w:rsidRPr="00437798">
        <w:t xml:space="preserve"> (Z</w:t>
      </w:r>
      <w:r w:rsidR="00403BF7" w:rsidRPr="00437798">
        <w:rPr>
          <w:vertAlign w:val="subscript"/>
        </w:rPr>
        <w:t>EU</w:t>
      </w:r>
      <w:r w:rsidR="00403BF7" w:rsidRPr="00437798">
        <w:t>)</w:t>
      </w:r>
      <w:r w:rsidRPr="00437798">
        <w:t xml:space="preserve"> in </w:t>
      </w:r>
      <w:r w:rsidR="003952D0" w:rsidRPr="00437798">
        <w:t>Conceja Lake (LC), Colgada Lake (CG), and Cueva Morenilla Lake (CM)</w:t>
      </w:r>
      <w:r w:rsidRPr="00437798">
        <w:t xml:space="preserve"> during summer and winter.</w:t>
      </w:r>
      <w:r w:rsidR="007211D1" w:rsidRPr="00437798">
        <w:t xml:space="preserve"> Based on KW results, season (capital letters) and lakes (lowercase letters) were separated using the Dunn pairwise comparison test, </w:t>
      </w:r>
      <w:r w:rsidR="007211D1" w:rsidRPr="00437798">
        <w:rPr>
          <w:rFonts w:ascii="Georgia" w:hAnsi="Georgia"/>
          <w:color w:val="282828"/>
          <w:sz w:val="21"/>
          <w:szCs w:val="21"/>
          <w:shd w:val="clear" w:color="auto" w:fill="FFFFFF"/>
        </w:rPr>
        <w:t xml:space="preserve">similar letters are not different at </w:t>
      </w:r>
      <w:r w:rsidR="007211D1" w:rsidRPr="00437798">
        <w:rPr>
          <w:rFonts w:ascii="Cambria" w:hAnsi="Cambria" w:cs="Cambria"/>
          <w:color w:val="282828"/>
          <w:sz w:val="21"/>
          <w:szCs w:val="21"/>
          <w:shd w:val="clear" w:color="auto" w:fill="FFFFFF"/>
        </w:rPr>
        <w:t>α</w:t>
      </w:r>
      <w:r w:rsidR="007211D1" w:rsidRPr="00437798">
        <w:rPr>
          <w:rFonts w:ascii="Georgia" w:hAnsi="Georgia"/>
          <w:color w:val="282828"/>
          <w:sz w:val="21"/>
          <w:szCs w:val="21"/>
          <w:shd w:val="clear" w:color="auto" w:fill="FFFFFF"/>
        </w:rPr>
        <w:t>=0.05. [Sig. Diff: significant differences].</w:t>
      </w:r>
    </w:p>
    <w:p w14:paraId="6888F44F" w14:textId="77777777" w:rsidR="00F12994" w:rsidRPr="00437798" w:rsidRDefault="00F12994" w:rsidP="004F0826">
      <w:pPr>
        <w:rPr>
          <w:b/>
          <w:bCs/>
        </w:rPr>
      </w:pPr>
    </w:p>
    <w:tbl>
      <w:tblPr>
        <w:tblW w:w="130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976"/>
        <w:gridCol w:w="1107"/>
        <w:gridCol w:w="1872"/>
        <w:gridCol w:w="1873"/>
        <w:gridCol w:w="1873"/>
        <w:gridCol w:w="1873"/>
        <w:gridCol w:w="1873"/>
      </w:tblGrid>
      <w:tr w:rsidR="00BD607E" w:rsidRPr="00437798" w14:paraId="19EFEE07" w14:textId="77777777" w:rsidTr="00CC6F9E">
        <w:trPr>
          <w:trHeight w:val="326"/>
        </w:trPr>
        <w:tc>
          <w:tcPr>
            <w:tcW w:w="158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7B0D" w14:textId="77777777" w:rsidR="00BD607E" w:rsidRPr="00437798" w:rsidRDefault="00BD607E" w:rsidP="00EF60EE">
            <w:pPr>
              <w:jc w:val="center"/>
              <w:rPr>
                <w:b/>
                <w:bCs/>
                <w:color w:val="000000"/>
              </w:rPr>
            </w:pPr>
            <w:r w:rsidRPr="00437798">
              <w:rPr>
                <w:b/>
                <w:bCs/>
                <w:color w:val="000000"/>
              </w:rPr>
              <w:t>Season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8154" w14:textId="77777777" w:rsidR="00BD607E" w:rsidRPr="00437798" w:rsidRDefault="00BD607E" w:rsidP="00EF60EE">
            <w:pPr>
              <w:jc w:val="center"/>
              <w:rPr>
                <w:b/>
                <w:bCs/>
                <w:color w:val="000000"/>
              </w:rPr>
            </w:pPr>
            <w:r w:rsidRPr="00437798">
              <w:rPr>
                <w:b/>
                <w:bCs/>
                <w:color w:val="000000"/>
              </w:rPr>
              <w:t>Lake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6B07" w14:textId="77777777" w:rsidR="00BD607E" w:rsidRPr="00437798" w:rsidRDefault="00BD607E" w:rsidP="00EF60EE">
            <w:pPr>
              <w:jc w:val="center"/>
              <w:rPr>
                <w:b/>
                <w:bCs/>
                <w:color w:val="000000"/>
              </w:rPr>
            </w:pPr>
            <w:r w:rsidRPr="00437798">
              <w:rPr>
                <w:b/>
                <w:bCs/>
                <w:color w:val="000000"/>
              </w:rPr>
              <w:t>n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BA85" w14:textId="77777777" w:rsidR="00BD607E" w:rsidRPr="00437798" w:rsidRDefault="00BD607E" w:rsidP="00EF60EE">
            <w:pPr>
              <w:jc w:val="center"/>
              <w:rPr>
                <w:b/>
                <w:bCs/>
                <w:color w:val="000000"/>
              </w:rPr>
            </w:pPr>
            <w:r w:rsidRPr="00437798">
              <w:rPr>
                <w:b/>
                <w:bCs/>
                <w:color w:val="000000"/>
              </w:rPr>
              <w:t>T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391E" w14:textId="77777777" w:rsidR="00BD607E" w:rsidRPr="00437798" w:rsidRDefault="00BD607E" w:rsidP="00EF60EE">
            <w:pPr>
              <w:jc w:val="center"/>
              <w:rPr>
                <w:b/>
                <w:bCs/>
                <w:color w:val="000000"/>
              </w:rPr>
            </w:pPr>
            <w:r w:rsidRPr="00437798">
              <w:rPr>
                <w:b/>
                <w:bCs/>
                <w:color w:val="000000"/>
              </w:rPr>
              <w:t>DO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186C" w14:textId="77777777" w:rsidR="00BD607E" w:rsidRPr="00437798" w:rsidRDefault="00BD607E" w:rsidP="00EF60EE">
            <w:pPr>
              <w:jc w:val="center"/>
              <w:rPr>
                <w:b/>
                <w:bCs/>
                <w:color w:val="000000"/>
              </w:rPr>
            </w:pPr>
            <w:r w:rsidRPr="00437798">
              <w:rPr>
                <w:b/>
                <w:bCs/>
                <w:color w:val="000000"/>
              </w:rPr>
              <w:t>pH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1497" w14:textId="77777777" w:rsidR="00BD607E" w:rsidRPr="00437798" w:rsidRDefault="00BD607E" w:rsidP="00EF60EE">
            <w:pPr>
              <w:jc w:val="center"/>
              <w:rPr>
                <w:b/>
                <w:bCs/>
                <w:color w:val="000000"/>
              </w:rPr>
            </w:pPr>
            <w:r w:rsidRPr="00437798">
              <w:rPr>
                <w:b/>
                <w:bCs/>
                <w:color w:val="000000"/>
              </w:rPr>
              <w:t>K</w:t>
            </w:r>
            <w:r w:rsidRPr="00437798">
              <w:rPr>
                <w:b/>
                <w:bCs/>
                <w:color w:val="000000"/>
                <w:vertAlign w:val="subscript"/>
              </w:rPr>
              <w:t>25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3FA9" w14:textId="77777777" w:rsidR="00BD607E" w:rsidRPr="00437798" w:rsidRDefault="00BD607E" w:rsidP="00EF60EE">
            <w:pPr>
              <w:jc w:val="center"/>
              <w:rPr>
                <w:b/>
                <w:bCs/>
                <w:color w:val="000000"/>
              </w:rPr>
            </w:pPr>
            <w:r w:rsidRPr="00437798">
              <w:rPr>
                <w:b/>
                <w:bCs/>
                <w:color w:val="000000"/>
              </w:rPr>
              <w:t>Z</w:t>
            </w:r>
            <w:r w:rsidRPr="00437798">
              <w:rPr>
                <w:b/>
                <w:bCs/>
                <w:color w:val="000000"/>
                <w:vertAlign w:val="subscript"/>
              </w:rPr>
              <w:t>EU</w:t>
            </w:r>
          </w:p>
        </w:tc>
      </w:tr>
      <w:tr w:rsidR="00BD607E" w:rsidRPr="00437798" w14:paraId="4362DF71" w14:textId="77777777" w:rsidTr="00CC6F9E">
        <w:trPr>
          <w:trHeight w:val="326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8B4455" w14:textId="77777777" w:rsidR="00BD607E" w:rsidRPr="00437798" w:rsidRDefault="00BD607E" w:rsidP="00EF60EE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936CA" w14:textId="77777777" w:rsidR="00BD607E" w:rsidRPr="00437798" w:rsidRDefault="00BD607E" w:rsidP="00EF60EE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47A8EA" w14:textId="77777777" w:rsidR="00BD607E" w:rsidRPr="00437798" w:rsidRDefault="00BD607E" w:rsidP="00EF60EE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28086E" w14:textId="77777777" w:rsidR="00BD607E" w:rsidRPr="00437798" w:rsidRDefault="00BD607E" w:rsidP="00EF60EE">
            <w:pPr>
              <w:jc w:val="center"/>
              <w:rPr>
                <w:color w:val="000000"/>
              </w:rPr>
            </w:pPr>
            <w:r w:rsidRPr="00437798">
              <w:rPr>
                <w:b/>
                <w:bCs/>
                <w:color w:val="000000"/>
              </w:rPr>
              <w:t>(ºC)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9D6EA2" w14:textId="77777777" w:rsidR="00BD607E" w:rsidRPr="00437798" w:rsidRDefault="00BD607E" w:rsidP="00CC6F9E">
            <w:pPr>
              <w:ind w:firstLine="81"/>
              <w:jc w:val="center"/>
              <w:rPr>
                <w:color w:val="000000"/>
              </w:rPr>
            </w:pPr>
            <w:r w:rsidRPr="00437798">
              <w:rPr>
                <w:b/>
                <w:bCs/>
                <w:color w:val="000000"/>
              </w:rPr>
              <w:t>(mg L</w:t>
            </w:r>
            <w:r w:rsidRPr="00437798">
              <w:rPr>
                <w:b/>
                <w:bCs/>
                <w:color w:val="000000"/>
                <w:vertAlign w:val="superscript"/>
              </w:rPr>
              <w:t>-1</w:t>
            </w:r>
            <w:r w:rsidRPr="00437798">
              <w:rPr>
                <w:b/>
                <w:bCs/>
                <w:color w:val="000000"/>
              </w:rPr>
              <w:t>)</w:t>
            </w:r>
          </w:p>
        </w:tc>
        <w:tc>
          <w:tcPr>
            <w:tcW w:w="187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857B69" w14:textId="77777777" w:rsidR="00BD607E" w:rsidRPr="00437798" w:rsidRDefault="00BD607E" w:rsidP="00EF60EE">
            <w:pPr>
              <w:jc w:val="center"/>
              <w:rPr>
                <w:color w:val="00000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CBE8B8" w14:textId="77777777" w:rsidR="00BD607E" w:rsidRPr="00437798" w:rsidRDefault="00BD607E" w:rsidP="00EF60EE">
            <w:pPr>
              <w:jc w:val="center"/>
              <w:rPr>
                <w:color w:val="000000"/>
              </w:rPr>
            </w:pPr>
            <w:r w:rsidRPr="00437798">
              <w:rPr>
                <w:b/>
                <w:bCs/>
                <w:color w:val="000000"/>
              </w:rPr>
              <w:t>(µS cm</w:t>
            </w:r>
            <w:r w:rsidRPr="00437798">
              <w:rPr>
                <w:b/>
                <w:bCs/>
                <w:color w:val="000000"/>
                <w:vertAlign w:val="superscript"/>
              </w:rPr>
              <w:t>-1</w:t>
            </w:r>
            <w:r w:rsidRPr="00437798">
              <w:rPr>
                <w:b/>
                <w:bCs/>
                <w:color w:val="000000"/>
              </w:rPr>
              <w:t>)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B880D6" w14:textId="77777777" w:rsidR="00BD607E" w:rsidRPr="00437798" w:rsidRDefault="00BD607E" w:rsidP="00EF60EE">
            <w:pPr>
              <w:jc w:val="center"/>
              <w:rPr>
                <w:color w:val="000000"/>
              </w:rPr>
            </w:pPr>
            <w:r w:rsidRPr="00437798">
              <w:rPr>
                <w:b/>
                <w:bCs/>
                <w:color w:val="000000"/>
              </w:rPr>
              <w:t>(m)</w:t>
            </w:r>
          </w:p>
        </w:tc>
      </w:tr>
      <w:tr w:rsidR="00BD607E" w:rsidRPr="00437798" w14:paraId="52825642" w14:textId="77777777" w:rsidTr="00CC6F9E">
        <w:trPr>
          <w:trHeight w:val="326"/>
        </w:trPr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D063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Summer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33BE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C855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2338" w14:textId="73497257" w:rsidR="00BD607E" w:rsidRPr="00437798" w:rsidRDefault="00BD607E" w:rsidP="000452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21.8 ± 2.3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D579" w14:textId="2CACE92D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10.6 ± 2.6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CA80" w14:textId="26FF791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7.8 ± 0.2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C7F4" w14:textId="447EDCCE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666 ± 5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E475" w14:textId="496D7A2B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27.3 ± 10.2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</w:tr>
      <w:tr w:rsidR="00BD607E" w:rsidRPr="00437798" w14:paraId="10BAC861" w14:textId="77777777" w:rsidTr="00CC6F9E">
        <w:trPr>
          <w:trHeight w:val="326"/>
        </w:trPr>
        <w:tc>
          <w:tcPr>
            <w:tcW w:w="1585" w:type="dxa"/>
            <w:shd w:val="clear" w:color="auto" w:fill="auto"/>
            <w:noWrap/>
            <w:vAlign w:val="center"/>
            <w:hideMark/>
          </w:tcPr>
          <w:p w14:paraId="6D3401BC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F336861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LC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2383E68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2BF0EA5" w14:textId="08FD18DD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20.0 ± 2.3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abc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259BD125" w14:textId="4F40BA7D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12.7 ± 3.5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25D985D9" w14:textId="54D7E24E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7.7 ± 0.1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3BBF02A3" w14:textId="781EAF61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693 ± 70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6C00A2F8" w14:textId="53958173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22.7 ± 6.5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</w:tr>
      <w:tr w:rsidR="00BD607E" w:rsidRPr="00437798" w14:paraId="5C56BFD5" w14:textId="77777777" w:rsidTr="00CC6F9E">
        <w:trPr>
          <w:trHeight w:val="326"/>
        </w:trPr>
        <w:tc>
          <w:tcPr>
            <w:tcW w:w="1585" w:type="dxa"/>
            <w:shd w:val="clear" w:color="auto" w:fill="auto"/>
            <w:noWrap/>
            <w:vAlign w:val="center"/>
            <w:hideMark/>
          </w:tcPr>
          <w:p w14:paraId="68A5EDDA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0A2C260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CG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F07B238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54CE3EA" w14:textId="3DBFACC6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21.9 ± 2.0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7F04F901" w14:textId="68B79075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10.5 ± 0.9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 xml:space="preserve"> ab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1118D21D" w14:textId="7AAE8295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7.5 ± 0.2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681165CA" w14:textId="7752393F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680 ± 28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4DE57D77" w14:textId="382FEC6D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36.3 ± 10.6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</w:tr>
      <w:tr w:rsidR="00BD607E" w:rsidRPr="00437798" w14:paraId="2E17D154" w14:textId="77777777" w:rsidTr="00CC6F9E">
        <w:trPr>
          <w:trHeight w:val="326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2812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FE47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CM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A510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244A" w14:textId="33E2D41B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23.4 ± 0.9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CB09" w14:textId="7248C72C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8.7 ± 0.8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6828" w14:textId="726273BE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8.0 ± 0.03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 xml:space="preserve">bc 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9F12" w14:textId="3EFFD2C9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626 ± 2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3733" w14:textId="6B88A361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22.9 ± 7.5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</w:tr>
      <w:tr w:rsidR="00BD607E" w:rsidRPr="00437798" w14:paraId="5B0DCD46" w14:textId="77777777" w:rsidTr="00CC6F9E">
        <w:trPr>
          <w:trHeight w:val="326"/>
        </w:trPr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4E11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Winter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D81C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A6A0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3D16" w14:textId="28D50C83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10.0 ± 0.7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 xml:space="preserve"> B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4F3A" w14:textId="4D363955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11.8 ± 0.5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F5EE" w14:textId="36FCC9A1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8.2 ± 0.2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A126" w14:textId="2B7510F1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691 ± 46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CBC7" w14:textId="6AC8097C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33.3 ± 7.0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B</w:t>
            </w:r>
          </w:p>
        </w:tc>
      </w:tr>
      <w:tr w:rsidR="00BD607E" w:rsidRPr="00437798" w14:paraId="50B916F9" w14:textId="77777777" w:rsidTr="00CC6F9E">
        <w:trPr>
          <w:trHeight w:val="347"/>
        </w:trPr>
        <w:tc>
          <w:tcPr>
            <w:tcW w:w="1585" w:type="dxa"/>
            <w:shd w:val="clear" w:color="auto" w:fill="auto"/>
            <w:noWrap/>
            <w:vAlign w:val="center"/>
            <w:hideMark/>
          </w:tcPr>
          <w:p w14:paraId="3B88DE0E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CBBA0F2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LC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51A1FEF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647DA42" w14:textId="42598BC9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9.8 ± 0.5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cd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115D87AC" w14:textId="7A2673CD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11.6 ± 0.2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1732D7EB" w14:textId="1A7D22BC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8.1 ± 0.02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4546F5D8" w14:textId="1E6CFAAB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754 ± 3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41EC2EB3" w14:textId="6EB7948F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38.2 ± 5.5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</w:tr>
      <w:tr w:rsidR="00BD607E" w:rsidRPr="00437798" w14:paraId="7B27EB90" w14:textId="77777777" w:rsidTr="00CC6F9E">
        <w:trPr>
          <w:trHeight w:val="326"/>
        </w:trPr>
        <w:tc>
          <w:tcPr>
            <w:tcW w:w="1585" w:type="dxa"/>
            <w:shd w:val="clear" w:color="auto" w:fill="auto"/>
            <w:noWrap/>
            <w:vAlign w:val="center"/>
            <w:hideMark/>
          </w:tcPr>
          <w:p w14:paraId="67B325BF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EBC01AD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CG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D993C43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AA9BE31" w14:textId="51E9977D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10.5 ± 0.8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bcd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01E3308D" w14:textId="651AF9B3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12.2 ± 0.5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7EFCF841" w14:textId="4460DFEB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8.1 ± 0.3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bc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510B43E9" w14:textId="2D1C7F83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665 ± 5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14:paraId="04E572EF" w14:textId="6AB88B8B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35.4 ± 1.9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</w:tr>
      <w:tr w:rsidR="00BD607E" w:rsidRPr="00437798" w14:paraId="7387CA4B" w14:textId="77777777" w:rsidTr="00CC6F9E">
        <w:trPr>
          <w:trHeight w:val="326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F144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A495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CM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AAAA" w14:textId="77777777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20FD" w14:textId="09656949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9.6 ± 0.4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d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662" w14:textId="066A69AD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11.4 ± 0.5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9BE2" w14:textId="1284C4F4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8.3 ± 0.01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7BC" w14:textId="2A7DCFB4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656 ± 7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6CBE" w14:textId="71C9F845" w:rsidR="00BD607E" w:rsidRPr="00437798" w:rsidRDefault="00BD607E" w:rsidP="00045283">
            <w:pPr>
              <w:jc w:val="center"/>
              <w:rPr>
                <w:color w:val="000000"/>
                <w:sz w:val="22"/>
                <w:szCs w:val="22"/>
              </w:rPr>
            </w:pPr>
            <w:r w:rsidRPr="00437798">
              <w:rPr>
                <w:color w:val="000000"/>
                <w:sz w:val="22"/>
                <w:szCs w:val="22"/>
              </w:rPr>
              <w:t>26.2 ± 6.4</w:t>
            </w:r>
            <w:r w:rsidRPr="00437798">
              <w:rPr>
                <w:i/>
                <w:iCs/>
                <w:color w:val="000000"/>
                <w:sz w:val="32"/>
                <w:szCs w:val="32"/>
                <w:vertAlign w:val="superscript"/>
              </w:rPr>
              <w:t>a</w:t>
            </w:r>
          </w:p>
        </w:tc>
      </w:tr>
    </w:tbl>
    <w:p w14:paraId="3B68A61E" w14:textId="77777777" w:rsidR="00F12994" w:rsidRPr="00437798" w:rsidRDefault="00F12994" w:rsidP="004F0826">
      <w:pPr>
        <w:rPr>
          <w:b/>
          <w:bCs/>
        </w:rPr>
      </w:pPr>
    </w:p>
    <w:p w14:paraId="38B9A4F1" w14:textId="77777777" w:rsidR="00F12994" w:rsidRPr="00437798" w:rsidRDefault="00F12994" w:rsidP="004F0826">
      <w:pPr>
        <w:rPr>
          <w:b/>
          <w:bCs/>
        </w:rPr>
      </w:pPr>
    </w:p>
    <w:p w14:paraId="44F97570" w14:textId="77777777" w:rsidR="00F12994" w:rsidRPr="00437798" w:rsidRDefault="00F12994" w:rsidP="004F0826">
      <w:pPr>
        <w:rPr>
          <w:b/>
          <w:bCs/>
        </w:rPr>
      </w:pPr>
    </w:p>
    <w:p w14:paraId="311B12E5" w14:textId="77777777" w:rsidR="00F12994" w:rsidRPr="00437798" w:rsidRDefault="00F12994" w:rsidP="004F0826">
      <w:pPr>
        <w:rPr>
          <w:b/>
          <w:bCs/>
        </w:rPr>
      </w:pPr>
    </w:p>
    <w:p w14:paraId="76B0A06C" w14:textId="77777777" w:rsidR="00F12994" w:rsidRPr="00437798" w:rsidRDefault="00F12994" w:rsidP="004F0826">
      <w:pPr>
        <w:rPr>
          <w:b/>
          <w:bCs/>
        </w:rPr>
      </w:pPr>
    </w:p>
    <w:p w14:paraId="71074924" w14:textId="77777777" w:rsidR="00F12994" w:rsidRPr="00437798" w:rsidRDefault="00F12994" w:rsidP="004F0826">
      <w:pPr>
        <w:rPr>
          <w:b/>
          <w:bCs/>
        </w:rPr>
      </w:pPr>
    </w:p>
    <w:p w14:paraId="3F8DD84C" w14:textId="77777777" w:rsidR="00F12994" w:rsidRPr="00437798" w:rsidRDefault="00F12994" w:rsidP="004F0826">
      <w:pPr>
        <w:rPr>
          <w:b/>
          <w:bCs/>
        </w:rPr>
      </w:pPr>
    </w:p>
    <w:p w14:paraId="3FAFBCF1" w14:textId="77777777" w:rsidR="00F12994" w:rsidRPr="00437798" w:rsidRDefault="00F12994" w:rsidP="004F0826">
      <w:pPr>
        <w:rPr>
          <w:b/>
          <w:bCs/>
        </w:rPr>
      </w:pPr>
    </w:p>
    <w:p w14:paraId="53F04184" w14:textId="77777777" w:rsidR="00F12994" w:rsidRPr="00437798" w:rsidRDefault="00F12994" w:rsidP="004F0826">
      <w:pPr>
        <w:rPr>
          <w:b/>
          <w:bCs/>
        </w:rPr>
      </w:pPr>
    </w:p>
    <w:p w14:paraId="61BE334E" w14:textId="77777777" w:rsidR="00D133EB" w:rsidRPr="00437798" w:rsidRDefault="00D133EB" w:rsidP="009D4317"/>
    <w:sectPr w:rsidR="00D133EB" w:rsidRPr="00437798" w:rsidSect="002339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26"/>
    <w:rsid w:val="00045283"/>
    <w:rsid w:val="00104CD2"/>
    <w:rsid w:val="001318DD"/>
    <w:rsid w:val="00187F6B"/>
    <w:rsid w:val="001A4EAA"/>
    <w:rsid w:val="00213E23"/>
    <w:rsid w:val="002339EA"/>
    <w:rsid w:val="00276C8E"/>
    <w:rsid w:val="002F2CF2"/>
    <w:rsid w:val="0030469E"/>
    <w:rsid w:val="00365060"/>
    <w:rsid w:val="003952D0"/>
    <w:rsid w:val="003E0B56"/>
    <w:rsid w:val="00403BF7"/>
    <w:rsid w:val="00437798"/>
    <w:rsid w:val="004E25D3"/>
    <w:rsid w:val="004F0826"/>
    <w:rsid w:val="005244E9"/>
    <w:rsid w:val="00554988"/>
    <w:rsid w:val="006211FF"/>
    <w:rsid w:val="007211D1"/>
    <w:rsid w:val="007A2A4E"/>
    <w:rsid w:val="007D6E10"/>
    <w:rsid w:val="007F73C7"/>
    <w:rsid w:val="008E01EF"/>
    <w:rsid w:val="008F4FFD"/>
    <w:rsid w:val="0092099B"/>
    <w:rsid w:val="0094774E"/>
    <w:rsid w:val="00955E0C"/>
    <w:rsid w:val="00987C98"/>
    <w:rsid w:val="009D4317"/>
    <w:rsid w:val="00A01663"/>
    <w:rsid w:val="00AC19AA"/>
    <w:rsid w:val="00B0383E"/>
    <w:rsid w:val="00B27E59"/>
    <w:rsid w:val="00B477B9"/>
    <w:rsid w:val="00B70971"/>
    <w:rsid w:val="00B916FA"/>
    <w:rsid w:val="00BD3FE5"/>
    <w:rsid w:val="00BD607E"/>
    <w:rsid w:val="00BF222B"/>
    <w:rsid w:val="00C01DF6"/>
    <w:rsid w:val="00C33E8B"/>
    <w:rsid w:val="00CC6F9E"/>
    <w:rsid w:val="00CE31D8"/>
    <w:rsid w:val="00D133EB"/>
    <w:rsid w:val="00D52DBB"/>
    <w:rsid w:val="00DF21D4"/>
    <w:rsid w:val="00E367D9"/>
    <w:rsid w:val="00E71076"/>
    <w:rsid w:val="00EA525E"/>
    <w:rsid w:val="00EA63A6"/>
    <w:rsid w:val="00EF60EE"/>
    <w:rsid w:val="00F12994"/>
    <w:rsid w:val="00F4143D"/>
    <w:rsid w:val="00FA03B2"/>
    <w:rsid w:val="00FF384A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CE41A"/>
  <w15:chartTrackingRefBased/>
  <w15:docId w15:val="{A00F6F17-9867-7C47-9D9A-724C57C7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826"/>
    <w:rPr>
      <w:rFonts w:ascii="Times New Roman" w:eastAsia="Times New Roman" w:hAnsi="Times New Roman" w:cs="Times New Roman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C01DF6"/>
    <w:rPr>
      <w:rFonts w:ascii="Times New Roman" w:eastAsia="Times New Roman" w:hAnsi="Times New Roman" w:cs="Times New Roman"/>
      <w:lang w:val="es-419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A2A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2A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2A4E"/>
    <w:rPr>
      <w:rFonts w:ascii="Times New Roman" w:eastAsia="Times New Roman" w:hAnsi="Times New Roman" w:cs="Times New Roman"/>
      <w:sz w:val="20"/>
      <w:szCs w:val="20"/>
      <w:lang w:val="es-419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2A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2A4E"/>
    <w:rPr>
      <w:rFonts w:ascii="Times New Roman" w:eastAsia="Times New Roman" w:hAnsi="Times New Roman" w:cs="Times New Roman"/>
      <w:b/>
      <w:bCs/>
      <w:sz w:val="20"/>
      <w:szCs w:val="20"/>
      <w:lang w:val="es-419" w:eastAsia="es-MX"/>
    </w:rPr>
  </w:style>
  <w:style w:type="paragraph" w:styleId="NormalWeb">
    <w:name w:val="Normal (Web)"/>
    <w:basedOn w:val="Normal"/>
    <w:uiPriority w:val="99"/>
    <w:unhideWhenUsed/>
    <w:rsid w:val="00B27E59"/>
    <w:pPr>
      <w:spacing w:before="100" w:beforeAutospacing="1" w:after="100" w:afterAutospacing="1"/>
    </w:pPr>
    <w:rPr>
      <w:lang w:val="es-MX"/>
    </w:rPr>
  </w:style>
  <w:style w:type="paragraph" w:customStyle="1" w:styleId="MDPI42tablebody">
    <w:name w:val="MDPI_4.2_table_body"/>
    <w:qFormat/>
    <w:rsid w:val="00B27E5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2024-02-16T19:37:00Z</dcterms:created>
  <dcterms:modified xsi:type="dcterms:W3CDTF">2024-02-17T00:11:00Z</dcterms:modified>
</cp:coreProperties>
</file>