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rPr>
          <w:rFonts w:ascii="Arial" w:hAnsi="Arial"/>
          <w:sz w:val="22"/>
          <w:szCs w:val="22"/>
        </w:rPr>
      </w:pPr>
      <w:r>
        <w:rPr>
          <w:rFonts w:eastAsia="Times New Roman" w:cs="Times New Roman"/>
          <w:b/>
          <w:sz w:val="22"/>
          <w:szCs w:val="22"/>
        </w:rPr>
        <w:t xml:space="preserve">Supplemental Table 4. </w:t>
      </w:r>
      <w:r>
        <w:rPr>
          <w:rFonts w:eastAsia="Times New Roman" w:cs="Times New Roman"/>
          <w:b w:val="false"/>
          <w:bCs w:val="false"/>
          <w:sz w:val="22"/>
          <w:szCs w:val="22"/>
        </w:rPr>
        <w:t>Faith’s Phylogenetic Diversity (PD) comparisons among samples from distinct compartments (seawater, mucus and tissue), month (April, July, September and December) and zone (in versus out). PD comparisons for overall, tissue, and seawater compartments were made using a Kruskal-Wallis Chi</w:t>
      </w:r>
      <w:r>
        <w:rPr>
          <w:rFonts w:eastAsia="Times New Roman" w:cs="Times New Roman"/>
          <w:b w:val="false"/>
          <w:bCs w:val="false"/>
          <w:position w:val="7"/>
          <w:sz w:val="18"/>
          <w:sz w:val="22"/>
          <w:szCs w:val="22"/>
        </w:rPr>
        <w:t>2</w:t>
      </w:r>
      <w:r>
        <w:rPr>
          <w:rFonts w:eastAsia="Times New Roman" w:cs="Times New Roman"/>
          <w:b w:val="false"/>
          <w:bCs w:val="false"/>
          <w:sz w:val="22"/>
          <w:szCs w:val="22"/>
        </w:rPr>
        <w:t xml:space="preserve"> test. Because mucus diversity had a normal distribution, an analysis of variance (ANOVA) was used. Significant results (</w:t>
      </w:r>
      <w:r>
        <w:rPr>
          <w:rFonts w:eastAsia="Times New Roman" w:cs="Times New Roman"/>
          <w:b w:val="false"/>
          <w:bCs w:val="false"/>
          <w:i/>
          <w:sz w:val="22"/>
          <w:szCs w:val="22"/>
        </w:rPr>
        <w:t>p</w:t>
      </w:r>
      <w:r>
        <w:rPr>
          <w:rFonts w:eastAsia="Times New Roman" w:cs="Times New Roman"/>
          <w:b w:val="false"/>
          <w:bCs w:val="false"/>
          <w:sz w:val="22"/>
          <w:szCs w:val="22"/>
        </w:rPr>
        <w:t>(perm) &lt;0.05) are highlighted in bold.</w:t>
      </w:r>
    </w:p>
    <w:p>
      <w:pPr>
        <w:pStyle w:val="LO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rPr>
          <w:rFonts w:ascii="Arial" w:hAnsi="Arial"/>
          <w:b/>
          <w:b/>
          <w:bCs/>
          <w:sz w:val="22"/>
          <w:szCs w:val="22"/>
        </w:rPr>
      </w:pPr>
      <w:r>
        <w:rPr>
          <w:rFonts w:eastAsia="Times New Roman" w:cs="Times New Roman"/>
          <w:b/>
          <w:bCs/>
          <w:sz w:val="22"/>
          <w:szCs w:val="22"/>
        </w:rPr>
        <w:t>Overall</w:t>
      </w:r>
    </w:p>
    <w:tbl>
      <w:tblPr>
        <w:tblStyle w:val="Table10"/>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Compartment</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2</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15.000</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0.922</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0.374</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27.109</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31.658</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Compartment:Zone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5</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16.057</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0.002</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Compartment:Month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61.849</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 xml:space="preserve">Compartment:Zone:Month   </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23</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72.317</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bl>
    <w:p>
      <w:pPr>
        <w:pStyle w:val="LOnormal"/>
        <w:spacing w:lineRule="auto" w:line="240"/>
        <w:rPr>
          <w:rFonts w:ascii="Arial" w:hAnsi="Arial"/>
          <w:sz w:val="22"/>
          <w:szCs w:val="22"/>
        </w:rPr>
      </w:pPr>
      <w:r>
        <w:rPr>
          <w:sz w:val="22"/>
          <w:szCs w:val="22"/>
        </w:rPr>
      </w:r>
    </w:p>
    <w:p>
      <w:pPr>
        <w:pStyle w:val="LOnormal"/>
        <w:spacing w:lineRule="auto" w:line="240"/>
        <w:rPr>
          <w:rFonts w:ascii="Arial" w:hAnsi="Arial"/>
          <w:b/>
          <w:b/>
          <w:bCs/>
          <w:sz w:val="22"/>
          <w:szCs w:val="22"/>
        </w:rPr>
      </w:pPr>
      <w:r>
        <w:rPr>
          <w:rFonts w:eastAsia="Times New Roman" w:cs="Times New Roman"/>
          <w:b/>
          <w:bCs/>
          <w:sz w:val="22"/>
          <w:szCs w:val="22"/>
        </w:rPr>
        <w:t>Tissue</w:t>
      </w:r>
    </w:p>
    <w:tbl>
      <w:tblPr>
        <w:tblStyle w:val="Table11"/>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0.164</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0.685</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11.218</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0.011</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16.622</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0.020</w:t>
            </w:r>
          </w:p>
        </w:tc>
      </w:tr>
    </w:tbl>
    <w:p>
      <w:pPr>
        <w:pStyle w:val="LOnormal"/>
        <w:spacing w:lineRule="auto" w:line="240"/>
        <w:rPr>
          <w:rFonts w:ascii="Arial" w:hAnsi="Arial"/>
          <w:sz w:val="22"/>
          <w:szCs w:val="22"/>
        </w:rPr>
      </w:pPr>
      <w:r>
        <w:rPr>
          <w:sz w:val="22"/>
          <w:szCs w:val="22"/>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
    </w:p>
    <w:p>
      <w:pPr>
        <w:pStyle w:val="LOnormal"/>
        <w:spacing w:lineRule="auto" w:line="240"/>
        <w:rPr>
          <w:rFonts w:ascii="Arial" w:hAnsi="Arial"/>
          <w:b/>
          <w:b/>
          <w:bCs/>
          <w:sz w:val="22"/>
          <w:szCs w:val="22"/>
        </w:rPr>
      </w:pPr>
      <w:r>
        <w:rPr>
          <w:rFonts w:eastAsia="Times New Roman" w:cs="Times New Roman"/>
          <w:b/>
          <w:bCs/>
          <w:sz w:val="22"/>
          <w:szCs w:val="22"/>
        </w:rPr>
        <w:t>Mucus</w:t>
      </w:r>
    </w:p>
    <w:tbl>
      <w:tblPr>
        <w:tblStyle w:val="Table12"/>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F value</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0.781</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0.380</w:t>
            </w:r>
          </w:p>
        </w:tc>
      </w:tr>
      <w:tr>
        <w:trPr>
          <w:trHeight w:val="162"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2.350</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0.130</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8.105</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b/>
                <w:sz w:val="22"/>
                <w:szCs w:val="22"/>
              </w:rPr>
              <w:t>&lt; 0.001</w:t>
            </w:r>
          </w:p>
        </w:tc>
      </w:tr>
    </w:tbl>
    <w:p>
      <w:pPr>
        <w:pStyle w:val="LOnormal"/>
        <w:spacing w:lineRule="auto" w:line="240"/>
        <w:rPr>
          <w:rFonts w:ascii="Arial" w:hAnsi="Arial"/>
          <w:sz w:val="22"/>
          <w:szCs w:val="22"/>
        </w:rPr>
      </w:pPr>
      <w:r>
        <w:rPr>
          <w:sz w:val="22"/>
          <w:szCs w:val="22"/>
        </w:rPr>
      </w:r>
    </w:p>
    <w:p>
      <w:pPr>
        <w:pStyle w:val="LOnormal"/>
        <w:spacing w:lineRule="auto" w:line="240"/>
        <w:rPr>
          <w:rFonts w:ascii="Arial" w:hAnsi="Arial"/>
          <w:b/>
          <w:b/>
          <w:bCs/>
          <w:sz w:val="22"/>
          <w:szCs w:val="22"/>
        </w:rPr>
      </w:pPr>
      <w:r>
        <w:rPr>
          <w:rFonts w:eastAsia="Times New Roman" w:cs="Times New Roman"/>
          <w:b/>
          <w:bCs/>
          <w:sz w:val="22"/>
          <w:szCs w:val="22"/>
        </w:rPr>
        <w:t>Seawater</w:t>
      </w:r>
    </w:p>
    <w:tbl>
      <w:tblPr>
        <w:tblStyle w:val="Table13"/>
        <w:tblW w:w="9124" w:type="dxa"/>
        <w:jc w:val="center"/>
        <w:tblInd w:w="0" w:type="dxa"/>
        <w:tblCellMar>
          <w:top w:w="55" w:type="dxa"/>
          <w:left w:w="108" w:type="dxa"/>
          <w:bottom w:w="55" w:type="dxa"/>
          <w:right w:w="108" w:type="dxa"/>
        </w:tblCellMar>
        <w:tblLook w:val="04a0"/>
      </w:tblPr>
      <w:tblGrid>
        <w:gridCol w:w="4455"/>
        <w:gridCol w:w="1461"/>
        <w:gridCol w:w="1614"/>
        <w:gridCol w:w="1593"/>
      </w:tblGrid>
      <w:tr>
        <w:trPr>
          <w:trHeight w:val="454" w:hRule="atLeast"/>
        </w:trPr>
        <w:tc>
          <w:tcPr>
            <w:tcW w:w="4455" w:type="dxa"/>
            <w:tcBorders>
              <w:top w:val="single" w:sz="4" w:space="0" w:color="000000"/>
              <w:bottom w:val="single" w:sz="4" w:space="0" w:color="000000"/>
            </w:tcBorders>
            <w:shd w:fill="D0CECE" w:val="clear"/>
            <w:vAlign w:val="center"/>
          </w:tcPr>
          <w:p>
            <w:pPr>
              <w:pStyle w:val="LOnormal"/>
              <w:spacing w:lineRule="auto" w:line="480"/>
              <w:rPr>
                <w:rFonts w:ascii="Arial" w:hAnsi="Arial"/>
                <w:sz w:val="22"/>
                <w:szCs w:val="22"/>
              </w:rPr>
            </w:pPr>
            <w:r>
              <w:rPr>
                <w:rFonts w:eastAsia="Times New Roman" w:cs="Times New Roman"/>
                <w:sz w:val="22"/>
                <w:szCs w:val="22"/>
              </w:rPr>
              <w:t>Source of Variation</w:t>
            </w:r>
          </w:p>
          <w:p>
            <w:pPr>
              <w:pStyle w:val="LOnormal"/>
              <w:spacing w:lineRule="auto" w:line="480"/>
              <w:rPr>
                <w:rFonts w:ascii="Arial" w:hAnsi="Arial"/>
                <w:sz w:val="22"/>
                <w:szCs w:val="22"/>
              </w:rPr>
            </w:pPr>
            <w:r>
              <w:rPr>
                <w:rFonts w:eastAsia="Times New Roman" w:cs="Times New Roman"/>
                <w:b w:val="false"/>
                <w:sz w:val="22"/>
                <w:szCs w:val="22"/>
              </w:rPr>
              <w:t>Interactions</w:t>
            </w:r>
          </w:p>
        </w:tc>
        <w:tc>
          <w:tcPr>
            <w:tcW w:w="1461"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df</w:t>
            </w:r>
          </w:p>
        </w:tc>
        <w:tc>
          <w:tcPr>
            <w:tcW w:w="1614"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sz w:val="22"/>
                <w:szCs w:val="22"/>
              </w:rPr>
              <w:t>X</w:t>
            </w:r>
            <w:r>
              <w:rPr>
                <w:rFonts w:eastAsia="Times New Roman" w:cs="Times New Roman"/>
                <w:sz w:val="22"/>
                <w:szCs w:val="22"/>
                <w:vertAlign w:val="superscript"/>
              </w:rPr>
              <w:t>2</w:t>
            </w:r>
          </w:p>
        </w:tc>
        <w:tc>
          <w:tcPr>
            <w:tcW w:w="1593" w:type="dxa"/>
            <w:tcBorders>
              <w:top w:val="single" w:sz="4" w:space="0" w:color="000000"/>
              <w:bottom w:val="single" w:sz="4" w:space="0" w:color="000000"/>
            </w:tcBorders>
            <w:shd w:fill="D0CECE" w:val="clear"/>
            <w:vAlign w:val="center"/>
          </w:tcPr>
          <w:p>
            <w:pPr>
              <w:pStyle w:val="LOnormal"/>
              <w:spacing w:lineRule="auto" w:line="480"/>
              <w:jc w:val="center"/>
              <w:rPr>
                <w:rFonts w:ascii="Arial" w:hAnsi="Arial"/>
                <w:sz w:val="22"/>
                <w:szCs w:val="22"/>
              </w:rPr>
            </w:pPr>
            <w:r>
              <w:rPr>
                <w:rFonts w:eastAsia="Times New Roman" w:cs="Times New Roman"/>
                <w:i/>
                <w:sz w:val="22"/>
                <w:szCs w:val="22"/>
              </w:rPr>
              <w:t>p(</w:t>
            </w:r>
            <w:r>
              <w:rPr>
                <w:rFonts w:eastAsia="Times New Roman" w:cs="Times New Roman"/>
                <w:sz w:val="22"/>
                <w:szCs w:val="22"/>
              </w:rPr>
              <w:t>perm)</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Zone</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0.136</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0.712</w:t>
            </w:r>
          </w:p>
        </w:tc>
      </w:tr>
      <w:tr>
        <w:trPr>
          <w:trHeight w:val="454" w:hRule="atLeast"/>
        </w:trPr>
        <w:tc>
          <w:tcPr>
            <w:tcW w:w="4455" w:type="dxa"/>
            <w:tcBorders/>
            <w:vAlign w:val="center"/>
          </w:tcPr>
          <w:p>
            <w:pPr>
              <w:pStyle w:val="LOnormal"/>
              <w:spacing w:lineRule="auto" w:line="480"/>
              <w:rPr>
                <w:rFonts w:ascii="Arial" w:hAnsi="Arial"/>
                <w:sz w:val="22"/>
                <w:szCs w:val="22"/>
              </w:rPr>
            </w:pPr>
            <w:r>
              <w:rPr>
                <w:rFonts w:eastAsia="Times New Roman" w:cs="Times New Roman"/>
                <w:sz w:val="22"/>
                <w:szCs w:val="22"/>
              </w:rPr>
              <w:t>Month</w:t>
            </w:r>
          </w:p>
        </w:tc>
        <w:tc>
          <w:tcPr>
            <w:tcW w:w="1461"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3</w:t>
            </w:r>
          </w:p>
        </w:tc>
        <w:tc>
          <w:tcPr>
            <w:tcW w:w="1614" w:type="dxa"/>
            <w:tcBorders/>
            <w:vAlign w:val="center"/>
          </w:tcPr>
          <w:p>
            <w:pPr>
              <w:pStyle w:val="LOnormal"/>
              <w:spacing w:lineRule="auto" w:line="480"/>
              <w:jc w:val="center"/>
              <w:rPr>
                <w:rFonts w:ascii="Arial" w:hAnsi="Arial"/>
                <w:sz w:val="22"/>
                <w:szCs w:val="22"/>
              </w:rPr>
            </w:pPr>
            <w:r>
              <w:rPr>
                <w:rFonts w:eastAsia="Times New Roman" w:cs="Times New Roman"/>
                <w:sz w:val="22"/>
                <w:szCs w:val="22"/>
              </w:rPr>
              <w:t>10.822</w:t>
            </w:r>
          </w:p>
        </w:tc>
        <w:tc>
          <w:tcPr>
            <w:tcW w:w="1593" w:type="dxa"/>
            <w:tcBorders/>
            <w:vAlign w:val="center"/>
          </w:tcPr>
          <w:p>
            <w:pPr>
              <w:pStyle w:val="LOnormal"/>
              <w:spacing w:lineRule="auto" w:line="480"/>
              <w:jc w:val="center"/>
              <w:rPr>
                <w:rFonts w:ascii="Arial" w:hAnsi="Arial"/>
                <w:sz w:val="22"/>
                <w:szCs w:val="22"/>
              </w:rPr>
            </w:pPr>
            <w:r>
              <w:rPr>
                <w:rFonts w:eastAsia="Times New Roman" w:cs="Times New Roman"/>
                <w:b/>
                <w:sz w:val="22"/>
                <w:szCs w:val="22"/>
              </w:rPr>
              <w:t>0.012</w:t>
            </w:r>
          </w:p>
        </w:tc>
      </w:tr>
      <w:tr>
        <w:trPr>
          <w:trHeight w:val="454" w:hRule="atLeast"/>
        </w:trPr>
        <w:tc>
          <w:tcPr>
            <w:tcW w:w="4455" w:type="dxa"/>
            <w:tcBorders>
              <w:bottom w:val="single" w:sz="4" w:space="0" w:color="000000"/>
            </w:tcBorders>
            <w:vAlign w:val="center"/>
          </w:tcPr>
          <w:p>
            <w:pPr>
              <w:pStyle w:val="LOnormal"/>
              <w:spacing w:lineRule="auto" w:line="480"/>
              <w:rPr>
                <w:rFonts w:ascii="Arial" w:hAnsi="Arial"/>
                <w:sz w:val="22"/>
                <w:szCs w:val="22"/>
              </w:rPr>
            </w:pPr>
            <w:r>
              <w:rPr>
                <w:rFonts w:eastAsia="Times New Roman" w:cs="Times New Roman"/>
                <w:sz w:val="22"/>
                <w:szCs w:val="22"/>
              </w:rPr>
              <w:t>Zone:Month</w:t>
            </w:r>
          </w:p>
        </w:tc>
        <w:tc>
          <w:tcPr>
            <w:tcW w:w="1461"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7</w:t>
            </w:r>
          </w:p>
        </w:tc>
        <w:tc>
          <w:tcPr>
            <w:tcW w:w="1614"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12.337</w:t>
            </w:r>
          </w:p>
        </w:tc>
        <w:tc>
          <w:tcPr>
            <w:tcW w:w="1593" w:type="dxa"/>
            <w:tcBorders>
              <w:bottom w:val="single" w:sz="4" w:space="0" w:color="000000"/>
            </w:tcBorders>
            <w:vAlign w:val="center"/>
          </w:tcPr>
          <w:p>
            <w:pPr>
              <w:pStyle w:val="LOnormal"/>
              <w:spacing w:lineRule="auto" w:line="480"/>
              <w:jc w:val="center"/>
              <w:rPr>
                <w:rFonts w:ascii="Arial" w:hAnsi="Arial"/>
                <w:sz w:val="22"/>
                <w:szCs w:val="22"/>
              </w:rPr>
            </w:pPr>
            <w:r>
              <w:rPr>
                <w:rFonts w:eastAsia="Times New Roman" w:cs="Times New Roman"/>
                <w:sz w:val="22"/>
                <w:szCs w:val="22"/>
              </w:rPr>
              <w:t>0.090</w:t>
            </w:r>
          </w:p>
        </w:tc>
      </w:tr>
    </w:tbl>
    <w:p>
      <w:pPr>
        <w:pStyle w:val="LOnormal"/>
        <w:spacing w:lineRule="auto" w:line="480"/>
        <w:jc w:val="both"/>
        <w:rPr>
          <w:rFonts w:ascii="Arial" w:hAnsi="Arial" w:eastAsia="Times New Roman" w:cs="Times New Roman"/>
          <w:sz w:val="22"/>
          <w:szCs w:val="22"/>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uiPriority w:val="9"/>
    <w:qFormat/>
    <w:pPr>
      <w:keepNext w:val="true"/>
      <w:keepLines/>
      <w:spacing w:before="400" w:after="120"/>
      <w:outlineLvl w:val="0"/>
    </w:pPr>
    <w:rPr>
      <w:sz w:val="40"/>
      <w:szCs w:val="40"/>
    </w:rPr>
  </w:style>
  <w:style w:type="paragraph" w:styleId="Heading2">
    <w:name w:val="Heading 2"/>
    <w:basedOn w:val="LOnormal"/>
    <w:next w:val="LOnormal"/>
    <w:uiPriority w:val="9"/>
    <w:semiHidden/>
    <w:unhideWhenUsed/>
    <w:qFormat/>
    <w:pPr>
      <w:keepNext w:val="true"/>
      <w:keepLines/>
      <w:spacing w:before="360" w:after="120"/>
      <w:outlineLvl w:val="1"/>
    </w:pPr>
    <w:rPr>
      <w:sz w:val="32"/>
      <w:szCs w:val="32"/>
    </w:rPr>
  </w:style>
  <w:style w:type="paragraph" w:styleId="Heading3">
    <w:name w:val="Heading 3"/>
    <w:basedOn w:val="LOnormal"/>
    <w:next w:val="LO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val="true"/>
      <w:keepLines/>
      <w:spacing w:before="240" w:after="80"/>
      <w:outlineLvl w:val="4"/>
    </w:pPr>
    <w:rPr>
      <w:color w:val="666666"/>
    </w:rPr>
  </w:style>
  <w:style w:type="paragraph" w:styleId="Heading6">
    <w:name w:val="Heading 6"/>
    <w:basedOn w:val="LOnormal"/>
    <w:next w:val="LO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uiPriority w:val="10"/>
    <w:qFormat/>
    <w:pPr>
      <w:keepNext w:val="true"/>
      <w:keepLines/>
      <w:spacing w:before="0" w:after="60"/>
    </w:pPr>
    <w:rPr>
      <w:sz w:val="52"/>
      <w:szCs w:val="52"/>
    </w:rPr>
  </w:style>
  <w:style w:type="paragraph" w:styleId="Subtitle">
    <w:name w:val="Subtitle"/>
    <w:basedOn w:val="LOnormal"/>
    <w:next w:val="LOnormal"/>
    <w:uiPriority w:val="11"/>
    <w:qFormat/>
    <w:pPr>
      <w:keepNext w:val="true"/>
      <w:keepLines/>
      <w:spacing w:lineRule="auto" w:line="240" w:before="0" w:after="320"/>
    </w:pPr>
    <w:rPr>
      <w:color w:val="666666"/>
      <w:sz w:val="30"/>
      <w:szCs w:val="30"/>
    </w:rPr>
  </w:style>
  <w:style w:type="paragraph" w:styleId="Annotationtext">
    <w:name w:val="annotation text"/>
    <w:basedOn w:val="LOnormal"/>
    <w:link w:val="CommentTextChar"/>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TqyqQA7qFHCVKg6y5OMdCuPCuOw==">CgMxLjA4AHIhMUpzX3R6cS1Jd1pybkpUVjNITXljdGJnYllJbmI5bEVX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2</Pages>
  <Words>168</Words>
  <Characters>932</Characters>
  <CharactersWithSpaces>1014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2023-08-08T01:30:00Z</dcterms:created>
  <dc:creator/>
  <dc:description/>
  <dc:language>en-US</dc:language>
  <cp:lastModifiedBy/>
  <dcterms:modified xsi:type="dcterms:W3CDTF">2024-02-19T01:07:16Z</dcterms:modified>
  <cp:revision>7</cp:revision>
  <dc:subject/>
  <dc:title/>
</cp:coreProperties>
</file>