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4B74" w14:textId="486AEF39" w:rsidR="00E742DF" w:rsidRPr="00AD3035" w:rsidRDefault="00BC1D7A" w:rsidP="00BC1D7A">
      <w:r>
        <w:rPr>
          <w:b/>
          <w:bCs/>
        </w:rPr>
        <w:t>S</w:t>
      </w:r>
      <w:r w:rsidRPr="00BC1D7A">
        <w:rPr>
          <w:b/>
          <w:bCs/>
        </w:rPr>
        <w:t xml:space="preserve">upplementary </w:t>
      </w:r>
      <w:r w:rsidR="00B93D50">
        <w:rPr>
          <w:b/>
          <w:bCs/>
        </w:rPr>
        <w:t>T</w:t>
      </w:r>
      <w:r w:rsidRPr="00BC1D7A">
        <w:rPr>
          <w:b/>
          <w:bCs/>
        </w:rPr>
        <w:t xml:space="preserve">able </w:t>
      </w:r>
      <w:r w:rsidR="00391736">
        <w:rPr>
          <w:b/>
          <w:bCs/>
        </w:rPr>
        <w:t>1</w:t>
      </w:r>
      <w:r>
        <w:rPr>
          <w:b/>
          <w:bCs/>
        </w:rPr>
        <w:t xml:space="preserve">. </w:t>
      </w:r>
      <w:r w:rsidR="00F82D27" w:rsidRPr="00F82D27">
        <w:t xml:space="preserve">Analysis of regulatory cis-elements in promoter regions of </w:t>
      </w:r>
      <w:r w:rsidR="00F82D27" w:rsidRPr="00F82D27">
        <w:rPr>
          <w:i/>
          <w:iCs/>
        </w:rPr>
        <w:t>Pleos</w:t>
      </w:r>
      <w:r w:rsidR="00F82D27" w:rsidRPr="00F82D27">
        <w:t>-</w:t>
      </w:r>
      <w:r w:rsidR="00FD3A1F" w:rsidRPr="00F82D27">
        <w:rPr>
          <w:i/>
          <w:iCs/>
        </w:rPr>
        <w:t>dyp</w:t>
      </w:r>
      <w:r w:rsidR="00F82D27" w:rsidRPr="00F82D27">
        <w:t xml:space="preserve"> genes.</w:t>
      </w:r>
      <w:r w:rsidR="00F82D27">
        <w:rPr>
          <w:b/>
          <w:bCs/>
        </w:rPr>
        <w:t xml:space="preserve"> </w:t>
      </w:r>
      <w:r w:rsidR="00AD3035" w:rsidRPr="00AD3035">
        <w:t xml:space="preserve">Occurrence of putative cis-acting regulatory elements (TATA-box, CAAT-box, </w:t>
      </w:r>
      <w:r w:rsidR="002C40D8" w:rsidRPr="002C40D8">
        <w:t xml:space="preserve">carbon catabolite repressor binding elements </w:t>
      </w:r>
      <w:r w:rsidR="002C40D8">
        <w:t>(</w:t>
      </w:r>
      <w:r w:rsidR="00AD3035" w:rsidRPr="00AD3035">
        <w:t>CreA</w:t>
      </w:r>
      <w:r w:rsidR="002C40D8">
        <w:t>)</w:t>
      </w:r>
      <w:r w:rsidR="00AD3035" w:rsidRPr="00AD3035">
        <w:t>, metal responsive element (MRE), xenobiotic responsive element (XRE), nitrogen binding site (NIT2)</w:t>
      </w:r>
    </w:p>
    <w:tbl>
      <w:tblPr>
        <w:tblW w:w="88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39"/>
        <w:gridCol w:w="1125"/>
        <w:gridCol w:w="1101"/>
        <w:gridCol w:w="1107"/>
        <w:gridCol w:w="1087"/>
        <w:gridCol w:w="1068"/>
        <w:gridCol w:w="1084"/>
        <w:gridCol w:w="927"/>
      </w:tblGrid>
      <w:tr w:rsidR="000651D5" w:rsidRPr="00B00D68" w14:paraId="780AF575" w14:textId="2C05B722" w:rsidTr="000651D5">
        <w:trPr>
          <w:trHeight w:val="584"/>
        </w:trPr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545FA" w14:textId="77777777" w:rsidR="000651D5" w:rsidRPr="00B00D68" w:rsidRDefault="000651D5" w:rsidP="001C3F72">
            <w:pPr>
              <w:jc w:val="center"/>
            </w:pPr>
            <w:r w:rsidRPr="00B00D68">
              <w:rPr>
                <w:b/>
                <w:bCs/>
                <w:lang w:val="es-MX"/>
              </w:rPr>
              <w:t>Gene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C27C39" w14:textId="736A0D2B" w:rsidR="000651D5" w:rsidRPr="000651D5" w:rsidRDefault="000651D5" w:rsidP="001C3F72">
            <w:pPr>
              <w:jc w:val="center"/>
              <w:rPr>
                <w:b/>
                <w:bCs/>
              </w:rPr>
            </w:pPr>
            <w:r w:rsidRPr="000651D5">
              <w:rPr>
                <w:b/>
                <w:bCs/>
              </w:rPr>
              <w:t>Accession ID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EA7B82" w14:textId="49A75397" w:rsidR="000651D5" w:rsidRPr="00B00D68" w:rsidRDefault="000651D5" w:rsidP="001C3F72">
            <w:pPr>
              <w:jc w:val="center"/>
            </w:pPr>
            <w:r w:rsidRPr="00B00D68">
              <w:rPr>
                <w:b/>
                <w:bCs/>
                <w:lang w:val="es-MX"/>
              </w:rPr>
              <w:t>TATA-box</w:t>
            </w:r>
            <w:r w:rsidRPr="000651D5">
              <w:rPr>
                <w:b/>
                <w:bCs/>
                <w:vertAlign w:val="superscript"/>
                <w:lang w:val="es-MX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911574" w14:textId="333E9376" w:rsidR="000651D5" w:rsidRPr="00B00D68" w:rsidRDefault="000651D5" w:rsidP="001C3F72">
            <w:pPr>
              <w:jc w:val="center"/>
            </w:pPr>
            <w:r w:rsidRPr="00B00D68">
              <w:rPr>
                <w:b/>
                <w:bCs/>
                <w:lang w:val="es-MX"/>
              </w:rPr>
              <w:t>CAAT-box</w:t>
            </w:r>
            <w:r w:rsidRPr="000651D5">
              <w:rPr>
                <w:b/>
                <w:bCs/>
                <w:vertAlign w:val="superscript"/>
                <w:lang w:val="es-MX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F0B3EC" w14:textId="7BDE15BC" w:rsidR="000651D5" w:rsidRPr="00B00D68" w:rsidRDefault="000651D5" w:rsidP="001C3F72">
            <w:pPr>
              <w:jc w:val="center"/>
            </w:pPr>
            <w:r w:rsidRPr="00B00D68">
              <w:rPr>
                <w:b/>
                <w:bCs/>
                <w:lang w:val="es-MX"/>
              </w:rPr>
              <w:t>CreA</w:t>
            </w:r>
            <w:r w:rsidRPr="000651D5">
              <w:rPr>
                <w:b/>
                <w:bCs/>
                <w:vertAlign w:val="superscript"/>
                <w:lang w:val="es-MX"/>
              </w:rPr>
              <w:t>3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3321B9" w14:textId="7D652DE9" w:rsidR="000651D5" w:rsidRPr="00B00D68" w:rsidRDefault="000651D5" w:rsidP="001C3F72">
            <w:pPr>
              <w:jc w:val="center"/>
            </w:pPr>
            <w:r w:rsidRPr="00B00D68">
              <w:rPr>
                <w:b/>
                <w:bCs/>
                <w:lang w:val="es-MX"/>
              </w:rPr>
              <w:t>XRE</w:t>
            </w:r>
            <w:r w:rsidRPr="000651D5">
              <w:rPr>
                <w:b/>
                <w:bCs/>
                <w:vertAlign w:val="superscript"/>
                <w:lang w:val="es-MX"/>
              </w:rPr>
              <w:t>4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A1B0DE" w14:textId="2D9F2EDE" w:rsidR="000651D5" w:rsidRPr="00B00D68" w:rsidRDefault="000651D5" w:rsidP="001C3F72">
            <w:pPr>
              <w:jc w:val="center"/>
            </w:pPr>
            <w:r w:rsidRPr="00B00D68">
              <w:rPr>
                <w:b/>
                <w:bCs/>
                <w:lang w:val="es-MX"/>
              </w:rPr>
              <w:t>MRE</w:t>
            </w:r>
            <w:r w:rsidRPr="000651D5">
              <w:rPr>
                <w:b/>
                <w:bCs/>
                <w:vertAlign w:val="superscript"/>
                <w:lang w:val="es-MX"/>
              </w:rPr>
              <w:t>5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24F5702" w14:textId="11F4C7F5" w:rsidR="000651D5" w:rsidRPr="00B00D68" w:rsidRDefault="000651D5" w:rsidP="000651D5">
            <w:pPr>
              <w:jc w:val="center"/>
              <w:rPr>
                <w:b/>
                <w:bCs/>
                <w:lang w:val="es-MX"/>
              </w:rPr>
            </w:pPr>
            <w:r>
              <w:rPr>
                <w:b/>
                <w:bCs/>
                <w:lang w:val="es-MX"/>
              </w:rPr>
              <w:t>NIT2</w:t>
            </w:r>
            <w:r w:rsidRPr="000651D5">
              <w:rPr>
                <w:b/>
                <w:bCs/>
                <w:vertAlign w:val="superscript"/>
                <w:lang w:val="es-MX"/>
              </w:rPr>
              <w:t>6</w:t>
            </w:r>
          </w:p>
        </w:tc>
      </w:tr>
      <w:tr w:rsidR="000651D5" w:rsidRPr="00B00D68" w14:paraId="715D5457" w14:textId="68C9E8C0" w:rsidTr="005D4F93">
        <w:trPr>
          <w:trHeight w:val="584"/>
        </w:trPr>
        <w:tc>
          <w:tcPr>
            <w:tcW w:w="1339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78E47" w14:textId="796D597F" w:rsidR="000651D5" w:rsidRPr="00B00D68" w:rsidRDefault="000651D5" w:rsidP="001C3F72">
            <w:pPr>
              <w:jc w:val="center"/>
            </w:pPr>
            <w:r>
              <w:rPr>
                <w:b/>
                <w:bCs/>
                <w:i/>
                <w:iCs/>
                <w:lang w:val="es-MX"/>
              </w:rPr>
              <w:t>Pleos</w:t>
            </w:r>
            <w:r>
              <w:rPr>
                <w:b/>
                <w:bCs/>
                <w:i/>
                <w:iCs/>
                <w:lang w:val="es-MX"/>
              </w:rPr>
              <w:softHyphen/>
            </w:r>
            <w:r w:rsidRPr="000651D5">
              <w:rPr>
                <w:b/>
                <w:bCs/>
                <w:i/>
                <w:iCs/>
                <w:lang w:val="es-MX"/>
              </w:rPr>
              <w:t>DyeP1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vAlign w:val="center"/>
          </w:tcPr>
          <w:p w14:paraId="48BD0D8C" w14:textId="462BFE8E" w:rsidR="000651D5" w:rsidRPr="00B00D68" w:rsidRDefault="000651D5" w:rsidP="000651D5">
            <w:pPr>
              <w:jc w:val="center"/>
              <w:rPr>
                <w:lang w:val="es-MX"/>
              </w:rPr>
            </w:pPr>
            <w:r w:rsidRPr="000651D5">
              <w:rPr>
                <w:lang w:val="es-MX"/>
              </w:rPr>
              <w:t>62271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9A0E8A" w14:textId="6C245425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C8851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67081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6DFFA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B4EDD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dashSmallGap" w:sz="4" w:space="0" w:color="auto"/>
              <w:right w:val="nil"/>
            </w:tcBorders>
            <w:vAlign w:val="center"/>
          </w:tcPr>
          <w:p w14:paraId="24F305DD" w14:textId="5F402ACF" w:rsidR="000651D5" w:rsidRPr="00B00D68" w:rsidRDefault="005D4F93" w:rsidP="005D4F9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</w:tr>
      <w:tr w:rsidR="000651D5" w:rsidRPr="00B00D68" w14:paraId="365849DD" w14:textId="1A34A948" w:rsidTr="005D4F93">
        <w:trPr>
          <w:trHeight w:val="584"/>
        </w:trPr>
        <w:tc>
          <w:tcPr>
            <w:tcW w:w="13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7988B7" w14:textId="15237D3A" w:rsidR="000651D5" w:rsidRPr="00B00D68" w:rsidRDefault="000651D5" w:rsidP="001C3F72">
            <w:pPr>
              <w:jc w:val="center"/>
            </w:pPr>
            <w:r w:rsidRPr="00E742DF">
              <w:rPr>
                <w:b/>
                <w:bCs/>
                <w:i/>
                <w:iCs/>
                <w:lang w:val="es-MX"/>
              </w:rPr>
              <w:t>Pleos</w:t>
            </w:r>
            <w:r>
              <w:rPr>
                <w:b/>
                <w:bCs/>
                <w:lang w:val="es-MX"/>
              </w:rPr>
              <w:t>-</w:t>
            </w:r>
            <w:r w:rsidRPr="000651D5">
              <w:rPr>
                <w:b/>
                <w:bCs/>
                <w:i/>
                <w:iCs/>
                <w:lang w:val="es-MX"/>
              </w:rPr>
              <w:t>DyeP2</w:t>
            </w:r>
          </w:p>
        </w:tc>
        <w:tc>
          <w:tcPr>
            <w:tcW w:w="11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C3CF15B" w14:textId="56D71C6E" w:rsidR="000651D5" w:rsidRPr="00B00D68" w:rsidRDefault="000651D5" w:rsidP="000651D5">
            <w:pPr>
              <w:jc w:val="center"/>
              <w:rPr>
                <w:lang w:val="es-MX"/>
              </w:rPr>
            </w:pPr>
            <w:r w:rsidRPr="000651D5">
              <w:rPr>
                <w:lang w:val="es-MX"/>
              </w:rPr>
              <w:t>1092668</w:t>
            </w:r>
          </w:p>
        </w:tc>
        <w:tc>
          <w:tcPr>
            <w:tcW w:w="11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E98BD" w14:textId="17BD8250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10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676B5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4D4BF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0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9278CF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0</w:t>
            </w:r>
          </w:p>
        </w:tc>
        <w:tc>
          <w:tcPr>
            <w:tcW w:w="108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315360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2</w:t>
            </w:r>
          </w:p>
        </w:tc>
        <w:tc>
          <w:tcPr>
            <w:tcW w:w="9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14EF942" w14:textId="3BB72F33" w:rsidR="000651D5" w:rsidRPr="00B00D68" w:rsidRDefault="005D4F93" w:rsidP="005D4F9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0651D5" w:rsidRPr="00B00D68" w14:paraId="7AEE5CCE" w14:textId="7552D612" w:rsidTr="005D4F93">
        <w:trPr>
          <w:trHeight w:val="584"/>
        </w:trPr>
        <w:tc>
          <w:tcPr>
            <w:tcW w:w="1339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13244" w14:textId="70E4BC09" w:rsidR="000651D5" w:rsidRPr="00B00D68" w:rsidRDefault="000651D5" w:rsidP="001C3F72">
            <w:pPr>
              <w:jc w:val="center"/>
            </w:pPr>
            <w:r>
              <w:rPr>
                <w:b/>
                <w:bCs/>
                <w:i/>
                <w:iCs/>
                <w:lang w:val="es-MX"/>
              </w:rPr>
              <w:t>Pleos-</w:t>
            </w:r>
            <w:r w:rsidRPr="000651D5">
              <w:rPr>
                <w:b/>
                <w:bCs/>
                <w:i/>
                <w:iCs/>
                <w:lang w:val="es-MX"/>
              </w:rPr>
              <w:t>DyeP4</w:t>
            </w:r>
          </w:p>
        </w:tc>
        <w:tc>
          <w:tcPr>
            <w:tcW w:w="1125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1D9DDF1" w14:textId="0664C6F5" w:rsidR="000651D5" w:rsidRPr="00B00D68" w:rsidRDefault="000651D5" w:rsidP="000651D5">
            <w:pPr>
              <w:jc w:val="center"/>
              <w:rPr>
                <w:lang w:val="es-MX"/>
              </w:rPr>
            </w:pPr>
            <w:r w:rsidRPr="000651D5">
              <w:rPr>
                <w:lang w:val="es-MX"/>
              </w:rPr>
              <w:t>1069077</w:t>
            </w:r>
          </w:p>
        </w:tc>
        <w:tc>
          <w:tcPr>
            <w:tcW w:w="1101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21D04" w14:textId="2E7822C0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107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FF2C7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118B57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1</w:t>
            </w:r>
          </w:p>
        </w:tc>
        <w:tc>
          <w:tcPr>
            <w:tcW w:w="1068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1B7AA5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2</w:t>
            </w:r>
          </w:p>
        </w:tc>
        <w:tc>
          <w:tcPr>
            <w:tcW w:w="1084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3CF776" w14:textId="77777777" w:rsidR="000651D5" w:rsidRPr="00B00D68" w:rsidRDefault="000651D5" w:rsidP="001C3F72">
            <w:pPr>
              <w:jc w:val="center"/>
            </w:pPr>
            <w:r w:rsidRPr="00B00D68">
              <w:rPr>
                <w:lang w:val="es-MX"/>
              </w:rPr>
              <w:t>2</w:t>
            </w:r>
          </w:p>
        </w:tc>
        <w:tc>
          <w:tcPr>
            <w:tcW w:w="927" w:type="dxa"/>
            <w:tcBorders>
              <w:top w:val="dashSmallGap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05EB7444" w14:textId="031F6C0F" w:rsidR="000651D5" w:rsidRPr="00B00D68" w:rsidRDefault="005D4F93" w:rsidP="005D4F93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</w:tr>
    </w:tbl>
    <w:p w14:paraId="256B3D1B" w14:textId="77777777" w:rsidR="00BC1D7A" w:rsidRDefault="00BC1D7A" w:rsidP="00BC1D7A"/>
    <w:p w14:paraId="7E81E7E4" w14:textId="77777777" w:rsidR="00942541" w:rsidRDefault="00942541"/>
    <w:p w14:paraId="1CE9AA57" w14:textId="69F53EEC" w:rsidR="000651D5" w:rsidRDefault="000651D5">
      <w:pPr>
        <w:rPr>
          <w:lang w:val="es-MX"/>
        </w:rPr>
      </w:pPr>
      <w:r w:rsidRPr="000651D5">
        <w:rPr>
          <w:b/>
          <w:bCs/>
          <w:vertAlign w:val="superscript"/>
          <w:lang w:val="es-MX"/>
        </w:rPr>
        <w:t>1</w:t>
      </w:r>
      <w:r w:rsidRPr="000651D5">
        <w:rPr>
          <w:b/>
          <w:bCs/>
          <w:lang w:val="es-MX"/>
        </w:rPr>
        <w:t>Consensus TATA box:</w:t>
      </w:r>
      <w:r w:rsidRPr="000651D5">
        <w:rPr>
          <w:lang w:val="es-MX"/>
        </w:rPr>
        <w:t xml:space="preserve"> 5'-</w:t>
      </w:r>
      <w:r w:rsidR="000F4924">
        <w:rPr>
          <w:lang w:val="es-MX"/>
        </w:rPr>
        <w:t xml:space="preserve"> </w:t>
      </w:r>
      <w:r w:rsidRPr="000651D5">
        <w:rPr>
          <w:lang w:val="es-MX"/>
        </w:rPr>
        <w:t>TATA(A/</w:t>
      </w:r>
      <w:proofErr w:type="gramStart"/>
      <w:r w:rsidRPr="000651D5">
        <w:rPr>
          <w:lang w:val="es-MX"/>
        </w:rPr>
        <w:t>T)A</w:t>
      </w:r>
      <w:proofErr w:type="gramEnd"/>
      <w:r w:rsidRPr="000651D5">
        <w:rPr>
          <w:lang w:val="es-MX"/>
        </w:rPr>
        <w:t>(A/T)</w:t>
      </w:r>
      <w:r w:rsidR="000F4924">
        <w:rPr>
          <w:lang w:val="es-MX"/>
        </w:rPr>
        <w:t xml:space="preserve"> </w:t>
      </w:r>
      <w:r w:rsidRPr="000651D5">
        <w:rPr>
          <w:lang w:val="es-MX"/>
        </w:rPr>
        <w:t>-3'</w:t>
      </w:r>
    </w:p>
    <w:p w14:paraId="34CEEB28" w14:textId="007BD10F" w:rsidR="000651D5" w:rsidRPr="0013525C" w:rsidRDefault="000651D5" w:rsidP="000651D5">
      <w:r w:rsidRPr="0013525C">
        <w:rPr>
          <w:b/>
          <w:bCs/>
          <w:vertAlign w:val="superscript"/>
        </w:rPr>
        <w:t>2</w:t>
      </w:r>
      <w:r w:rsidRPr="0013525C">
        <w:rPr>
          <w:b/>
          <w:bCs/>
        </w:rPr>
        <w:t xml:space="preserve">Consensus </w:t>
      </w:r>
      <w:r w:rsidR="0013525C" w:rsidRPr="0013525C">
        <w:rPr>
          <w:b/>
          <w:bCs/>
        </w:rPr>
        <w:t>C</w:t>
      </w:r>
      <w:r w:rsidRPr="0013525C">
        <w:rPr>
          <w:b/>
          <w:bCs/>
        </w:rPr>
        <w:t>AA</w:t>
      </w:r>
      <w:r w:rsidR="0013525C" w:rsidRPr="0013525C">
        <w:rPr>
          <w:b/>
          <w:bCs/>
        </w:rPr>
        <w:t>T</w:t>
      </w:r>
      <w:r w:rsidRPr="0013525C">
        <w:rPr>
          <w:b/>
          <w:bCs/>
        </w:rPr>
        <w:t xml:space="preserve"> box:</w:t>
      </w:r>
      <w:r w:rsidRPr="0013525C">
        <w:t xml:space="preserve"> 5'</w:t>
      </w:r>
      <w:r w:rsidR="0013525C" w:rsidRPr="0013525C">
        <w:t>-</w:t>
      </w:r>
      <w:r w:rsidR="000F4924">
        <w:t xml:space="preserve"> </w:t>
      </w:r>
      <w:r w:rsidR="0013525C" w:rsidRPr="0013525C">
        <w:t>GG(T/</w:t>
      </w:r>
      <w:proofErr w:type="gramStart"/>
      <w:r w:rsidR="0013525C" w:rsidRPr="0013525C">
        <w:t>C)CAATCT</w:t>
      </w:r>
      <w:proofErr w:type="gramEnd"/>
      <w:r w:rsidR="000F4924">
        <w:t xml:space="preserve"> </w:t>
      </w:r>
      <w:r w:rsidRPr="0013525C">
        <w:t>-3'</w:t>
      </w:r>
    </w:p>
    <w:p w14:paraId="02F88B46" w14:textId="2A40FCDE" w:rsidR="000651D5" w:rsidRPr="00B93D50" w:rsidRDefault="000651D5" w:rsidP="000651D5">
      <w:r w:rsidRPr="00B93D50">
        <w:rPr>
          <w:b/>
          <w:bCs/>
          <w:vertAlign w:val="superscript"/>
        </w:rPr>
        <w:t>3</w:t>
      </w:r>
      <w:r w:rsidRPr="00B93D50">
        <w:rPr>
          <w:b/>
          <w:bCs/>
        </w:rPr>
        <w:t xml:space="preserve">Consensus </w:t>
      </w:r>
      <w:r w:rsidR="0013525C" w:rsidRPr="00B93D50">
        <w:rPr>
          <w:b/>
          <w:bCs/>
        </w:rPr>
        <w:t>CreA</w:t>
      </w:r>
      <w:r w:rsidRPr="00B93D50">
        <w:rPr>
          <w:b/>
          <w:bCs/>
        </w:rPr>
        <w:t>:</w:t>
      </w:r>
      <w:r w:rsidRPr="00B93D50">
        <w:t xml:space="preserve"> 5'-</w:t>
      </w:r>
      <w:r w:rsidR="000F4924" w:rsidRPr="00B93D50">
        <w:t xml:space="preserve"> </w:t>
      </w:r>
      <w:r w:rsidR="00BC195B" w:rsidRPr="00B93D50">
        <w:t xml:space="preserve">GCTGGCAAGTT </w:t>
      </w:r>
      <w:r w:rsidRPr="00B93D50">
        <w:t>-3'</w:t>
      </w:r>
    </w:p>
    <w:p w14:paraId="1403A412" w14:textId="28DC65FA" w:rsidR="000651D5" w:rsidRPr="00C074D1" w:rsidRDefault="000651D5" w:rsidP="000651D5">
      <w:r w:rsidRPr="00C074D1">
        <w:rPr>
          <w:b/>
          <w:bCs/>
          <w:vertAlign w:val="superscript"/>
        </w:rPr>
        <w:t>4</w:t>
      </w:r>
      <w:r w:rsidRPr="00C074D1">
        <w:rPr>
          <w:b/>
          <w:bCs/>
        </w:rPr>
        <w:t xml:space="preserve">Consensus </w:t>
      </w:r>
      <w:r w:rsidR="00C074D1" w:rsidRPr="00C074D1">
        <w:rPr>
          <w:b/>
          <w:bCs/>
        </w:rPr>
        <w:t>XRE</w:t>
      </w:r>
      <w:r w:rsidRPr="00C074D1">
        <w:rPr>
          <w:b/>
          <w:bCs/>
        </w:rPr>
        <w:t>:</w:t>
      </w:r>
      <w:r w:rsidRPr="00C074D1">
        <w:t xml:space="preserve"> 5'-</w:t>
      </w:r>
      <w:r w:rsidR="000F4924">
        <w:t xml:space="preserve"> </w:t>
      </w:r>
      <w:r w:rsidR="00C074D1" w:rsidRPr="00C074D1">
        <w:t>GTATGA(G/</w:t>
      </w:r>
      <w:proofErr w:type="gramStart"/>
      <w:r w:rsidR="00C074D1" w:rsidRPr="00C074D1">
        <w:t>T)AGT</w:t>
      </w:r>
      <w:proofErr w:type="gramEnd"/>
      <w:r w:rsidR="00C074D1" w:rsidRPr="00C074D1">
        <w:t xml:space="preserve"> </w:t>
      </w:r>
      <w:r w:rsidRPr="00C074D1">
        <w:t>-3'</w:t>
      </w:r>
    </w:p>
    <w:p w14:paraId="6AB9FD63" w14:textId="7293BD91" w:rsidR="000651D5" w:rsidRPr="007D5F30" w:rsidRDefault="000651D5" w:rsidP="000651D5">
      <w:r w:rsidRPr="007D5F30">
        <w:rPr>
          <w:b/>
          <w:bCs/>
          <w:vertAlign w:val="superscript"/>
        </w:rPr>
        <w:t>5</w:t>
      </w:r>
      <w:r w:rsidRPr="007D5F30">
        <w:rPr>
          <w:b/>
          <w:bCs/>
        </w:rPr>
        <w:t xml:space="preserve">Consensus </w:t>
      </w:r>
      <w:r w:rsidR="00C074D1" w:rsidRPr="007D5F30">
        <w:rPr>
          <w:b/>
          <w:bCs/>
        </w:rPr>
        <w:t>MRE</w:t>
      </w:r>
      <w:r w:rsidRPr="007D5F30">
        <w:rPr>
          <w:b/>
          <w:bCs/>
        </w:rPr>
        <w:t>:</w:t>
      </w:r>
      <w:r w:rsidRPr="007D5F30">
        <w:t xml:space="preserve"> 5'-</w:t>
      </w:r>
      <w:r w:rsidR="000F4924">
        <w:t xml:space="preserve"> </w:t>
      </w:r>
      <w:r w:rsidR="00C074D1" w:rsidRPr="007D5F30">
        <w:t>GGG(A/</w:t>
      </w:r>
      <w:proofErr w:type="gramStart"/>
      <w:r w:rsidR="00C074D1" w:rsidRPr="007D5F30">
        <w:t>T)A</w:t>
      </w:r>
      <w:proofErr w:type="gramEnd"/>
      <w:r w:rsidR="00C074D1" w:rsidRPr="007D5F30">
        <w:t>(T/A)GAC</w:t>
      </w:r>
      <w:r w:rsidR="000F4924">
        <w:t xml:space="preserve"> </w:t>
      </w:r>
      <w:r w:rsidRPr="007D5F30">
        <w:t>-3'</w:t>
      </w:r>
    </w:p>
    <w:p w14:paraId="7C3AAE4E" w14:textId="42C1A8F6" w:rsidR="000651D5" w:rsidRPr="007D5F30" w:rsidRDefault="000651D5" w:rsidP="000651D5">
      <w:r w:rsidRPr="007D5F30">
        <w:rPr>
          <w:b/>
          <w:bCs/>
          <w:vertAlign w:val="superscript"/>
        </w:rPr>
        <w:t>6</w:t>
      </w:r>
      <w:r w:rsidRPr="007D5F30">
        <w:rPr>
          <w:b/>
          <w:bCs/>
        </w:rPr>
        <w:t xml:space="preserve">Consensus </w:t>
      </w:r>
      <w:r w:rsidR="00C074D1" w:rsidRPr="007D5F30">
        <w:rPr>
          <w:b/>
          <w:bCs/>
        </w:rPr>
        <w:t>NI</w:t>
      </w:r>
      <w:r w:rsidRPr="007D5F30">
        <w:rPr>
          <w:b/>
          <w:bCs/>
        </w:rPr>
        <w:t>T</w:t>
      </w:r>
      <w:r w:rsidR="00C074D1" w:rsidRPr="007D5F30">
        <w:rPr>
          <w:b/>
          <w:bCs/>
        </w:rPr>
        <w:t>2</w:t>
      </w:r>
      <w:r w:rsidRPr="007D5F30">
        <w:rPr>
          <w:b/>
          <w:bCs/>
        </w:rPr>
        <w:t>:</w:t>
      </w:r>
      <w:r w:rsidRPr="007D5F30">
        <w:t xml:space="preserve"> 5'-</w:t>
      </w:r>
      <w:r w:rsidR="000F4924" w:rsidRPr="000F4924">
        <w:t xml:space="preserve"> CG(G/</w:t>
      </w:r>
      <w:proofErr w:type="gramStart"/>
      <w:r w:rsidR="000F4924" w:rsidRPr="000F4924">
        <w:t>C)ACCGACGG</w:t>
      </w:r>
      <w:proofErr w:type="gramEnd"/>
      <w:r w:rsidR="000F4924" w:rsidRPr="007D5F30">
        <w:t xml:space="preserve"> </w:t>
      </w:r>
      <w:r w:rsidRPr="007D5F30">
        <w:t>-3'</w:t>
      </w:r>
    </w:p>
    <w:p w14:paraId="7143EF8E" w14:textId="77777777" w:rsidR="000651D5" w:rsidRPr="007D5F30" w:rsidRDefault="000651D5"/>
    <w:p w14:paraId="06545C9A" w14:textId="6F54D6F7" w:rsidR="00371830" w:rsidRPr="00587E8F" w:rsidRDefault="00371830" w:rsidP="00BC195B">
      <w:pPr>
        <w:jc w:val="both"/>
      </w:pPr>
      <w:bookmarkStart w:id="0" w:name="_Hlk157086137"/>
      <w:r w:rsidRPr="00587E8F">
        <w:t xml:space="preserve">For the </w:t>
      </w:r>
      <w:bookmarkStart w:id="1" w:name="_Hlk149940973"/>
      <w:r w:rsidRPr="00587E8F">
        <w:t xml:space="preserve">analysis of </w:t>
      </w:r>
      <w:r w:rsidR="001F3B88">
        <w:t xml:space="preserve">regulatory </w:t>
      </w:r>
      <w:r>
        <w:t xml:space="preserve">cis-elements in promoter regions of </w:t>
      </w:r>
      <w:r>
        <w:rPr>
          <w:i/>
          <w:iCs/>
        </w:rPr>
        <w:t>Pleos</w:t>
      </w:r>
      <w:r>
        <w:t>-</w:t>
      </w:r>
      <w:r w:rsidRPr="00371830">
        <w:rPr>
          <w:i/>
          <w:iCs/>
        </w:rPr>
        <w:t>Dy</w:t>
      </w:r>
      <w:r>
        <w:t>e</w:t>
      </w:r>
      <w:r w:rsidRPr="00F5035D">
        <w:rPr>
          <w:i/>
          <w:iCs/>
        </w:rPr>
        <w:t>P</w:t>
      </w:r>
      <w:r>
        <w:t xml:space="preserve"> genes</w:t>
      </w:r>
      <w:bookmarkEnd w:id="0"/>
      <w:bookmarkEnd w:id="1"/>
      <w:r>
        <w:t xml:space="preserve">, we used 2-kb upstream from start codon of each gene. These sequences were the input for </w:t>
      </w:r>
      <w:bookmarkStart w:id="2" w:name="_Hlk157086429"/>
      <w:r>
        <w:t xml:space="preserve">MEME (Multiple Expectation Maximization for Motif Elicitation) </w:t>
      </w:r>
      <w:bookmarkEnd w:id="2"/>
      <w:r>
        <w:t xml:space="preserve">using default parameters. The identified motifs were </w:t>
      </w:r>
      <w:bookmarkStart w:id="3" w:name="_Hlk157086872"/>
      <w:r>
        <w:t>annotated with SMART</w:t>
      </w:r>
      <w:bookmarkEnd w:id="3"/>
      <w:r>
        <w:t>.</w:t>
      </w:r>
    </w:p>
    <w:p w14:paraId="4952A7B4" w14:textId="77777777" w:rsidR="000651D5" w:rsidRPr="007D5F30" w:rsidRDefault="000651D5"/>
    <w:sectPr w:rsidR="000651D5" w:rsidRPr="007D5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7A"/>
    <w:rsid w:val="000651D5"/>
    <w:rsid w:val="000F4924"/>
    <w:rsid w:val="0013525C"/>
    <w:rsid w:val="001F3B88"/>
    <w:rsid w:val="002C40D8"/>
    <w:rsid w:val="00371830"/>
    <w:rsid w:val="00391736"/>
    <w:rsid w:val="005D4F93"/>
    <w:rsid w:val="0071694E"/>
    <w:rsid w:val="007D5F30"/>
    <w:rsid w:val="00942541"/>
    <w:rsid w:val="00AD3035"/>
    <w:rsid w:val="00B93D50"/>
    <w:rsid w:val="00BC195B"/>
    <w:rsid w:val="00BC1D7A"/>
    <w:rsid w:val="00C074D1"/>
    <w:rsid w:val="00C22302"/>
    <w:rsid w:val="00E130B5"/>
    <w:rsid w:val="00E742DF"/>
    <w:rsid w:val="00EF328B"/>
    <w:rsid w:val="00F5035D"/>
    <w:rsid w:val="00F82D27"/>
    <w:rsid w:val="00FD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3AA3"/>
  <w15:chartTrackingRefBased/>
  <w15:docId w15:val="{0017E72F-6745-4EAC-88CA-999E728D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7A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Bibbins</dc:creator>
  <cp:keywords/>
  <dc:description/>
  <cp:lastModifiedBy>Martha Bibbins</cp:lastModifiedBy>
  <cp:revision>17</cp:revision>
  <dcterms:created xsi:type="dcterms:W3CDTF">2023-10-30T17:54:00Z</dcterms:created>
  <dcterms:modified xsi:type="dcterms:W3CDTF">2024-02-14T00:54:00Z</dcterms:modified>
</cp:coreProperties>
</file>