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spacing w:line="240" w:lineRule="auto"/>
        <w:jc w:val="left"/>
        <w:rPr>
          <w:rFonts w:hint="default" w:ascii="Times New Roman" w:hAnsi="Times New Roman" w:eastAsia="黑体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Supplemental Table S1.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 xml:space="preserve"> Summary of primer sequence</w:t>
      </w:r>
    </w:p>
    <w:tbl>
      <w:tblPr>
        <w:tblStyle w:val="2"/>
        <w:tblW w:w="91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69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5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Name of primer</w:t>
            </w:r>
          </w:p>
        </w:tc>
        <w:tc>
          <w:tcPr>
            <w:tcW w:w="694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Sequence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qACTIN-F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TGTCCCTATTTACGAGGGTTATGC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qACTIN-R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AGTTAAATCACGACCAGCAAGAT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qSlSWEET7a-F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TGATGCCTACATTCTCGCACC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qSlSWEET7a-R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TCCTTTAGCCTCTCTTGCTGCC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qSl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ZIP11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-F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GCATCTTATTGATCGTTGCACT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qSl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ZIP11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-R   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ACTTACAGTCCAAAGAGCTCTC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STE-SlSWEET7a-F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ATTAACAAGGCCATTACGGCCACTTTTAATAGGGACAATGCTAGGTTTG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STE-SlSWEET7a-R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AACTGATTGGCCGAGGCGGCCCCAACTCTAAAATCACTTCTCGGGTTTTG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GFP-Sl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ZIP11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-F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CGGGGGACGAGCTCGGTACCATGGCACGTTTACACTTGTTTCTTG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GFP-Sl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ZIP11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-R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CTAGAGGATCCCCGGGTACCAGTGTCCCATATCATCACCACAGC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GWSl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ZIP11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-F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GGGGACAAGTTTGTACAAAAAAGCAGGCTTCGGTACCATGGCACGTTTACACTTGTTTCTTG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GWS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ZIP11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-R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GGGGACCACTTTGTACAAGAAAGCTGGGTGACTAGTAGTGTCCCATATCATCACCACAGC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OESl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ZIP11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-F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GCTCTAGAATGGCACGTTTACACTTGTTTCTTG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OES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lZIP11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-R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CCCCCGGGAGTGTCCCATATCATCACCACAGC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TRV-Sl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ZIP11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-F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CCTCCATGGGGATCCGGTACCATGGCACGTTTACACTTGTTTCTTG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TRV-Sl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ZIP11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-R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GAGACGCGTGAGCTCGGTACCCGCAGTTCCCAAGAAAACCC</w:t>
            </w:r>
          </w:p>
        </w:tc>
      </w:tr>
    </w:tbl>
    <w:p>
      <w:pPr>
        <w:widowControl w:val="0"/>
        <w:numPr>
          <w:ilvl w:val="0"/>
          <w:numId w:val="0"/>
        </w:numPr>
        <w:spacing w:line="300" w:lineRule="auto"/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00" w:lineRule="auto"/>
        <w:ind w:leftChars="0"/>
        <w:rPr>
          <w:rFonts w:hint="default" w:ascii="Times New Roman" w:hAnsi="Times New Roman" w:eastAsia="宋体" w:cs="Times New Roman"/>
          <w:snapToGrid/>
          <w:sz w:val="24"/>
          <w:szCs w:val="24"/>
          <w:lang w:eastAsia="zh-CN"/>
        </w:rPr>
      </w:pPr>
    </w:p>
    <w:p>
      <w:pPr>
        <w:widowControl w:val="0"/>
        <w:numPr>
          <w:ilvl w:val="0"/>
          <w:numId w:val="0"/>
        </w:numPr>
        <w:spacing w:line="300" w:lineRule="auto"/>
        <w:ind w:leftChars="0"/>
        <w:rPr>
          <w:rFonts w:hint="default" w:ascii="Times New Roman" w:hAnsi="Times New Roman" w:eastAsia="宋体" w:cs="Times New Roman"/>
          <w:snapToGrid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napToGrid/>
          <w:sz w:val="24"/>
          <w:szCs w:val="24"/>
          <w:lang w:eastAsia="zh-CN"/>
        </w:rPr>
        <w:drawing>
          <wp:inline distT="0" distB="0" distL="114300" distR="114300">
            <wp:extent cx="2865120" cy="2167890"/>
            <wp:effectExtent l="0" t="0" r="11430" b="3810"/>
            <wp:docPr id="1" name="图片 1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2"/>
                    <pic:cNvPicPr>
                      <a:picLocks noChangeAspect="1"/>
                    </pic:cNvPicPr>
                  </pic:nvPicPr>
                  <pic:blipFill>
                    <a:blip r:embed="rId6"/>
                    <a:srcRect l="8139" t="13512" r="46854" b="25996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spacing w:line="300" w:lineRule="auto"/>
        <w:ind w:leftChars="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Supplemental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Figure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. Expression level of SlZIP11 in </w:t>
      </w:r>
      <w:r>
        <w:rPr>
          <w:rFonts w:ascii="Times New Roman" w:hAnsi="Times New Roman"/>
          <w:b/>
          <w:bCs/>
          <w:sz w:val="24"/>
          <w:szCs w:val="24"/>
        </w:rPr>
        <w:t>‘Heinz 1706’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. </w:t>
      </w:r>
    </w:p>
    <w:p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IMG_10DPA, immature green fruits (10 day post-anthesis); MG_35DPA, mature green fruits (35DPA); Breaker_38DPA, breaker fruits (38DPA); Orange_41DPA, orange fruits (41DPA); Red_44DPA, red ripen fruits (44DPA). The data was obtained in the tomato database (https://solgenomics.net/).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GNiYTJmNzcwYmE2MDk4N2YzY2RmM2I0NGY1MTAifQ=="/>
  </w:docVars>
  <w:rsids>
    <w:rsidRoot w:val="69CB58E7"/>
    <w:rsid w:val="69CB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60" w:lineRule="atLeast"/>
      <w:jc w:val="both"/>
    </w:pPr>
    <w:rPr>
      <w:rFonts w:ascii="Palatino Linotype" w:hAnsi="Palatino Linotype" w:eastAsia="宋体" w:cs="Times New Roman"/>
      <w:color w:val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2024-01-18T02:19:00Z</dcterms:created>
  <dc:creator>孙77</dc:creator>
  <cp:lastModifiedBy>孙77</cp:lastModifiedBy>
  <dcterms:modified xsi:type="dcterms:W3CDTF">2024-01-18T02:19:37Z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A5E623FED2854E158EC72BBBA6C688EF_11</vt:lpwstr>
  </property>
</Properties>
</file>