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51"/>
        <w:gridCol w:w="616"/>
        <w:gridCol w:w="4903"/>
        <w:gridCol w:w="630"/>
        <w:gridCol w:w="6892"/>
      </w:tblGrid>
      <w:tr w:rsidR="00191A23" w:rsidRPr="0022554A" w:rsidTr="00E9548F">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4903"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630"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6892" w:type="dxa"/>
          </w:tcPr>
          <w:p w:rsidR="00191A23" w:rsidRPr="0022554A" w:rsidRDefault="00517788" w:rsidP="00517788">
            <w:pPr>
              <w:pStyle w:val="TableHeader"/>
              <w:tabs>
                <w:tab w:val="left" w:pos="5400"/>
              </w:tabs>
              <w:jc w:val="center"/>
              <w:rPr>
                <w:bCs/>
                <w:sz w:val="20"/>
              </w:rPr>
            </w:pPr>
            <w:bookmarkStart w:id="9" w:name="OLE_LINK1"/>
            <w:r>
              <w:rPr>
                <w:bCs/>
                <w:sz w:val="20"/>
              </w:rPr>
              <w:t>Relevant t</w:t>
            </w:r>
            <w:r w:rsidR="00191A23">
              <w:rPr>
                <w:bCs/>
                <w:sz w:val="20"/>
              </w:rPr>
              <w:t>ext from manuscript</w:t>
            </w:r>
            <w:bookmarkEnd w:id="9"/>
          </w:p>
        </w:tc>
      </w:tr>
      <w:tr w:rsidR="00191A23" w:rsidRPr="0022554A" w:rsidTr="00E9548F">
        <w:tc>
          <w:tcPr>
            <w:tcW w:w="1951" w:type="dxa"/>
            <w:vMerge w:val="restart"/>
          </w:tcPr>
          <w:p w:rsidR="00191A23" w:rsidRPr="002602FB" w:rsidRDefault="00191A23" w:rsidP="0022554A">
            <w:pPr>
              <w:tabs>
                <w:tab w:val="left" w:pos="5400"/>
              </w:tabs>
              <w:rPr>
                <w:b/>
                <w:bCs/>
                <w:sz w:val="20"/>
              </w:rPr>
            </w:pPr>
            <w:bookmarkStart w:id="10" w:name="bold5"/>
            <w:bookmarkStart w:id="11" w:name="italic6"/>
            <w:bookmarkEnd w:id="0"/>
            <w:bookmarkEnd w:id="1"/>
            <w:bookmarkEnd w:id="2"/>
            <w:bookmarkEnd w:id="3"/>
            <w:bookmarkEnd w:id="4"/>
            <w:bookmarkEnd w:id="5"/>
            <w:bookmarkEnd w:id="6"/>
            <w:bookmarkEnd w:id="7"/>
            <w:bookmarkEnd w:id="8"/>
            <w:r w:rsidRPr="002602FB">
              <w:rPr>
                <w:b/>
                <w:sz w:val="20"/>
              </w:rPr>
              <w:t>Title and abstract</w:t>
            </w:r>
            <w:bookmarkEnd w:id="10"/>
            <w:bookmarkEnd w:id="11"/>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4903"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630" w:type="dxa"/>
          </w:tcPr>
          <w:p w:rsidR="00191A23" w:rsidRPr="0022554A" w:rsidRDefault="008A68C4" w:rsidP="0022554A">
            <w:pPr>
              <w:tabs>
                <w:tab w:val="left" w:pos="5400"/>
              </w:tabs>
              <w:rPr>
                <w:sz w:val="20"/>
              </w:rPr>
            </w:pPr>
            <w:r>
              <w:rPr>
                <w:sz w:val="20"/>
              </w:rPr>
              <w:t>1</w:t>
            </w:r>
          </w:p>
        </w:tc>
        <w:tc>
          <w:tcPr>
            <w:tcW w:w="6892" w:type="dxa"/>
          </w:tcPr>
          <w:p w:rsidR="00191A23" w:rsidRPr="0022554A" w:rsidRDefault="00E9548F" w:rsidP="0022554A">
            <w:pPr>
              <w:tabs>
                <w:tab w:val="left" w:pos="5400"/>
              </w:tabs>
              <w:rPr>
                <w:sz w:val="20"/>
              </w:rPr>
            </w:pPr>
            <w:r w:rsidRPr="00E9548F">
              <w:rPr>
                <w:sz w:val="20"/>
              </w:rPr>
              <w:t>Impact of white blood cell count on the development of Contrast-Induced Acute Kidney Injury in patients receiving percutaneous coronary intervention</w:t>
            </w:r>
          </w:p>
        </w:tc>
      </w:tr>
      <w:tr w:rsidR="00191A23" w:rsidRPr="0022554A" w:rsidTr="00E9548F">
        <w:tc>
          <w:tcPr>
            <w:tcW w:w="1951" w:type="dxa"/>
            <w:vMerge/>
          </w:tcPr>
          <w:p w:rsidR="00191A23" w:rsidRPr="0022554A" w:rsidRDefault="00191A23" w:rsidP="0022554A">
            <w:pPr>
              <w:tabs>
                <w:tab w:val="left" w:pos="5400"/>
              </w:tabs>
              <w:rPr>
                <w:bCs/>
                <w:sz w:val="20"/>
              </w:rPr>
            </w:pPr>
            <w:bookmarkStart w:id="12" w:name="bold6" w:colFirst="0" w:colLast="0"/>
            <w:bookmarkStart w:id="13" w:name="italic7" w:colFirst="0" w:colLast="0"/>
          </w:p>
        </w:tc>
        <w:tc>
          <w:tcPr>
            <w:tcW w:w="616" w:type="dxa"/>
            <w:vMerge/>
          </w:tcPr>
          <w:p w:rsidR="00191A23" w:rsidRPr="0022554A" w:rsidRDefault="00191A23" w:rsidP="0022554A">
            <w:pPr>
              <w:tabs>
                <w:tab w:val="left" w:pos="5400"/>
              </w:tabs>
              <w:jc w:val="center"/>
              <w:rPr>
                <w:sz w:val="20"/>
              </w:rPr>
            </w:pPr>
          </w:p>
        </w:tc>
        <w:tc>
          <w:tcPr>
            <w:tcW w:w="4903"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630" w:type="dxa"/>
          </w:tcPr>
          <w:p w:rsidR="00191A23" w:rsidRPr="0022554A" w:rsidRDefault="008A68C4" w:rsidP="0022554A">
            <w:pPr>
              <w:tabs>
                <w:tab w:val="left" w:pos="5400"/>
              </w:tabs>
              <w:rPr>
                <w:sz w:val="20"/>
              </w:rPr>
            </w:pPr>
            <w:r>
              <w:rPr>
                <w:sz w:val="20"/>
              </w:rPr>
              <w:t>2</w:t>
            </w:r>
          </w:p>
        </w:tc>
        <w:tc>
          <w:tcPr>
            <w:tcW w:w="6892" w:type="dxa"/>
          </w:tcPr>
          <w:p w:rsidR="00191A23" w:rsidRPr="0022554A" w:rsidRDefault="00E9548F" w:rsidP="0022554A">
            <w:pPr>
              <w:tabs>
                <w:tab w:val="left" w:pos="5400"/>
              </w:tabs>
              <w:rPr>
                <w:sz w:val="20"/>
              </w:rPr>
            </w:pPr>
            <w:r w:rsidRPr="00E9548F">
              <w:rPr>
                <w:sz w:val="20"/>
              </w:rPr>
              <w:t>This study aimed to investigate the efficacy of a pre-procedural white blood cell (WBC) count in the prediction of contrast-induced acute kidney injury (CI-AKI) risk in coronary artery disease patients receiving a percutaneous coronary intervention (PCI). This observational study comprises a sample of 1013 coronary artery disease patients (including ACS and stable angina) receiving PCI, gathered from September 2015 to July 2017.CI-AKI incidence in the study population was 4.8% (49/1013). Patients in the CI-AKI group had significantly higher WBC counts than those in the non-CI-AKI group (10.41± 5.37 VS 8.09 ± 3.10, P=0.004). Logistic analysis showed that WBC count (odds ratio [OR]: 1.12, 95% CI:1.03-1.21, P=0.006) was a significant and independent predictor of CI-AKI risk in patients receiving PCI, Receiver-operating characteristic (ROC) curve analysis found that pre-procedural WBC count ≥11.03*109/L was the optimal cut-off value in the prediction of CI-AKI risk with a sensitivity of 41.0% and a specificity of 86.5%. Patients with CI-AKI had a significantly worse 1-year survival rate than patients without CI-AKI (91.8% vs 97.6%, P =0.012). In summary, increased pre-procedural WBC count is associated with an increased risk of developing CI-AKI in patients receiving PCI.</w:t>
            </w:r>
          </w:p>
        </w:tc>
      </w:tr>
      <w:tr w:rsidR="00191A23" w:rsidRPr="0022554A" w:rsidTr="00E9548F">
        <w:tc>
          <w:tcPr>
            <w:tcW w:w="8100" w:type="dxa"/>
            <w:gridSpan w:val="4"/>
          </w:tcPr>
          <w:p w:rsidR="00191A23" w:rsidRPr="0022554A" w:rsidRDefault="00191A23" w:rsidP="0022554A">
            <w:pPr>
              <w:pStyle w:val="TableSubHead"/>
              <w:tabs>
                <w:tab w:val="left" w:pos="5400"/>
              </w:tabs>
              <w:rPr>
                <w:sz w:val="20"/>
              </w:rPr>
            </w:pPr>
            <w:bookmarkStart w:id="14" w:name="bold7"/>
            <w:bookmarkStart w:id="15" w:name="italic8"/>
            <w:bookmarkEnd w:id="12"/>
            <w:bookmarkEnd w:id="13"/>
            <w:r w:rsidRPr="0022554A">
              <w:rPr>
                <w:sz w:val="20"/>
              </w:rPr>
              <w:t>Introduction</w:t>
            </w:r>
          </w:p>
        </w:tc>
        <w:bookmarkEnd w:id="14"/>
        <w:bookmarkEnd w:id="15"/>
        <w:tc>
          <w:tcPr>
            <w:tcW w:w="6892" w:type="dxa"/>
          </w:tcPr>
          <w:p w:rsidR="00191A23" w:rsidRPr="0022554A" w:rsidRDefault="00191A23" w:rsidP="0022554A">
            <w:pPr>
              <w:pStyle w:val="TableSubHead"/>
              <w:tabs>
                <w:tab w:val="left" w:pos="5400"/>
              </w:tabs>
              <w:rPr>
                <w:sz w:val="20"/>
              </w:rPr>
            </w:pPr>
          </w:p>
        </w:tc>
      </w:tr>
      <w:tr w:rsidR="00191A23" w:rsidRPr="0022554A" w:rsidTr="00E9548F">
        <w:tc>
          <w:tcPr>
            <w:tcW w:w="1951" w:type="dxa"/>
          </w:tcPr>
          <w:p w:rsidR="00191A23" w:rsidRPr="0022554A" w:rsidRDefault="00191A23" w:rsidP="0022554A">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616" w:type="dxa"/>
          </w:tcPr>
          <w:p w:rsidR="00191A23" w:rsidRPr="0022554A" w:rsidRDefault="00191A23" w:rsidP="0022554A">
            <w:pPr>
              <w:tabs>
                <w:tab w:val="left" w:pos="5400"/>
              </w:tabs>
              <w:jc w:val="center"/>
              <w:rPr>
                <w:sz w:val="20"/>
              </w:rPr>
            </w:pPr>
            <w:r w:rsidRPr="0022554A">
              <w:rPr>
                <w:sz w:val="20"/>
              </w:rPr>
              <w:t>2</w:t>
            </w:r>
          </w:p>
        </w:tc>
        <w:tc>
          <w:tcPr>
            <w:tcW w:w="4903"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630" w:type="dxa"/>
          </w:tcPr>
          <w:p w:rsidR="00191A23" w:rsidRPr="0022554A" w:rsidRDefault="008A68C4" w:rsidP="0022554A">
            <w:pPr>
              <w:tabs>
                <w:tab w:val="left" w:pos="5400"/>
              </w:tabs>
              <w:rPr>
                <w:sz w:val="20"/>
              </w:rPr>
            </w:pPr>
            <w:r>
              <w:rPr>
                <w:sz w:val="20"/>
              </w:rPr>
              <w:t>2-3</w:t>
            </w:r>
          </w:p>
        </w:tc>
        <w:tc>
          <w:tcPr>
            <w:tcW w:w="6892" w:type="dxa"/>
          </w:tcPr>
          <w:p w:rsidR="00191A23" w:rsidRPr="00E9548F" w:rsidRDefault="00E9548F" w:rsidP="00E9548F">
            <w:pPr>
              <w:tabs>
                <w:tab w:val="left" w:pos="5400"/>
              </w:tabs>
              <w:rPr>
                <w:rFonts w:ascii="SimSun" w:hAnsi="SimSun" w:cs="SimSun" w:hint="eastAsia"/>
                <w:sz w:val="20"/>
                <w:lang w:eastAsia="zh-CN"/>
              </w:rPr>
            </w:pPr>
            <w:r w:rsidRPr="00E9548F">
              <w:rPr>
                <w:sz w:val="20"/>
              </w:rPr>
              <w:t>Contrast-induced acute kidney injury (CI-AKI) is a common complication arising among patients receiving percutaneous coronary intervention (PCI</w:t>
            </w:r>
            <w:proofErr w:type="gramStart"/>
            <w:r w:rsidRPr="00E9548F">
              <w:rPr>
                <w:sz w:val="20"/>
              </w:rPr>
              <w:t xml:space="preserve">) </w:t>
            </w:r>
            <w:r>
              <w:rPr>
                <w:sz w:val="20"/>
              </w:rPr>
              <w:t>.</w:t>
            </w:r>
            <w:proofErr w:type="gramEnd"/>
            <w:r>
              <w:rPr>
                <w:sz w:val="20"/>
              </w:rPr>
              <w:t xml:space="preserve"> </w:t>
            </w:r>
            <w:r w:rsidRPr="00E9548F">
              <w:rPr>
                <w:sz w:val="20"/>
              </w:rPr>
              <w:t>The incidence of CI-AKI is 2% for the general population; however, patients receiving PCI are at higher risk of developing CI-AKI, and patients who also suffer from chronic kidney disease and/or diabetes have a risk of almost 50%. Currently, there is no effective medication used to treat CI-AKI</w:t>
            </w:r>
            <w:r>
              <w:rPr>
                <w:sz w:val="20"/>
              </w:rPr>
              <w:t>, which</w:t>
            </w:r>
            <w:r w:rsidRPr="00E9548F">
              <w:rPr>
                <w:sz w:val="20"/>
              </w:rPr>
              <w:t xml:space="preserve"> emphasizes the need for clinical efforts to prevent its development prior to diagnosis. The inflammation response </w:t>
            </w:r>
            <w:r w:rsidRPr="00E9548F">
              <w:rPr>
                <w:sz w:val="20"/>
              </w:rPr>
              <w:lastRenderedPageBreak/>
              <w:t>has been found to significantly impact the development of CI-AKI.WBC count, leukocyte count, platelet-to-lymphocyte ratio, and WBC differential are widely recognized as indications of inflammatio</w:t>
            </w:r>
            <w:r>
              <w:rPr>
                <w:rFonts w:hint="eastAsia"/>
                <w:sz w:val="20"/>
                <w:lang w:eastAsia="zh-CN"/>
              </w:rPr>
              <w:t>n.</w:t>
            </w:r>
          </w:p>
        </w:tc>
      </w:tr>
      <w:tr w:rsidR="00191A23" w:rsidRPr="0022554A" w:rsidTr="00E9548F">
        <w:tc>
          <w:tcPr>
            <w:tcW w:w="1951" w:type="dxa"/>
          </w:tcPr>
          <w:p w:rsidR="00191A23" w:rsidRPr="0022554A" w:rsidRDefault="00191A23" w:rsidP="0022554A">
            <w:pPr>
              <w:tabs>
                <w:tab w:val="left" w:pos="5400"/>
              </w:tabs>
              <w:rPr>
                <w:bCs/>
                <w:sz w:val="20"/>
              </w:rPr>
            </w:pPr>
            <w:bookmarkStart w:id="20" w:name="bold10" w:colFirst="0" w:colLast="0"/>
            <w:bookmarkStart w:id="21" w:name="italic11" w:colFirst="0" w:colLast="0"/>
            <w:r w:rsidRPr="0022554A">
              <w:rPr>
                <w:bCs/>
                <w:sz w:val="20"/>
              </w:rPr>
              <w:lastRenderedPageBreak/>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4903"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630" w:type="dxa"/>
          </w:tcPr>
          <w:p w:rsidR="00191A23" w:rsidRPr="0022554A" w:rsidRDefault="00C367B7" w:rsidP="0022554A">
            <w:pPr>
              <w:tabs>
                <w:tab w:val="left" w:pos="5400"/>
              </w:tabs>
              <w:rPr>
                <w:sz w:val="20"/>
              </w:rPr>
            </w:pPr>
            <w:r>
              <w:rPr>
                <w:sz w:val="20"/>
              </w:rPr>
              <w:t>3</w:t>
            </w:r>
          </w:p>
        </w:tc>
        <w:tc>
          <w:tcPr>
            <w:tcW w:w="6892" w:type="dxa"/>
          </w:tcPr>
          <w:p w:rsidR="00191A23" w:rsidRPr="0022554A" w:rsidRDefault="00E9548F" w:rsidP="0022554A">
            <w:pPr>
              <w:tabs>
                <w:tab w:val="left" w:pos="5400"/>
              </w:tabs>
              <w:rPr>
                <w:sz w:val="20"/>
              </w:rPr>
            </w:pPr>
            <w:r w:rsidRPr="00E9548F">
              <w:rPr>
                <w:sz w:val="20"/>
              </w:rPr>
              <w:t>this study aimed to investigate the relationships between pre-procedure WBC count and CI-AKI incidence in patients with coronary artery disease receiving PCI.</w:t>
            </w:r>
          </w:p>
        </w:tc>
      </w:tr>
      <w:tr w:rsidR="00191A23" w:rsidRPr="0022554A" w:rsidTr="00E9548F">
        <w:tc>
          <w:tcPr>
            <w:tcW w:w="8100" w:type="dxa"/>
            <w:gridSpan w:val="4"/>
          </w:tcPr>
          <w:p w:rsidR="00191A23" w:rsidRPr="0022554A" w:rsidRDefault="00191A23" w:rsidP="0022554A">
            <w:pPr>
              <w:pStyle w:val="TableSubHead"/>
              <w:tabs>
                <w:tab w:val="left" w:pos="5400"/>
              </w:tabs>
              <w:rPr>
                <w:sz w:val="20"/>
              </w:rPr>
            </w:pPr>
            <w:bookmarkStart w:id="22" w:name="bold11"/>
            <w:bookmarkStart w:id="23" w:name="italic12"/>
            <w:bookmarkEnd w:id="20"/>
            <w:bookmarkEnd w:id="21"/>
            <w:r w:rsidRPr="0022554A">
              <w:rPr>
                <w:sz w:val="20"/>
              </w:rPr>
              <w:t>Methods</w:t>
            </w:r>
          </w:p>
        </w:tc>
        <w:bookmarkEnd w:id="22"/>
        <w:bookmarkEnd w:id="23"/>
        <w:tc>
          <w:tcPr>
            <w:tcW w:w="6892" w:type="dxa"/>
          </w:tcPr>
          <w:p w:rsidR="00191A23" w:rsidRPr="0022554A" w:rsidRDefault="00191A23" w:rsidP="0022554A">
            <w:pPr>
              <w:pStyle w:val="TableSubHead"/>
              <w:tabs>
                <w:tab w:val="left" w:pos="5400"/>
              </w:tabs>
              <w:rPr>
                <w:sz w:val="20"/>
              </w:rPr>
            </w:pPr>
          </w:p>
        </w:tc>
      </w:tr>
      <w:tr w:rsidR="00191A23" w:rsidRPr="0022554A" w:rsidTr="00E9548F">
        <w:tc>
          <w:tcPr>
            <w:tcW w:w="1951" w:type="dxa"/>
          </w:tcPr>
          <w:p w:rsidR="00191A23" w:rsidRPr="0022554A" w:rsidRDefault="00191A23"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4903"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630" w:type="dxa"/>
          </w:tcPr>
          <w:p w:rsidR="00191A23" w:rsidRPr="0022554A" w:rsidRDefault="00B93760" w:rsidP="0022554A">
            <w:pPr>
              <w:tabs>
                <w:tab w:val="left" w:pos="5400"/>
              </w:tabs>
              <w:rPr>
                <w:sz w:val="20"/>
              </w:rPr>
            </w:pPr>
            <w:r>
              <w:rPr>
                <w:sz w:val="20"/>
              </w:rPr>
              <w:t>3</w:t>
            </w:r>
          </w:p>
        </w:tc>
        <w:tc>
          <w:tcPr>
            <w:tcW w:w="6892" w:type="dxa"/>
          </w:tcPr>
          <w:p w:rsidR="00191A23" w:rsidRPr="0022554A" w:rsidRDefault="008120DB" w:rsidP="0022554A">
            <w:pPr>
              <w:tabs>
                <w:tab w:val="left" w:pos="5400"/>
              </w:tabs>
              <w:rPr>
                <w:sz w:val="20"/>
              </w:rPr>
            </w:pPr>
            <w:r w:rsidRPr="008120DB">
              <w:rPr>
                <w:sz w:val="20"/>
              </w:rPr>
              <w:t xml:space="preserve">This study was a prospective observation study of consecutive patients who underwent PCI at 2 clinical centers in China </w:t>
            </w:r>
          </w:p>
        </w:tc>
      </w:tr>
      <w:tr w:rsidR="00191A23" w:rsidRPr="0022554A" w:rsidTr="00E9548F">
        <w:tc>
          <w:tcPr>
            <w:tcW w:w="1951" w:type="dxa"/>
          </w:tcPr>
          <w:p w:rsidR="00191A23" w:rsidRPr="0022554A" w:rsidRDefault="00191A23"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4903"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630" w:type="dxa"/>
          </w:tcPr>
          <w:p w:rsidR="00191A23" w:rsidRPr="0022554A" w:rsidRDefault="00B93760" w:rsidP="0022554A">
            <w:pPr>
              <w:tabs>
                <w:tab w:val="left" w:pos="5400"/>
              </w:tabs>
              <w:rPr>
                <w:sz w:val="20"/>
              </w:rPr>
            </w:pPr>
            <w:r>
              <w:rPr>
                <w:sz w:val="20"/>
              </w:rPr>
              <w:t>3-</w:t>
            </w:r>
            <w:r w:rsidR="00C367B7">
              <w:rPr>
                <w:sz w:val="20"/>
              </w:rPr>
              <w:t>5</w:t>
            </w:r>
          </w:p>
        </w:tc>
        <w:tc>
          <w:tcPr>
            <w:tcW w:w="6892" w:type="dxa"/>
          </w:tcPr>
          <w:p w:rsidR="00191A23" w:rsidRDefault="00CF2813" w:rsidP="0022554A">
            <w:pPr>
              <w:tabs>
                <w:tab w:val="left" w:pos="5400"/>
              </w:tabs>
              <w:rPr>
                <w:sz w:val="20"/>
              </w:rPr>
            </w:pPr>
            <w:r w:rsidRPr="00CF2813">
              <w:rPr>
                <w:sz w:val="20"/>
              </w:rPr>
              <w:t>A</w:t>
            </w:r>
            <w:r w:rsidRPr="00CF2813">
              <w:rPr>
                <w:sz w:val="20"/>
              </w:rPr>
              <w:t xml:space="preserve"> prospective observation study of consecutive patients who underwent PCI at 2 clinical centers in China between September 1, 2015, and September 1, 2017.</w:t>
            </w:r>
            <w:r>
              <w:t xml:space="preserve"> </w:t>
            </w:r>
            <w:r w:rsidRPr="00CF2813">
              <w:rPr>
                <w:sz w:val="20"/>
              </w:rPr>
              <w:t>Adult patients (18 years of age or older) with documented serum creatinine (</w:t>
            </w:r>
            <w:proofErr w:type="spellStart"/>
            <w:r w:rsidRPr="00CF2813">
              <w:rPr>
                <w:sz w:val="20"/>
              </w:rPr>
              <w:t>SCr</w:t>
            </w:r>
            <w:proofErr w:type="spellEnd"/>
            <w:r w:rsidRPr="00CF2813">
              <w:rPr>
                <w:sz w:val="20"/>
              </w:rPr>
              <w:t>) records, both pre- and post-PCI (within 72 hr after the procedure), were included.</w:t>
            </w:r>
          </w:p>
          <w:p w:rsidR="00CF2813" w:rsidRPr="0022554A" w:rsidRDefault="00CF2813" w:rsidP="000550C9">
            <w:pPr>
              <w:rPr>
                <w:sz w:val="20"/>
              </w:rPr>
            </w:pPr>
            <w:r w:rsidRPr="00CF2813">
              <w:rPr>
                <w:rFonts w:hint="eastAsia"/>
                <w:sz w:val="20"/>
              </w:rPr>
              <w:t xml:space="preserve">CI-AKI was defined as an increase in serum creatinine by </w:t>
            </w:r>
            <w:r w:rsidRPr="00CF2813">
              <w:rPr>
                <w:rFonts w:hint="eastAsia"/>
                <w:sz w:val="20"/>
              </w:rPr>
              <w:t>≥</w:t>
            </w:r>
            <w:r w:rsidRPr="00CF2813">
              <w:rPr>
                <w:rFonts w:hint="eastAsia"/>
                <w:sz w:val="20"/>
              </w:rPr>
              <w:t xml:space="preserve"> 0.5mg/dl or a relative </w:t>
            </w:r>
            <w:r w:rsidRPr="00CF2813">
              <w:rPr>
                <w:rFonts w:hint="eastAsia"/>
                <w:sz w:val="20"/>
              </w:rPr>
              <w:t>≥</w:t>
            </w:r>
            <w:r w:rsidRPr="00CF2813">
              <w:rPr>
                <w:rFonts w:hint="eastAsia"/>
                <w:sz w:val="20"/>
              </w:rPr>
              <w:t xml:space="preserve"> 25% within 72 hours following the procedure, without another clear cause for acute kidney injury. </w:t>
            </w:r>
            <w:r w:rsidRPr="00CF2813">
              <w:rPr>
                <w:sz w:val="20"/>
              </w:rPr>
              <w:t>All patients underwent a follow-up evaluation at the 1-year mark, either during a clinical visit or via telephone contact. An independent clinical events committee, unaware of the details of the study, evaluated all adverse events.</w:t>
            </w:r>
          </w:p>
        </w:tc>
      </w:tr>
      <w:bookmarkEnd w:id="26"/>
      <w:bookmarkEnd w:id="27"/>
      <w:tr w:rsidR="00191A23" w:rsidRPr="0022554A" w:rsidTr="00E9548F">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4903"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630" w:type="dxa"/>
          </w:tcPr>
          <w:p w:rsidR="00191A23" w:rsidRPr="0022554A" w:rsidRDefault="00B93760" w:rsidP="0022554A">
            <w:pPr>
              <w:tabs>
                <w:tab w:val="left" w:pos="5400"/>
              </w:tabs>
              <w:rPr>
                <w:sz w:val="20"/>
              </w:rPr>
            </w:pPr>
            <w:r>
              <w:rPr>
                <w:sz w:val="20"/>
              </w:rPr>
              <w:t>3-</w:t>
            </w:r>
            <w:r w:rsidR="00CF2813">
              <w:rPr>
                <w:sz w:val="20"/>
              </w:rPr>
              <w:t>5</w:t>
            </w:r>
          </w:p>
        </w:tc>
        <w:tc>
          <w:tcPr>
            <w:tcW w:w="6892" w:type="dxa"/>
          </w:tcPr>
          <w:p w:rsidR="00191A23" w:rsidRDefault="008120DB" w:rsidP="0022554A">
            <w:pPr>
              <w:tabs>
                <w:tab w:val="left" w:pos="5400"/>
              </w:tabs>
              <w:rPr>
                <w:sz w:val="20"/>
              </w:rPr>
            </w:pPr>
            <w:r w:rsidRPr="008120DB">
              <w:rPr>
                <w:sz w:val="20"/>
              </w:rPr>
              <w:t>Adult patients (18 years of age or older) with documented serum creatinine (</w:t>
            </w:r>
            <w:proofErr w:type="spellStart"/>
            <w:r w:rsidRPr="008120DB">
              <w:rPr>
                <w:sz w:val="20"/>
              </w:rPr>
              <w:t>SCr</w:t>
            </w:r>
            <w:proofErr w:type="spellEnd"/>
            <w:r w:rsidRPr="008120DB">
              <w:rPr>
                <w:sz w:val="20"/>
              </w:rPr>
              <w:t xml:space="preserve">) records, both pre- and post-PCI (within 72 hr after the procedure), were included. The exclusion criteria for the study included individuals who had failed PCI, those with hemodynamic instability or class IV heart </w:t>
            </w:r>
            <w:proofErr w:type="gramStart"/>
            <w:r w:rsidRPr="008120DB">
              <w:rPr>
                <w:sz w:val="20"/>
              </w:rPr>
              <w:t>failure(</w:t>
            </w:r>
            <w:proofErr w:type="gramEnd"/>
            <w:r w:rsidRPr="008120DB">
              <w:rPr>
                <w:sz w:val="20"/>
              </w:rPr>
              <w:t>as defined by the NYHA functional classification system), stage 4 or higher chronic kidney disease, hypersensitivity to contrast medium, anyone who had been exposed to a second contrast medium within one week of the exposure to the first, and those who had received metformin or aminophylline within the 2 weeks prior to PCI.</w:t>
            </w:r>
          </w:p>
          <w:p w:rsidR="008120DB" w:rsidRDefault="008120DB" w:rsidP="0022554A">
            <w:pPr>
              <w:tabs>
                <w:tab w:val="left" w:pos="5400"/>
              </w:tabs>
              <w:rPr>
                <w:sz w:val="20"/>
              </w:rPr>
            </w:pPr>
            <w:r w:rsidRPr="008120DB">
              <w:rPr>
                <w:sz w:val="20"/>
              </w:rPr>
              <w:t xml:space="preserve">All patients who were treated with drug-eluting stents and received dual antiplatelet therapy (aspirin associated with clopidogrel or ticagrelor) were recommended for 12 months. At the time of hospital admission, patients received a loading dose of 300mg aspirin followed by 100mg/day and either a loading dose of 300mg clopidogrel followed by 75mg/day or a loading dose of 180mg ticagrelor </w:t>
            </w:r>
            <w:r w:rsidRPr="008120DB">
              <w:rPr>
                <w:sz w:val="20"/>
              </w:rPr>
              <w:lastRenderedPageBreak/>
              <w:t>followed by 90mg/day as P2Y12 inhibitor. PCI was performed according to standard clinical practice, and PCI procedures were achieved through the radial approach by experienced interventional cardiologists. Professional operators and radiologists can choose to use Visipaque or Iohexol for contrast-enhanced procedures. Procedural anticoagulation was performed by administering unfractionated heparin to target an activated clotting time of 250 to 300 s. At the decision of the professional operator’s discretion, perioperative statin (rosuvastatin 20mg/day or atorvastatin 10mg/day), ACEI/ARB inhibitor, beta-blocker, proton pump inhibitor, and intra coronary or intravenous glycoprotein IIb/IIIa inhibitor was also administered during PCI.</w:t>
            </w:r>
          </w:p>
          <w:p w:rsidR="008120DB" w:rsidRDefault="008120DB" w:rsidP="0022554A">
            <w:pPr>
              <w:tabs>
                <w:tab w:val="left" w:pos="5400"/>
              </w:tabs>
              <w:rPr>
                <w:sz w:val="20"/>
                <w:lang w:eastAsia="zh-CN"/>
              </w:rPr>
            </w:pPr>
            <w:r w:rsidRPr="008120DB">
              <w:rPr>
                <w:sz w:val="20"/>
              </w:rPr>
              <w:t>All patients were given intravenous hydration. Standard hydration therapy, using saline or bicarbonate solution, was administered at the physician's discretion. All patients received pre- and post-procedural hydration with saline or bicarbonate solution at a rate of 1mL/kg/h for 12 hours. If a patient’s ejection fraction (EF) was below 40% during PCI, hydration was initiated at a rate of 0.5 mL/kg/hr and continued for 18 to 24 hours post-emergency PCI</w:t>
            </w:r>
            <w:r>
              <w:rPr>
                <w:rFonts w:hint="eastAsia"/>
                <w:sz w:val="20"/>
                <w:lang w:eastAsia="zh-CN"/>
              </w:rPr>
              <w:t>.</w:t>
            </w:r>
          </w:p>
          <w:p w:rsidR="00CF2813" w:rsidRPr="0022554A" w:rsidRDefault="00CF2813" w:rsidP="0022554A">
            <w:pPr>
              <w:tabs>
                <w:tab w:val="left" w:pos="5400"/>
              </w:tabs>
              <w:rPr>
                <w:rFonts w:hint="eastAsia"/>
                <w:sz w:val="20"/>
                <w:lang w:eastAsia="zh-CN"/>
              </w:rPr>
            </w:pPr>
            <w:r w:rsidRPr="00CF2813">
              <w:rPr>
                <w:sz w:val="20"/>
                <w:lang w:eastAsia="zh-CN"/>
              </w:rPr>
              <w:t>All patients underwent a follow-up evaluation at the 1-year mark, either during a clinical visit or via telephone contact. An independent clinical events committee, unaware of the details of the study, evaluated all adverse events.</w:t>
            </w:r>
          </w:p>
        </w:tc>
      </w:tr>
      <w:tr w:rsidR="00191A23" w:rsidRPr="0022554A" w:rsidTr="00E9548F">
        <w:tc>
          <w:tcPr>
            <w:tcW w:w="1951" w:type="dxa"/>
            <w:vMerge/>
          </w:tcPr>
          <w:p w:rsidR="00191A23" w:rsidRPr="0022554A" w:rsidRDefault="00191A23" w:rsidP="0022554A">
            <w:pPr>
              <w:tabs>
                <w:tab w:val="left" w:pos="5400"/>
              </w:tabs>
              <w:rPr>
                <w:bCs/>
                <w:sz w:val="20"/>
              </w:rPr>
            </w:pPr>
            <w:bookmarkStart w:id="28" w:name="bold14" w:colFirst="0" w:colLast="0"/>
            <w:bookmarkStart w:id="29" w:name="italic15" w:colFirst="0" w:colLast="0"/>
          </w:p>
        </w:tc>
        <w:tc>
          <w:tcPr>
            <w:tcW w:w="616" w:type="dxa"/>
            <w:vMerge/>
          </w:tcPr>
          <w:p w:rsidR="00191A23" w:rsidRPr="0022554A" w:rsidRDefault="00191A23" w:rsidP="0022554A">
            <w:pPr>
              <w:tabs>
                <w:tab w:val="left" w:pos="5400"/>
              </w:tabs>
              <w:jc w:val="center"/>
              <w:rPr>
                <w:sz w:val="20"/>
              </w:rPr>
            </w:pPr>
          </w:p>
        </w:tc>
        <w:tc>
          <w:tcPr>
            <w:tcW w:w="4903"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630" w:type="dxa"/>
          </w:tcPr>
          <w:p w:rsidR="00191A23" w:rsidRPr="0022554A" w:rsidRDefault="00191A23" w:rsidP="0022554A">
            <w:pPr>
              <w:tabs>
                <w:tab w:val="left" w:pos="5400"/>
              </w:tabs>
              <w:rPr>
                <w:sz w:val="20"/>
              </w:rPr>
            </w:pPr>
          </w:p>
        </w:tc>
        <w:tc>
          <w:tcPr>
            <w:tcW w:w="6892" w:type="dxa"/>
          </w:tcPr>
          <w:p w:rsidR="00191A23" w:rsidRPr="0022554A" w:rsidRDefault="00191A23" w:rsidP="0022554A">
            <w:pPr>
              <w:tabs>
                <w:tab w:val="left" w:pos="5400"/>
              </w:tabs>
              <w:rPr>
                <w:sz w:val="20"/>
              </w:rPr>
            </w:pPr>
          </w:p>
        </w:tc>
      </w:tr>
      <w:tr w:rsidR="00191A23" w:rsidRPr="0022554A" w:rsidTr="00E9548F">
        <w:tc>
          <w:tcPr>
            <w:tcW w:w="1951" w:type="dxa"/>
          </w:tcPr>
          <w:p w:rsidR="00191A23" w:rsidRPr="0022554A" w:rsidRDefault="00191A23" w:rsidP="0022554A">
            <w:pPr>
              <w:tabs>
                <w:tab w:val="left" w:pos="5400"/>
              </w:tabs>
              <w:rPr>
                <w:bCs/>
                <w:sz w:val="20"/>
              </w:rPr>
            </w:pPr>
            <w:bookmarkStart w:id="30" w:name="bold16" w:colFirst="0" w:colLast="0"/>
            <w:bookmarkStart w:id="31" w:name="italic17" w:colFirst="0" w:colLast="0"/>
            <w:bookmarkEnd w:id="28"/>
            <w:bookmarkEnd w:id="29"/>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4903"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630" w:type="dxa"/>
          </w:tcPr>
          <w:p w:rsidR="00191A23" w:rsidRPr="0022554A" w:rsidRDefault="000550C9" w:rsidP="0022554A">
            <w:pPr>
              <w:tabs>
                <w:tab w:val="left" w:pos="5400"/>
              </w:tabs>
              <w:rPr>
                <w:sz w:val="20"/>
              </w:rPr>
            </w:pPr>
            <w:r>
              <w:rPr>
                <w:sz w:val="20"/>
              </w:rPr>
              <w:t>4</w:t>
            </w:r>
          </w:p>
        </w:tc>
        <w:tc>
          <w:tcPr>
            <w:tcW w:w="6892" w:type="dxa"/>
          </w:tcPr>
          <w:p w:rsidR="00191A23" w:rsidRPr="0022554A" w:rsidRDefault="000550C9" w:rsidP="000550C9">
            <w:pPr>
              <w:rPr>
                <w:sz w:val="20"/>
              </w:rPr>
            </w:pPr>
            <w:r w:rsidRPr="000550C9">
              <w:rPr>
                <w:rFonts w:hint="eastAsia"/>
                <w:sz w:val="20"/>
              </w:rPr>
              <w:t xml:space="preserve">CI-AKI was defined as an increase in serum creatinine by </w:t>
            </w:r>
            <w:r w:rsidRPr="000550C9">
              <w:rPr>
                <w:rFonts w:hint="eastAsia"/>
                <w:sz w:val="20"/>
              </w:rPr>
              <w:t>≥</w:t>
            </w:r>
            <w:r w:rsidRPr="000550C9">
              <w:rPr>
                <w:rFonts w:hint="eastAsia"/>
                <w:sz w:val="20"/>
              </w:rPr>
              <w:t xml:space="preserve"> 0.5mg/dl or a relative </w:t>
            </w:r>
            <w:r w:rsidRPr="000550C9">
              <w:rPr>
                <w:rFonts w:hint="eastAsia"/>
                <w:sz w:val="20"/>
              </w:rPr>
              <w:t>≥</w:t>
            </w:r>
            <w:r w:rsidRPr="000550C9">
              <w:rPr>
                <w:rFonts w:hint="eastAsia"/>
                <w:sz w:val="20"/>
              </w:rPr>
              <w:t xml:space="preserve"> 25% within 72 hours following the procedure, without another clear cause for acute kidney injury</w:t>
            </w:r>
            <w:r>
              <w:rPr>
                <w:sz w:val="20"/>
              </w:rPr>
              <w:t>.</w:t>
            </w:r>
          </w:p>
        </w:tc>
      </w:tr>
      <w:tr w:rsidR="00191A23" w:rsidRPr="0022554A" w:rsidTr="00E9548F">
        <w:trPr>
          <w:trHeight w:val="294"/>
        </w:trPr>
        <w:tc>
          <w:tcPr>
            <w:tcW w:w="1951" w:type="dxa"/>
          </w:tcPr>
          <w:p w:rsidR="00191A23" w:rsidRPr="0022554A" w:rsidRDefault="00191A23" w:rsidP="0022554A">
            <w:pPr>
              <w:tabs>
                <w:tab w:val="left" w:pos="5400"/>
              </w:tabs>
              <w:rPr>
                <w:bCs/>
                <w:sz w:val="20"/>
              </w:rPr>
            </w:pPr>
            <w:bookmarkStart w:id="32" w:name="bold17"/>
            <w:bookmarkStart w:id="33" w:name="italic18"/>
            <w:bookmarkEnd w:id="30"/>
            <w:bookmarkEnd w:id="31"/>
            <w:r w:rsidRPr="0022554A">
              <w:rPr>
                <w:bCs/>
                <w:sz w:val="20"/>
              </w:rPr>
              <w:t>Data sources/</w:t>
            </w:r>
            <w:bookmarkStart w:id="34" w:name="bold18"/>
            <w:bookmarkStart w:id="35" w:name="italic19"/>
            <w:bookmarkEnd w:id="32"/>
            <w:bookmarkEnd w:id="33"/>
            <w:r>
              <w:rPr>
                <w:bCs/>
                <w:sz w:val="20"/>
              </w:rPr>
              <w:t xml:space="preserve"> </w:t>
            </w:r>
            <w:r w:rsidRPr="0022554A">
              <w:rPr>
                <w:bCs/>
                <w:sz w:val="20"/>
              </w:rPr>
              <w:t>measurement</w:t>
            </w:r>
            <w:bookmarkEnd w:id="34"/>
            <w:bookmarkEnd w:id="35"/>
          </w:p>
        </w:tc>
        <w:tc>
          <w:tcPr>
            <w:tcW w:w="616" w:type="dxa"/>
          </w:tcPr>
          <w:p w:rsidR="00191A23" w:rsidRPr="0022554A" w:rsidRDefault="00191A23" w:rsidP="0022554A">
            <w:pPr>
              <w:tabs>
                <w:tab w:val="left" w:pos="5400"/>
              </w:tabs>
              <w:jc w:val="center"/>
              <w:rPr>
                <w:sz w:val="20"/>
              </w:rPr>
            </w:pPr>
            <w:r w:rsidRPr="0022554A">
              <w:rPr>
                <w:sz w:val="20"/>
              </w:rPr>
              <w:t>8</w:t>
            </w:r>
            <w:bookmarkStart w:id="36" w:name="bold19"/>
            <w:r w:rsidRPr="0022554A">
              <w:rPr>
                <w:bCs/>
                <w:sz w:val="20"/>
              </w:rPr>
              <w:t>*</w:t>
            </w:r>
            <w:bookmarkEnd w:id="36"/>
          </w:p>
        </w:tc>
        <w:tc>
          <w:tcPr>
            <w:tcW w:w="4903"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630" w:type="dxa"/>
          </w:tcPr>
          <w:p w:rsidR="00191A23" w:rsidRPr="00B93760" w:rsidRDefault="00B93760" w:rsidP="0022554A">
            <w:pPr>
              <w:tabs>
                <w:tab w:val="left" w:pos="5400"/>
              </w:tabs>
              <w:rPr>
                <w:iCs/>
                <w:sz w:val="20"/>
              </w:rPr>
            </w:pPr>
            <w:r w:rsidRPr="00B93760">
              <w:rPr>
                <w:iCs/>
                <w:sz w:val="20"/>
              </w:rPr>
              <w:t>4</w:t>
            </w:r>
            <w:r w:rsidR="000550C9">
              <w:rPr>
                <w:iCs/>
                <w:sz w:val="20"/>
              </w:rPr>
              <w:t>-5</w:t>
            </w:r>
          </w:p>
        </w:tc>
        <w:tc>
          <w:tcPr>
            <w:tcW w:w="6892" w:type="dxa"/>
          </w:tcPr>
          <w:p w:rsidR="00191A23" w:rsidRPr="000550C9" w:rsidRDefault="000550C9" w:rsidP="0022554A">
            <w:pPr>
              <w:tabs>
                <w:tab w:val="left" w:pos="5400"/>
              </w:tabs>
              <w:rPr>
                <w:rFonts w:hint="eastAsia"/>
                <w:iCs/>
                <w:sz w:val="20"/>
                <w:lang w:eastAsia="zh-CN"/>
              </w:rPr>
            </w:pPr>
            <w:r w:rsidRPr="000550C9">
              <w:rPr>
                <w:iCs/>
                <w:sz w:val="20"/>
                <w:lang w:eastAsia="zh-CN"/>
              </w:rPr>
              <w:t xml:space="preserve">Blood samples were collected at admission and 48-72 hours after CM administration to measure </w:t>
            </w:r>
            <w:proofErr w:type="spellStart"/>
            <w:r w:rsidRPr="000550C9">
              <w:rPr>
                <w:iCs/>
                <w:sz w:val="20"/>
                <w:lang w:eastAsia="zh-CN"/>
              </w:rPr>
              <w:t>Scr</w:t>
            </w:r>
            <w:proofErr w:type="spellEnd"/>
            <w:r w:rsidRPr="000550C9">
              <w:rPr>
                <w:iCs/>
                <w:sz w:val="20"/>
                <w:lang w:eastAsia="zh-CN"/>
              </w:rPr>
              <w:t xml:space="preserve"> concentrations. To define CI-AKI, the highest </w:t>
            </w:r>
            <w:proofErr w:type="spellStart"/>
            <w:r w:rsidRPr="000550C9">
              <w:rPr>
                <w:iCs/>
                <w:sz w:val="20"/>
                <w:lang w:eastAsia="zh-CN"/>
              </w:rPr>
              <w:t>Scr</w:t>
            </w:r>
            <w:proofErr w:type="spellEnd"/>
            <w:r w:rsidRPr="000550C9">
              <w:rPr>
                <w:iCs/>
                <w:sz w:val="20"/>
                <w:lang w:eastAsia="zh-CN"/>
              </w:rPr>
              <w:t xml:space="preserve"> value after the procedure was considered. Upon hospital admission, a specific clinical laboratory conducted a baseline measurement of the patient's WBC count. Upon hospital admission, a specific clinical laboratory conducted a baseline </w:t>
            </w:r>
            <w:r w:rsidRPr="000550C9">
              <w:rPr>
                <w:iCs/>
                <w:sz w:val="20"/>
                <w:lang w:eastAsia="zh-CN"/>
              </w:rPr>
              <w:lastRenderedPageBreak/>
              <w:t xml:space="preserve">measurement of the patient's WBC count. in the Third </w:t>
            </w:r>
            <w:proofErr w:type="spellStart"/>
            <w:r w:rsidRPr="000550C9">
              <w:rPr>
                <w:iCs/>
                <w:sz w:val="20"/>
                <w:lang w:eastAsia="zh-CN"/>
              </w:rPr>
              <w:t>Xiangya</w:t>
            </w:r>
            <w:proofErr w:type="spellEnd"/>
            <w:r w:rsidRPr="000550C9">
              <w:rPr>
                <w:iCs/>
                <w:sz w:val="20"/>
                <w:lang w:eastAsia="zh-CN"/>
              </w:rPr>
              <w:t xml:space="preserve"> Hospital of Central South University. Serum glucose levels and lipid profiles were measured while patients were fasting in the morning after administration. The estimated Glomerular Filtration </w:t>
            </w:r>
            <w:proofErr w:type="gramStart"/>
            <w:r w:rsidRPr="000550C9">
              <w:rPr>
                <w:iCs/>
                <w:sz w:val="20"/>
                <w:lang w:eastAsia="zh-CN"/>
              </w:rPr>
              <w:t>Rate(</w:t>
            </w:r>
            <w:proofErr w:type="gramEnd"/>
            <w:r w:rsidRPr="000550C9">
              <w:rPr>
                <w:iCs/>
                <w:sz w:val="20"/>
                <w:lang w:eastAsia="zh-CN"/>
              </w:rPr>
              <w:t>eGFR )was calculated using the Modification of diet in renal disease study equation(MDRD). All patients underwent a follow-up evaluation at the 1-year mark, either during a clinical visit or via telephone contact. An independent clinical events committee, unaware of the details of the study, evaluated all adverse events.</w:t>
            </w:r>
          </w:p>
        </w:tc>
      </w:tr>
      <w:tr w:rsidR="00191A23" w:rsidRPr="0022554A" w:rsidTr="00E9548F">
        <w:tc>
          <w:tcPr>
            <w:tcW w:w="1951" w:type="dxa"/>
          </w:tcPr>
          <w:p w:rsidR="00191A23" w:rsidRPr="0022554A" w:rsidRDefault="00191A23" w:rsidP="0022554A">
            <w:pPr>
              <w:tabs>
                <w:tab w:val="left" w:pos="5400"/>
              </w:tabs>
              <w:rPr>
                <w:bCs/>
                <w:color w:val="000000"/>
                <w:sz w:val="20"/>
              </w:rPr>
            </w:pPr>
            <w:bookmarkStart w:id="37" w:name="bold20" w:colFirst="0" w:colLast="0"/>
            <w:bookmarkStart w:id="38" w:name="italic20" w:colFirst="0" w:colLast="0"/>
            <w:r w:rsidRPr="0022554A">
              <w:rPr>
                <w:bCs/>
                <w:color w:val="000000"/>
                <w:sz w:val="20"/>
              </w:rPr>
              <w:lastRenderedPageBreak/>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4903"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630" w:type="dxa"/>
          </w:tcPr>
          <w:p w:rsidR="00191A23" w:rsidRPr="0022554A" w:rsidRDefault="00B93760" w:rsidP="0022554A">
            <w:pPr>
              <w:tabs>
                <w:tab w:val="left" w:pos="5400"/>
              </w:tabs>
              <w:rPr>
                <w:color w:val="000000"/>
                <w:sz w:val="20"/>
              </w:rPr>
            </w:pPr>
            <w:r>
              <w:rPr>
                <w:color w:val="000000"/>
                <w:sz w:val="20"/>
              </w:rPr>
              <w:t>5</w:t>
            </w:r>
          </w:p>
        </w:tc>
        <w:tc>
          <w:tcPr>
            <w:tcW w:w="6892" w:type="dxa"/>
          </w:tcPr>
          <w:p w:rsidR="00191A23" w:rsidRPr="0022554A" w:rsidRDefault="000550C9" w:rsidP="0022554A">
            <w:pPr>
              <w:tabs>
                <w:tab w:val="left" w:pos="5400"/>
              </w:tabs>
              <w:rPr>
                <w:color w:val="000000"/>
                <w:sz w:val="20"/>
              </w:rPr>
            </w:pPr>
            <w:r w:rsidRPr="000550C9">
              <w:rPr>
                <w:color w:val="000000"/>
                <w:sz w:val="20"/>
              </w:rPr>
              <w:t xml:space="preserve">Upon hospital admission, a specific clinical laboratory conducted a baseline measurement of the patient's WBC count. Upon hospital admission, a specific clinical laboratory conducted a baseline measurement of the patient's WBC count. in the Third </w:t>
            </w:r>
            <w:proofErr w:type="spellStart"/>
            <w:r w:rsidRPr="000550C9">
              <w:rPr>
                <w:color w:val="000000"/>
                <w:sz w:val="20"/>
              </w:rPr>
              <w:t>Xiangya</w:t>
            </w:r>
            <w:proofErr w:type="spellEnd"/>
            <w:r w:rsidRPr="000550C9">
              <w:rPr>
                <w:color w:val="000000"/>
                <w:sz w:val="20"/>
              </w:rPr>
              <w:t xml:space="preserve"> Hospital of Central South University. Serum glucose levels and lipid profiles were measured while patients were fasting in the morning after administration. An independent clinical events committee, unaware of the details of the study, evaluated all adverse events.</w:t>
            </w:r>
          </w:p>
        </w:tc>
      </w:tr>
      <w:tr w:rsidR="00191A23" w:rsidRPr="0022554A" w:rsidTr="00E9548F">
        <w:tc>
          <w:tcPr>
            <w:tcW w:w="1951" w:type="dxa"/>
          </w:tcPr>
          <w:p w:rsidR="00191A23" w:rsidRPr="0022554A" w:rsidRDefault="00191A23" w:rsidP="0022554A">
            <w:pPr>
              <w:tabs>
                <w:tab w:val="left" w:pos="5400"/>
              </w:tabs>
              <w:rPr>
                <w:bCs/>
                <w:sz w:val="20"/>
              </w:rPr>
            </w:pPr>
            <w:bookmarkStart w:id="39" w:name="bold21" w:colFirst="0" w:colLast="0"/>
            <w:bookmarkStart w:id="40" w:name="italic21" w:colFirst="0" w:colLast="0"/>
            <w:bookmarkEnd w:id="37"/>
            <w:bookmarkEnd w:id="38"/>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4903" w:type="dxa"/>
          </w:tcPr>
          <w:p w:rsidR="00191A23" w:rsidRPr="0022554A" w:rsidRDefault="00191A23" w:rsidP="0022554A">
            <w:pPr>
              <w:tabs>
                <w:tab w:val="left" w:pos="5400"/>
              </w:tabs>
              <w:rPr>
                <w:sz w:val="20"/>
              </w:rPr>
            </w:pPr>
            <w:r w:rsidRPr="0022554A">
              <w:rPr>
                <w:sz w:val="20"/>
              </w:rPr>
              <w:t>Explain how the study size was arrived at</w:t>
            </w:r>
          </w:p>
        </w:tc>
        <w:tc>
          <w:tcPr>
            <w:tcW w:w="630" w:type="dxa"/>
          </w:tcPr>
          <w:p w:rsidR="00191A23" w:rsidRPr="00C367B7" w:rsidRDefault="00C367B7" w:rsidP="0022554A">
            <w:pPr>
              <w:tabs>
                <w:tab w:val="left" w:pos="5400"/>
              </w:tabs>
              <w:rPr>
                <w:color w:val="000000" w:themeColor="text1"/>
                <w:sz w:val="20"/>
              </w:rPr>
            </w:pPr>
            <w:r w:rsidRPr="00C367B7">
              <w:rPr>
                <w:color w:val="000000" w:themeColor="text1"/>
                <w:sz w:val="20"/>
              </w:rPr>
              <w:t>5</w:t>
            </w:r>
            <w:r>
              <w:rPr>
                <w:color w:val="000000" w:themeColor="text1"/>
                <w:sz w:val="20"/>
              </w:rPr>
              <w:t>-6</w:t>
            </w:r>
          </w:p>
        </w:tc>
        <w:tc>
          <w:tcPr>
            <w:tcW w:w="6892" w:type="dxa"/>
          </w:tcPr>
          <w:p w:rsidR="00191A23" w:rsidRPr="00F16B39" w:rsidRDefault="00BF394C" w:rsidP="0022554A">
            <w:pPr>
              <w:tabs>
                <w:tab w:val="left" w:pos="5400"/>
              </w:tabs>
              <w:rPr>
                <w:color w:val="FF0000"/>
                <w:sz w:val="20"/>
              </w:rPr>
            </w:pPr>
            <w:r w:rsidRPr="00BF394C">
              <w:rPr>
                <w:color w:val="000000" w:themeColor="text1"/>
                <w:sz w:val="20"/>
              </w:rPr>
              <w:t xml:space="preserve">We predict a sensitivity of 90% and specificity of 90%, while the prevalence rate of CI-AKI was 5%. the required sample size was finally calculated to be 728. The percentage of missing values was less than 1% for all variables in the study. </w:t>
            </w:r>
          </w:p>
        </w:tc>
      </w:tr>
    </w:tbl>
    <w:p w:rsidR="00191A23" w:rsidRDefault="00191A23">
      <w:bookmarkStart w:id="41" w:name="bold22"/>
      <w:bookmarkStart w:id="42" w:name="italic22"/>
      <w:bookmarkEnd w:id="39"/>
      <w:bookmarkEnd w:id="40"/>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5020"/>
        <w:gridCol w:w="839"/>
        <w:gridCol w:w="6863"/>
      </w:tblGrid>
      <w:tr w:rsidR="00191A23" w:rsidRPr="0022554A" w:rsidTr="00BF394C">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3" w:name="bold23"/>
            <w:bookmarkStart w:id="44" w:name="italic23"/>
            <w:bookmarkEnd w:id="41"/>
            <w:bookmarkEnd w:id="42"/>
            <w:r w:rsidRPr="0022554A">
              <w:rPr>
                <w:bCs/>
                <w:sz w:val="20"/>
              </w:rPr>
              <w:t xml:space="preserve"> variables</w:t>
            </w:r>
            <w:bookmarkEnd w:id="43"/>
            <w:bookmarkEnd w:id="44"/>
          </w:p>
        </w:tc>
        <w:tc>
          <w:tcPr>
            <w:tcW w:w="749" w:type="dxa"/>
          </w:tcPr>
          <w:p w:rsidR="00191A23" w:rsidRPr="0022554A" w:rsidRDefault="00191A23" w:rsidP="00191A23">
            <w:pPr>
              <w:tabs>
                <w:tab w:val="left" w:pos="5400"/>
              </w:tabs>
              <w:jc w:val="center"/>
              <w:rPr>
                <w:sz w:val="20"/>
              </w:rPr>
            </w:pPr>
            <w:r w:rsidRPr="0022554A">
              <w:rPr>
                <w:sz w:val="20"/>
              </w:rPr>
              <w:t>11</w:t>
            </w:r>
          </w:p>
        </w:tc>
        <w:tc>
          <w:tcPr>
            <w:tcW w:w="5020" w:type="dxa"/>
          </w:tcPr>
          <w:p w:rsidR="00191A23" w:rsidRPr="0022554A" w:rsidRDefault="00191A23" w:rsidP="00191A23">
            <w:pPr>
              <w:tabs>
                <w:tab w:val="left" w:pos="5400"/>
              </w:tabs>
              <w:rPr>
                <w:sz w:val="20"/>
              </w:rPr>
            </w:pPr>
            <w:r w:rsidRPr="0022554A">
              <w:rPr>
                <w:sz w:val="20"/>
              </w:rPr>
              <w:t xml:space="preserve">Explain how </w:t>
            </w:r>
            <w:bookmarkStart w:id="45" w:name="OLE_LINK63"/>
            <w:bookmarkStart w:id="46" w:name="OLE_LINK64"/>
            <w:r w:rsidRPr="0022554A">
              <w:rPr>
                <w:sz w:val="20"/>
              </w:rPr>
              <w:t xml:space="preserve">quantitative variables </w:t>
            </w:r>
            <w:bookmarkEnd w:id="45"/>
            <w:bookmarkEnd w:id="46"/>
            <w:r w:rsidRPr="0022554A">
              <w:rPr>
                <w:sz w:val="20"/>
              </w:rPr>
              <w:t>were handled in the analyses. If applicable, describe which groupings were chosen and why</w:t>
            </w:r>
          </w:p>
        </w:tc>
        <w:tc>
          <w:tcPr>
            <w:tcW w:w="838" w:type="dxa"/>
          </w:tcPr>
          <w:p w:rsidR="00191A23" w:rsidRPr="0022554A" w:rsidRDefault="00F16B39" w:rsidP="00191A23">
            <w:pPr>
              <w:tabs>
                <w:tab w:val="left" w:pos="5400"/>
              </w:tabs>
              <w:rPr>
                <w:sz w:val="20"/>
              </w:rPr>
            </w:pPr>
            <w:r>
              <w:rPr>
                <w:sz w:val="20"/>
              </w:rPr>
              <w:t>5</w:t>
            </w:r>
          </w:p>
        </w:tc>
        <w:tc>
          <w:tcPr>
            <w:tcW w:w="6864" w:type="dxa"/>
          </w:tcPr>
          <w:p w:rsidR="00191A23" w:rsidRPr="002A1946" w:rsidRDefault="00BF394C" w:rsidP="00191A23">
            <w:pPr>
              <w:tabs>
                <w:tab w:val="left" w:pos="5400"/>
              </w:tabs>
              <w:rPr>
                <w:sz w:val="20"/>
                <w:lang w:val="en-US" w:eastAsia="zh-CN"/>
              </w:rPr>
            </w:pPr>
            <w:r w:rsidRPr="00BF394C">
              <w:rPr>
                <w:sz w:val="20"/>
                <w:lang w:val="en-US" w:eastAsia="zh-CN"/>
              </w:rPr>
              <w:t>Continuous variables were summarized by means ± SD and median (interquartile range)</w:t>
            </w:r>
            <w:r>
              <w:rPr>
                <w:sz w:val="20"/>
                <w:lang w:val="en-US" w:eastAsia="zh-CN"/>
              </w:rPr>
              <w:t xml:space="preserve">. </w:t>
            </w:r>
            <w:r w:rsidRPr="00BF394C">
              <w:rPr>
                <w:sz w:val="20"/>
                <w:lang w:val="en-US" w:eastAsia="zh-CN"/>
              </w:rPr>
              <w:t xml:space="preserve">The normality of continuous data was assessed using the Shapiro-Wilks test and the Kolmogorov-Smirnov test. Continuous variables normally distributed were compared using an unpaired </w:t>
            </w:r>
            <w:proofErr w:type="spellStart"/>
            <w:r w:rsidRPr="00BF394C">
              <w:rPr>
                <w:sz w:val="20"/>
                <w:lang w:val="en-US" w:eastAsia="zh-CN"/>
              </w:rPr>
              <w:t>student’t</w:t>
            </w:r>
            <w:proofErr w:type="spellEnd"/>
            <w:r w:rsidRPr="00BF394C">
              <w:rPr>
                <w:sz w:val="20"/>
                <w:lang w:val="en-US" w:eastAsia="zh-CN"/>
              </w:rPr>
              <w:t>-test, while non-normal variables were compared using the Mann-Whitney U-test.</w:t>
            </w:r>
          </w:p>
        </w:tc>
      </w:tr>
      <w:tr w:rsidR="00191A23" w:rsidRPr="0022554A" w:rsidTr="00BF394C">
        <w:tc>
          <w:tcPr>
            <w:tcW w:w="1521" w:type="dxa"/>
            <w:vMerge w:val="restart"/>
          </w:tcPr>
          <w:p w:rsidR="00191A23" w:rsidRPr="0022554A" w:rsidRDefault="00191A23" w:rsidP="00191A23">
            <w:pPr>
              <w:tabs>
                <w:tab w:val="left" w:pos="5400"/>
              </w:tabs>
              <w:rPr>
                <w:sz w:val="20"/>
              </w:rPr>
            </w:pPr>
            <w:bookmarkStart w:id="47" w:name="italic24"/>
            <w:r w:rsidRPr="0022554A">
              <w:rPr>
                <w:sz w:val="20"/>
              </w:rPr>
              <w:t>Statistical</w:t>
            </w:r>
            <w:bookmarkStart w:id="48" w:name="italic25"/>
            <w:bookmarkEnd w:id="47"/>
            <w:r w:rsidRPr="0022554A">
              <w:rPr>
                <w:sz w:val="20"/>
              </w:rPr>
              <w:t xml:space="preserve"> methods</w:t>
            </w:r>
            <w:bookmarkEnd w:id="48"/>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5020"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838" w:type="dxa"/>
          </w:tcPr>
          <w:p w:rsidR="00191A23" w:rsidRPr="0022554A" w:rsidRDefault="00F16B39" w:rsidP="00191A23">
            <w:pPr>
              <w:tabs>
                <w:tab w:val="left" w:pos="5400"/>
              </w:tabs>
              <w:rPr>
                <w:sz w:val="20"/>
              </w:rPr>
            </w:pPr>
            <w:r>
              <w:rPr>
                <w:sz w:val="20"/>
              </w:rPr>
              <w:t>5</w:t>
            </w:r>
          </w:p>
        </w:tc>
        <w:tc>
          <w:tcPr>
            <w:tcW w:w="6864" w:type="dxa"/>
          </w:tcPr>
          <w:p w:rsidR="00191A23" w:rsidRPr="0022554A" w:rsidRDefault="00BF394C" w:rsidP="00191A23">
            <w:pPr>
              <w:tabs>
                <w:tab w:val="left" w:pos="5400"/>
              </w:tabs>
              <w:rPr>
                <w:sz w:val="20"/>
              </w:rPr>
            </w:pPr>
            <w:r w:rsidRPr="00BF394C">
              <w:rPr>
                <w:sz w:val="20"/>
              </w:rPr>
              <w:t>SPSS 25.0 was used to perform statistical calculations.</w:t>
            </w:r>
          </w:p>
        </w:tc>
      </w:tr>
      <w:tr w:rsidR="00191A23" w:rsidRPr="0022554A" w:rsidTr="00BF394C">
        <w:tc>
          <w:tcPr>
            <w:tcW w:w="1521" w:type="dxa"/>
            <w:vMerge/>
          </w:tcPr>
          <w:p w:rsidR="00191A23" w:rsidRPr="0022554A" w:rsidRDefault="00191A23" w:rsidP="00191A23">
            <w:pPr>
              <w:tabs>
                <w:tab w:val="left" w:pos="5400"/>
              </w:tabs>
              <w:rPr>
                <w:bCs/>
                <w:sz w:val="20"/>
              </w:rPr>
            </w:pPr>
            <w:bookmarkStart w:id="49" w:name="bold24" w:colFirst="0" w:colLast="0"/>
            <w:bookmarkStart w:id="50" w:name="italic26" w:colFirst="0" w:colLast="0"/>
          </w:p>
        </w:tc>
        <w:tc>
          <w:tcPr>
            <w:tcW w:w="749" w:type="dxa"/>
            <w:vMerge/>
          </w:tcPr>
          <w:p w:rsidR="00191A23" w:rsidRPr="0022554A" w:rsidRDefault="00191A23" w:rsidP="00191A23">
            <w:pPr>
              <w:tabs>
                <w:tab w:val="left" w:pos="5400"/>
              </w:tabs>
              <w:jc w:val="center"/>
              <w:rPr>
                <w:sz w:val="20"/>
              </w:rPr>
            </w:pPr>
          </w:p>
        </w:tc>
        <w:tc>
          <w:tcPr>
            <w:tcW w:w="5020"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838" w:type="dxa"/>
          </w:tcPr>
          <w:p w:rsidR="00191A23" w:rsidRPr="0022554A" w:rsidRDefault="00F16B39" w:rsidP="00191A23">
            <w:pPr>
              <w:tabs>
                <w:tab w:val="left" w:pos="5400"/>
              </w:tabs>
              <w:rPr>
                <w:sz w:val="20"/>
              </w:rPr>
            </w:pPr>
            <w:r>
              <w:rPr>
                <w:sz w:val="20"/>
              </w:rPr>
              <w:t>5</w:t>
            </w:r>
          </w:p>
        </w:tc>
        <w:tc>
          <w:tcPr>
            <w:tcW w:w="6864" w:type="dxa"/>
          </w:tcPr>
          <w:p w:rsidR="00191A23" w:rsidRPr="0022554A" w:rsidRDefault="00BF394C" w:rsidP="00191A23">
            <w:pPr>
              <w:tabs>
                <w:tab w:val="left" w:pos="5400"/>
              </w:tabs>
              <w:rPr>
                <w:sz w:val="20"/>
              </w:rPr>
            </w:pPr>
            <w:r w:rsidRPr="00BF394C">
              <w:rPr>
                <w:sz w:val="20"/>
              </w:rPr>
              <w:t>The association between categorical variables and treatment groups was analyzed using Chi-squared or Fisher exact tests. In determining the factors independently associated with CI-AKI, we considered a comprehensive list of patient characteristics and trea</w:t>
            </w:r>
            <w:r w:rsidRPr="00BF394C">
              <w:rPr>
                <w:rFonts w:hint="eastAsia"/>
                <w:sz w:val="20"/>
              </w:rPr>
              <w:t xml:space="preserve">tment patterns as candidates. Using forward elimination, a multivariate logistic regression model in which all variables were associated with CI-AKI was developed. During the multivariable model-building process, variables with a P value </w:t>
            </w:r>
            <w:r w:rsidRPr="00BF394C">
              <w:rPr>
                <w:rFonts w:hint="eastAsia"/>
                <w:sz w:val="20"/>
              </w:rPr>
              <w:t>≤</w:t>
            </w:r>
            <w:r w:rsidRPr="00BF394C">
              <w:rPr>
                <w:rFonts w:hint="eastAsia"/>
                <w:sz w:val="20"/>
              </w:rPr>
              <w:t xml:space="preserve"> 0.15 and those c</w:t>
            </w:r>
            <w:r w:rsidRPr="00BF394C">
              <w:rPr>
                <w:sz w:val="20"/>
              </w:rPr>
              <w:t xml:space="preserve">onsidered clinically important, biologically plausible, or supported by previously published data were </w:t>
            </w:r>
            <w:proofErr w:type="spellStart"/>
            <w:proofErr w:type="gramStart"/>
            <w:r w:rsidRPr="00BF394C">
              <w:rPr>
                <w:sz w:val="20"/>
              </w:rPr>
              <w:t>included.Using</w:t>
            </w:r>
            <w:proofErr w:type="spellEnd"/>
            <w:proofErr w:type="gramEnd"/>
            <w:r w:rsidRPr="00BF394C">
              <w:rPr>
                <w:sz w:val="20"/>
              </w:rPr>
              <w:t xml:space="preserve"> Variance Inflation Factors (VIF) to detect multicollinearity.</w:t>
            </w:r>
          </w:p>
        </w:tc>
      </w:tr>
      <w:tr w:rsidR="00191A23" w:rsidRPr="0022554A" w:rsidTr="00BF394C">
        <w:tc>
          <w:tcPr>
            <w:tcW w:w="1521" w:type="dxa"/>
            <w:vMerge/>
          </w:tcPr>
          <w:p w:rsidR="00191A23" w:rsidRPr="0022554A" w:rsidRDefault="00191A23" w:rsidP="00191A23">
            <w:pPr>
              <w:tabs>
                <w:tab w:val="left" w:pos="5400"/>
              </w:tabs>
              <w:rPr>
                <w:bCs/>
                <w:sz w:val="20"/>
              </w:rPr>
            </w:pPr>
            <w:bookmarkStart w:id="51" w:name="bold25" w:colFirst="0" w:colLast="0"/>
            <w:bookmarkStart w:id="52" w:name="italic27" w:colFirst="0" w:colLast="0"/>
            <w:bookmarkEnd w:id="49"/>
            <w:bookmarkEnd w:id="50"/>
          </w:p>
        </w:tc>
        <w:tc>
          <w:tcPr>
            <w:tcW w:w="749" w:type="dxa"/>
            <w:vMerge/>
          </w:tcPr>
          <w:p w:rsidR="00191A23" w:rsidRPr="0022554A" w:rsidRDefault="00191A23" w:rsidP="00191A23">
            <w:pPr>
              <w:tabs>
                <w:tab w:val="left" w:pos="5400"/>
              </w:tabs>
              <w:jc w:val="center"/>
              <w:rPr>
                <w:sz w:val="20"/>
              </w:rPr>
            </w:pPr>
          </w:p>
        </w:tc>
        <w:tc>
          <w:tcPr>
            <w:tcW w:w="5020"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xml:space="preserve">) </w:t>
            </w:r>
            <w:bookmarkStart w:id="53" w:name="OLE_LINK7"/>
            <w:r w:rsidRPr="0022554A">
              <w:rPr>
                <w:sz w:val="20"/>
              </w:rPr>
              <w:t>Explain how missing data were addressed</w:t>
            </w:r>
            <w:bookmarkEnd w:id="53"/>
          </w:p>
        </w:tc>
        <w:tc>
          <w:tcPr>
            <w:tcW w:w="838" w:type="dxa"/>
          </w:tcPr>
          <w:p w:rsidR="00191A23" w:rsidRPr="0022554A" w:rsidRDefault="00C367B7" w:rsidP="00191A23">
            <w:pPr>
              <w:tabs>
                <w:tab w:val="left" w:pos="5400"/>
              </w:tabs>
              <w:rPr>
                <w:sz w:val="20"/>
              </w:rPr>
            </w:pPr>
            <w:r>
              <w:rPr>
                <w:sz w:val="20"/>
              </w:rPr>
              <w:t>6</w:t>
            </w:r>
          </w:p>
        </w:tc>
        <w:tc>
          <w:tcPr>
            <w:tcW w:w="6864" w:type="dxa"/>
          </w:tcPr>
          <w:p w:rsidR="00191A23" w:rsidRPr="0022554A" w:rsidRDefault="00BF394C" w:rsidP="00191A23">
            <w:pPr>
              <w:tabs>
                <w:tab w:val="left" w:pos="5400"/>
              </w:tabs>
              <w:rPr>
                <w:sz w:val="20"/>
              </w:rPr>
            </w:pPr>
            <w:r w:rsidRPr="00BF394C">
              <w:rPr>
                <w:sz w:val="20"/>
              </w:rPr>
              <w:t xml:space="preserve">Missing values of categorical variables were imputed to their most common value, and continuous variables to the median of the non-missing values.  </w:t>
            </w:r>
          </w:p>
        </w:tc>
      </w:tr>
      <w:tr w:rsidR="00191A23" w:rsidRPr="0022554A" w:rsidTr="00BF394C">
        <w:tc>
          <w:tcPr>
            <w:tcW w:w="1521" w:type="dxa"/>
            <w:vMerge/>
          </w:tcPr>
          <w:p w:rsidR="00191A23" w:rsidRPr="0022554A" w:rsidRDefault="00191A23" w:rsidP="00191A23">
            <w:pPr>
              <w:tabs>
                <w:tab w:val="left" w:pos="5400"/>
              </w:tabs>
              <w:rPr>
                <w:bCs/>
                <w:sz w:val="20"/>
              </w:rPr>
            </w:pPr>
            <w:bookmarkStart w:id="54" w:name="bold26" w:colFirst="0" w:colLast="0"/>
            <w:bookmarkStart w:id="55" w:name="italic28" w:colFirst="0" w:colLast="0"/>
            <w:bookmarkEnd w:id="51"/>
            <w:bookmarkEnd w:id="52"/>
          </w:p>
        </w:tc>
        <w:tc>
          <w:tcPr>
            <w:tcW w:w="749" w:type="dxa"/>
            <w:vMerge/>
          </w:tcPr>
          <w:p w:rsidR="00191A23" w:rsidRPr="0022554A" w:rsidRDefault="00191A23" w:rsidP="00191A23">
            <w:pPr>
              <w:tabs>
                <w:tab w:val="left" w:pos="5400"/>
              </w:tabs>
              <w:jc w:val="center"/>
              <w:rPr>
                <w:sz w:val="20"/>
              </w:rPr>
            </w:pPr>
          </w:p>
        </w:tc>
        <w:tc>
          <w:tcPr>
            <w:tcW w:w="5020"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 xml:space="preserve">—If applicable, </w:t>
            </w:r>
            <w:bookmarkStart w:id="56" w:name="OLE_LINK6"/>
            <w:r w:rsidRPr="0022554A">
              <w:rPr>
                <w:sz w:val="20"/>
              </w:rPr>
              <w:t>explain how loss to follow-up was addressed</w:t>
            </w:r>
            <w:bookmarkEnd w:id="56"/>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838" w:type="dxa"/>
          </w:tcPr>
          <w:p w:rsidR="00191A23" w:rsidRPr="0022554A" w:rsidRDefault="00B52071" w:rsidP="00191A23">
            <w:pPr>
              <w:tabs>
                <w:tab w:val="left" w:pos="5400"/>
              </w:tabs>
              <w:rPr>
                <w:sz w:val="20"/>
              </w:rPr>
            </w:pPr>
            <w:r>
              <w:rPr>
                <w:sz w:val="20"/>
              </w:rPr>
              <w:t>6</w:t>
            </w:r>
          </w:p>
        </w:tc>
        <w:tc>
          <w:tcPr>
            <w:tcW w:w="6864" w:type="dxa"/>
          </w:tcPr>
          <w:p w:rsidR="00191A23" w:rsidRPr="0022554A" w:rsidRDefault="00B52071" w:rsidP="00191A23">
            <w:pPr>
              <w:tabs>
                <w:tab w:val="left" w:pos="5400"/>
              </w:tabs>
              <w:rPr>
                <w:sz w:val="20"/>
              </w:rPr>
            </w:pPr>
            <w:r w:rsidRPr="00B52071">
              <w:rPr>
                <w:sz w:val="20"/>
              </w:rPr>
              <w:t>All patients completed a follow-up evaluation at the one-year mark, either in person or via phone.</w:t>
            </w:r>
          </w:p>
        </w:tc>
      </w:tr>
      <w:tr w:rsidR="00191A23" w:rsidRPr="0022554A" w:rsidTr="00BF394C">
        <w:tc>
          <w:tcPr>
            <w:tcW w:w="1521" w:type="dxa"/>
            <w:vMerge/>
          </w:tcPr>
          <w:p w:rsidR="00191A23" w:rsidRPr="0022554A" w:rsidRDefault="00191A23" w:rsidP="00191A23">
            <w:pPr>
              <w:tabs>
                <w:tab w:val="left" w:pos="5400"/>
              </w:tabs>
              <w:rPr>
                <w:bCs/>
                <w:sz w:val="20"/>
              </w:rPr>
            </w:pPr>
            <w:bookmarkStart w:id="57" w:name="bold27" w:colFirst="0" w:colLast="0"/>
            <w:bookmarkStart w:id="58" w:name="italic29" w:colFirst="0" w:colLast="0"/>
            <w:bookmarkEnd w:id="54"/>
            <w:bookmarkEnd w:id="55"/>
          </w:p>
        </w:tc>
        <w:tc>
          <w:tcPr>
            <w:tcW w:w="749" w:type="dxa"/>
            <w:vMerge/>
          </w:tcPr>
          <w:p w:rsidR="00191A23" w:rsidRPr="0022554A" w:rsidRDefault="00191A23" w:rsidP="00191A23">
            <w:pPr>
              <w:tabs>
                <w:tab w:val="left" w:pos="5400"/>
              </w:tabs>
              <w:jc w:val="center"/>
              <w:rPr>
                <w:sz w:val="20"/>
              </w:rPr>
            </w:pPr>
          </w:p>
        </w:tc>
        <w:tc>
          <w:tcPr>
            <w:tcW w:w="5020"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xml:space="preserve">) </w:t>
            </w:r>
            <w:bookmarkStart w:id="59" w:name="OLE_LINK114"/>
            <w:r w:rsidRPr="0022554A">
              <w:rPr>
                <w:sz w:val="20"/>
              </w:rPr>
              <w:t>Describe any sensitivity analyses</w:t>
            </w:r>
            <w:bookmarkEnd w:id="59"/>
          </w:p>
        </w:tc>
        <w:tc>
          <w:tcPr>
            <w:tcW w:w="838" w:type="dxa"/>
          </w:tcPr>
          <w:p w:rsidR="00191A23" w:rsidRPr="0022554A" w:rsidRDefault="00F16B39" w:rsidP="00191A23">
            <w:pPr>
              <w:tabs>
                <w:tab w:val="left" w:pos="5400"/>
              </w:tabs>
              <w:rPr>
                <w:sz w:val="20"/>
              </w:rPr>
            </w:pPr>
            <w:r>
              <w:rPr>
                <w:sz w:val="20"/>
              </w:rPr>
              <w:t>5</w:t>
            </w:r>
          </w:p>
        </w:tc>
        <w:tc>
          <w:tcPr>
            <w:tcW w:w="6864" w:type="dxa"/>
          </w:tcPr>
          <w:p w:rsidR="00191A23" w:rsidRPr="0022554A" w:rsidRDefault="00B52071" w:rsidP="00191A23">
            <w:pPr>
              <w:tabs>
                <w:tab w:val="left" w:pos="5400"/>
              </w:tabs>
              <w:rPr>
                <w:sz w:val="20"/>
              </w:rPr>
            </w:pPr>
            <w:r w:rsidRPr="00B52071">
              <w:rPr>
                <w:rFonts w:hint="eastAsia"/>
                <w:sz w:val="20"/>
              </w:rPr>
              <w:t xml:space="preserve">Using forward elimination, a multivariate logistic regression model in which all variables were associated with CI-AKI was developed. During the multivariable model-building process, variables with a P value </w:t>
            </w:r>
            <w:r w:rsidRPr="00B52071">
              <w:rPr>
                <w:rFonts w:hint="eastAsia"/>
                <w:sz w:val="20"/>
              </w:rPr>
              <w:t>≤</w:t>
            </w:r>
            <w:r w:rsidRPr="00B52071">
              <w:rPr>
                <w:rFonts w:hint="eastAsia"/>
                <w:sz w:val="20"/>
              </w:rPr>
              <w:t xml:space="preserve"> 0.15 and those considered clinically important</w:t>
            </w:r>
            <w:r w:rsidRPr="00B52071">
              <w:rPr>
                <w:sz w:val="20"/>
              </w:rPr>
              <w:t xml:space="preserve">, biologically plausible, or supported by previously published data were </w:t>
            </w:r>
            <w:proofErr w:type="spellStart"/>
            <w:proofErr w:type="gramStart"/>
            <w:r w:rsidRPr="00B52071">
              <w:rPr>
                <w:sz w:val="20"/>
              </w:rPr>
              <w:t>included.Using</w:t>
            </w:r>
            <w:proofErr w:type="spellEnd"/>
            <w:proofErr w:type="gramEnd"/>
            <w:r w:rsidRPr="00B52071">
              <w:rPr>
                <w:sz w:val="20"/>
              </w:rPr>
              <w:t xml:space="preserve"> Variance Inflation Factors (VIF) to detect multicollinearity. The adjusted odds ratios were calculated for each of these variables.</w:t>
            </w:r>
            <w:r>
              <w:t xml:space="preserve"> </w:t>
            </w:r>
            <w:r w:rsidRPr="00B52071">
              <w:rPr>
                <w:sz w:val="20"/>
              </w:rPr>
              <w:t xml:space="preserve">ROC curve analysis was utilized to assess the ability of baseline WBC </w:t>
            </w:r>
            <w:r w:rsidRPr="00B52071">
              <w:rPr>
                <w:sz w:val="20"/>
              </w:rPr>
              <w:lastRenderedPageBreak/>
              <w:t>count to differentiate between patients with and without CI-AKI. The optimal cut-off point was determined by identifying the baseline WBC count that maximized the sum of specificity and sensitivity. Kaplan-Meier survival charts were created to determine the difference in 1-year death rate between patients with CI-AKI and those without. To compare survival curves, we used the log-rank test. For all statistical tests carried out, two-tailed</w:t>
            </w:r>
            <w:r w:rsidRPr="00B52071">
              <w:rPr>
                <w:rFonts w:hint="eastAsia"/>
                <w:sz w:val="20"/>
              </w:rPr>
              <w:t xml:space="preserve"> P values were used, with statistical significance being defined by a P value of </w:t>
            </w:r>
            <w:r w:rsidRPr="00B52071">
              <w:rPr>
                <w:rFonts w:hint="eastAsia"/>
                <w:sz w:val="20"/>
              </w:rPr>
              <w:t>≤</w:t>
            </w:r>
            <w:r w:rsidRPr="00B52071">
              <w:rPr>
                <w:rFonts w:hint="eastAsia"/>
                <w:sz w:val="20"/>
              </w:rPr>
              <w:t xml:space="preserve"> 0.05.</w:t>
            </w:r>
          </w:p>
        </w:tc>
      </w:tr>
      <w:bookmarkEnd w:id="57"/>
      <w:bookmarkEnd w:id="58"/>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lastRenderedPageBreak/>
              <w:t>Results</w:t>
            </w:r>
          </w:p>
        </w:tc>
      </w:tr>
      <w:tr w:rsidR="00191A23" w:rsidRPr="0022554A" w:rsidTr="00BF394C">
        <w:tc>
          <w:tcPr>
            <w:tcW w:w="0" w:type="auto"/>
            <w:vMerge w:val="restart"/>
          </w:tcPr>
          <w:p w:rsidR="00191A23" w:rsidRPr="0022554A" w:rsidRDefault="00191A23" w:rsidP="00191A23">
            <w:pPr>
              <w:tabs>
                <w:tab w:val="left" w:pos="5400"/>
              </w:tabs>
              <w:rPr>
                <w:bCs/>
                <w:sz w:val="20"/>
              </w:rPr>
            </w:pPr>
            <w:bookmarkStart w:id="60" w:name="bold29"/>
            <w:bookmarkStart w:id="61" w:name="italic31"/>
            <w:r w:rsidRPr="0022554A">
              <w:rPr>
                <w:bCs/>
                <w:sz w:val="20"/>
              </w:rPr>
              <w:t>Participants</w:t>
            </w:r>
            <w:bookmarkEnd w:id="60"/>
            <w:bookmarkEnd w:id="61"/>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62" w:name="bold30"/>
            <w:r w:rsidRPr="0022554A">
              <w:rPr>
                <w:bCs/>
                <w:sz w:val="20"/>
              </w:rPr>
              <w:t>*</w:t>
            </w:r>
            <w:bookmarkEnd w:id="62"/>
          </w:p>
        </w:tc>
        <w:tc>
          <w:tcPr>
            <w:tcW w:w="5020"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838" w:type="dxa"/>
          </w:tcPr>
          <w:p w:rsidR="00191A23" w:rsidRDefault="00FE4F4E" w:rsidP="00191A23">
            <w:pPr>
              <w:tabs>
                <w:tab w:val="left" w:pos="5400"/>
              </w:tabs>
              <w:rPr>
                <w:sz w:val="20"/>
              </w:rPr>
            </w:pPr>
            <w:r>
              <w:rPr>
                <w:sz w:val="20"/>
              </w:rPr>
              <w:t>6</w:t>
            </w:r>
          </w:p>
        </w:tc>
        <w:tc>
          <w:tcPr>
            <w:tcW w:w="6864" w:type="dxa"/>
          </w:tcPr>
          <w:p w:rsidR="00191A23" w:rsidRDefault="00B52071" w:rsidP="00191A23">
            <w:pPr>
              <w:tabs>
                <w:tab w:val="left" w:pos="5400"/>
              </w:tabs>
              <w:rPr>
                <w:sz w:val="20"/>
              </w:rPr>
            </w:pPr>
            <w:r w:rsidRPr="00B52071">
              <w:rPr>
                <w:sz w:val="20"/>
              </w:rPr>
              <w:t xml:space="preserve"> Two centers enrolled 1300 patients for PCI between September 2015 and July 2017. Of these, 1013 patients met the study </w:t>
            </w:r>
            <w:proofErr w:type="gramStart"/>
            <w:r w:rsidRPr="00B52071">
              <w:rPr>
                <w:sz w:val="20"/>
              </w:rPr>
              <w:t>criteria(</w:t>
            </w:r>
            <w:proofErr w:type="gramEnd"/>
            <w:r w:rsidRPr="00B52071">
              <w:rPr>
                <w:sz w:val="20"/>
              </w:rPr>
              <w:t>Fig.1.). All patients completed a follow-up evaluation at the one-year mark, either in person or via phone.</w:t>
            </w:r>
          </w:p>
        </w:tc>
      </w:tr>
      <w:tr w:rsidR="00191A23" w:rsidRPr="0022554A" w:rsidTr="00BF394C">
        <w:tc>
          <w:tcPr>
            <w:tcW w:w="0" w:type="auto"/>
            <w:vMerge/>
          </w:tcPr>
          <w:p w:rsidR="00191A23" w:rsidRPr="0022554A" w:rsidRDefault="00191A23" w:rsidP="00191A23">
            <w:pPr>
              <w:tabs>
                <w:tab w:val="left" w:pos="5400"/>
              </w:tabs>
              <w:rPr>
                <w:bCs/>
                <w:sz w:val="20"/>
              </w:rPr>
            </w:pPr>
            <w:bookmarkStart w:id="63" w:name="bold31" w:colFirst="0" w:colLast="0"/>
            <w:bookmarkStart w:id="64" w:name="italic32" w:colFirst="0" w:colLast="0"/>
          </w:p>
        </w:tc>
        <w:tc>
          <w:tcPr>
            <w:tcW w:w="0" w:type="auto"/>
            <w:vMerge/>
          </w:tcPr>
          <w:p w:rsidR="00191A23" w:rsidRPr="0022554A" w:rsidRDefault="00191A23" w:rsidP="00191A23">
            <w:pPr>
              <w:tabs>
                <w:tab w:val="left" w:pos="5400"/>
              </w:tabs>
              <w:jc w:val="center"/>
              <w:rPr>
                <w:sz w:val="20"/>
              </w:rPr>
            </w:pPr>
          </w:p>
        </w:tc>
        <w:tc>
          <w:tcPr>
            <w:tcW w:w="5020"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838" w:type="dxa"/>
          </w:tcPr>
          <w:p w:rsidR="00191A23" w:rsidRDefault="00B52071" w:rsidP="00191A23">
            <w:pPr>
              <w:tabs>
                <w:tab w:val="left" w:pos="5400"/>
              </w:tabs>
              <w:rPr>
                <w:sz w:val="20"/>
              </w:rPr>
            </w:pPr>
            <w:r>
              <w:rPr>
                <w:sz w:val="20"/>
              </w:rPr>
              <w:t>Figure1</w:t>
            </w:r>
          </w:p>
        </w:tc>
        <w:tc>
          <w:tcPr>
            <w:tcW w:w="6864" w:type="dxa"/>
          </w:tcPr>
          <w:p w:rsidR="00191A23" w:rsidRDefault="00B52071" w:rsidP="00191A23">
            <w:pPr>
              <w:tabs>
                <w:tab w:val="left" w:pos="5400"/>
              </w:tabs>
              <w:rPr>
                <w:rFonts w:hint="eastAsia"/>
                <w:sz w:val="20"/>
                <w:lang w:eastAsia="zh-CN"/>
              </w:rPr>
            </w:pPr>
            <w:r>
              <w:rPr>
                <w:sz w:val="20"/>
              </w:rPr>
              <w:t xml:space="preserve">158 </w:t>
            </w:r>
            <w:proofErr w:type="spellStart"/>
            <w:r>
              <w:rPr>
                <w:sz w:val="20"/>
                <w:lang w:eastAsia="zh-CN"/>
              </w:rPr>
              <w:t>opatients</w:t>
            </w:r>
            <w:proofErr w:type="spellEnd"/>
            <w:r>
              <w:rPr>
                <w:sz w:val="20"/>
                <w:lang w:eastAsia="zh-CN"/>
              </w:rPr>
              <w:t xml:space="preserve"> not meeting inclusion criteria;87patients meeting exclusion criteria;42 patients declined to participate</w:t>
            </w:r>
          </w:p>
        </w:tc>
      </w:tr>
      <w:tr w:rsidR="00FE4F4E" w:rsidRPr="0022554A" w:rsidTr="00BF394C">
        <w:tc>
          <w:tcPr>
            <w:tcW w:w="0" w:type="auto"/>
            <w:vMerge/>
          </w:tcPr>
          <w:p w:rsidR="00FE4F4E" w:rsidRPr="0022554A" w:rsidRDefault="00FE4F4E" w:rsidP="00FE4F4E">
            <w:pPr>
              <w:tabs>
                <w:tab w:val="left" w:pos="5400"/>
              </w:tabs>
              <w:rPr>
                <w:bCs/>
                <w:sz w:val="20"/>
              </w:rPr>
            </w:pPr>
            <w:bookmarkStart w:id="65" w:name="bold32" w:colFirst="0" w:colLast="0"/>
            <w:bookmarkStart w:id="66" w:name="italic33" w:colFirst="0" w:colLast="0"/>
            <w:bookmarkEnd w:id="63"/>
            <w:bookmarkEnd w:id="64"/>
          </w:p>
        </w:tc>
        <w:tc>
          <w:tcPr>
            <w:tcW w:w="0" w:type="auto"/>
            <w:vMerge/>
          </w:tcPr>
          <w:p w:rsidR="00FE4F4E" w:rsidRPr="0022554A" w:rsidRDefault="00FE4F4E" w:rsidP="00FE4F4E">
            <w:pPr>
              <w:tabs>
                <w:tab w:val="left" w:pos="5400"/>
              </w:tabs>
              <w:jc w:val="center"/>
              <w:rPr>
                <w:sz w:val="20"/>
              </w:rPr>
            </w:pPr>
          </w:p>
        </w:tc>
        <w:tc>
          <w:tcPr>
            <w:tcW w:w="5020" w:type="dxa"/>
          </w:tcPr>
          <w:p w:rsidR="00FE4F4E" w:rsidRPr="0022554A" w:rsidRDefault="00FE4F4E" w:rsidP="00FE4F4E">
            <w:pPr>
              <w:tabs>
                <w:tab w:val="left" w:pos="5400"/>
              </w:tabs>
              <w:rPr>
                <w:sz w:val="20"/>
              </w:rPr>
            </w:pPr>
            <w:bookmarkStart w:id="67" w:name="OLE_LINK4"/>
            <w:r>
              <w:rPr>
                <w:sz w:val="20"/>
              </w:rPr>
              <w:t xml:space="preserve">(c) </w:t>
            </w:r>
            <w:r w:rsidRPr="0022554A">
              <w:rPr>
                <w:sz w:val="20"/>
              </w:rPr>
              <w:t>Consider use of a flow diagram</w:t>
            </w:r>
            <w:bookmarkEnd w:id="67"/>
          </w:p>
        </w:tc>
        <w:tc>
          <w:tcPr>
            <w:tcW w:w="838" w:type="dxa"/>
          </w:tcPr>
          <w:p w:rsidR="00FE4F4E" w:rsidRDefault="00FE4F4E" w:rsidP="00FE4F4E">
            <w:pPr>
              <w:tabs>
                <w:tab w:val="left" w:pos="5400"/>
              </w:tabs>
              <w:rPr>
                <w:sz w:val="20"/>
              </w:rPr>
            </w:pPr>
            <w:bookmarkStart w:id="68" w:name="OLE_LINK118"/>
            <w:r>
              <w:rPr>
                <w:sz w:val="20"/>
              </w:rPr>
              <w:t>Figure1</w:t>
            </w:r>
            <w:bookmarkEnd w:id="68"/>
          </w:p>
        </w:tc>
        <w:tc>
          <w:tcPr>
            <w:tcW w:w="6864" w:type="dxa"/>
          </w:tcPr>
          <w:p w:rsidR="00FE4F4E" w:rsidRDefault="00FE4F4E" w:rsidP="00FE4F4E">
            <w:pPr>
              <w:tabs>
                <w:tab w:val="left" w:pos="5400"/>
              </w:tabs>
              <w:rPr>
                <w:sz w:val="20"/>
              </w:rPr>
            </w:pPr>
          </w:p>
        </w:tc>
      </w:tr>
      <w:tr w:rsidR="00FE4F4E" w:rsidRPr="0022554A" w:rsidTr="00BF394C">
        <w:tc>
          <w:tcPr>
            <w:tcW w:w="0" w:type="auto"/>
            <w:vMerge w:val="restart"/>
          </w:tcPr>
          <w:p w:rsidR="00FE4F4E" w:rsidRPr="0022554A" w:rsidRDefault="00FE4F4E" w:rsidP="00FE4F4E">
            <w:pPr>
              <w:tabs>
                <w:tab w:val="left" w:pos="5400"/>
              </w:tabs>
              <w:rPr>
                <w:bCs/>
                <w:sz w:val="20"/>
              </w:rPr>
            </w:pPr>
            <w:bookmarkStart w:id="69" w:name="bold33"/>
            <w:bookmarkStart w:id="70" w:name="italic34"/>
            <w:bookmarkEnd w:id="65"/>
            <w:bookmarkEnd w:id="66"/>
            <w:r w:rsidRPr="0022554A">
              <w:rPr>
                <w:bCs/>
                <w:sz w:val="20"/>
              </w:rPr>
              <w:t xml:space="preserve">Descriptive </w:t>
            </w:r>
            <w:bookmarkStart w:id="71" w:name="bold34"/>
            <w:bookmarkStart w:id="72" w:name="italic35"/>
            <w:bookmarkEnd w:id="69"/>
            <w:bookmarkEnd w:id="70"/>
            <w:r w:rsidRPr="0022554A">
              <w:rPr>
                <w:bCs/>
                <w:sz w:val="20"/>
              </w:rPr>
              <w:t>data</w:t>
            </w:r>
            <w:bookmarkEnd w:id="71"/>
            <w:bookmarkEnd w:id="72"/>
          </w:p>
        </w:tc>
        <w:tc>
          <w:tcPr>
            <w:tcW w:w="0" w:type="auto"/>
            <w:vMerge w:val="restart"/>
          </w:tcPr>
          <w:p w:rsidR="00FE4F4E" w:rsidRPr="0022554A" w:rsidRDefault="00FE4F4E" w:rsidP="00FE4F4E">
            <w:pPr>
              <w:tabs>
                <w:tab w:val="left" w:pos="5400"/>
              </w:tabs>
              <w:jc w:val="center"/>
              <w:rPr>
                <w:sz w:val="20"/>
              </w:rPr>
            </w:pPr>
            <w:r w:rsidRPr="0022554A">
              <w:rPr>
                <w:sz w:val="20"/>
              </w:rPr>
              <w:t>14</w:t>
            </w:r>
            <w:bookmarkStart w:id="73" w:name="bold35"/>
            <w:r w:rsidRPr="0022554A">
              <w:rPr>
                <w:bCs/>
                <w:sz w:val="20"/>
              </w:rPr>
              <w:t>*</w:t>
            </w:r>
            <w:bookmarkEnd w:id="73"/>
          </w:p>
        </w:tc>
        <w:tc>
          <w:tcPr>
            <w:tcW w:w="5020" w:type="dxa"/>
          </w:tcPr>
          <w:p w:rsidR="00FE4F4E" w:rsidRPr="0022554A" w:rsidRDefault="00FE4F4E" w:rsidP="00FE4F4E">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838" w:type="dxa"/>
          </w:tcPr>
          <w:p w:rsidR="00FE4F4E" w:rsidRDefault="00FE4F4E" w:rsidP="00FE4F4E">
            <w:pPr>
              <w:tabs>
                <w:tab w:val="left" w:pos="5400"/>
              </w:tabs>
              <w:rPr>
                <w:sz w:val="20"/>
              </w:rPr>
            </w:pPr>
            <w:r>
              <w:rPr>
                <w:sz w:val="20"/>
              </w:rPr>
              <w:t>6</w:t>
            </w:r>
          </w:p>
        </w:tc>
        <w:tc>
          <w:tcPr>
            <w:tcW w:w="6864" w:type="dxa"/>
          </w:tcPr>
          <w:p w:rsidR="00FE4F4E" w:rsidRDefault="00B52071" w:rsidP="00FE4F4E">
            <w:pPr>
              <w:tabs>
                <w:tab w:val="left" w:pos="5400"/>
              </w:tabs>
              <w:rPr>
                <w:sz w:val="20"/>
              </w:rPr>
            </w:pPr>
            <w:r w:rsidRPr="00B52071">
              <w:rPr>
                <w:sz w:val="20"/>
              </w:rPr>
              <w:t xml:space="preserve">the baseline clinical characteristics stratified by CI-AKI, including patient </w:t>
            </w:r>
            <w:proofErr w:type="gramStart"/>
            <w:r w:rsidRPr="00B52071">
              <w:rPr>
                <w:sz w:val="20"/>
              </w:rPr>
              <w:t>demographics,  clinical</w:t>
            </w:r>
            <w:proofErr w:type="gramEnd"/>
            <w:r w:rsidRPr="00B52071">
              <w:rPr>
                <w:sz w:val="20"/>
              </w:rPr>
              <w:t>, biochemical, angiographic, and procedural variables.</w:t>
            </w:r>
          </w:p>
        </w:tc>
      </w:tr>
      <w:tr w:rsidR="00FE4F4E" w:rsidRPr="0022554A" w:rsidTr="00BF394C">
        <w:tc>
          <w:tcPr>
            <w:tcW w:w="0" w:type="auto"/>
            <w:vMerge/>
          </w:tcPr>
          <w:p w:rsidR="00FE4F4E" w:rsidRPr="0022554A" w:rsidRDefault="00FE4F4E" w:rsidP="00FE4F4E">
            <w:pPr>
              <w:tabs>
                <w:tab w:val="left" w:pos="5400"/>
              </w:tabs>
              <w:rPr>
                <w:bCs/>
                <w:sz w:val="20"/>
              </w:rPr>
            </w:pPr>
            <w:bookmarkStart w:id="74" w:name="bold36" w:colFirst="0" w:colLast="0"/>
            <w:bookmarkStart w:id="75" w:name="italic36" w:colFirst="0" w:colLast="0"/>
          </w:p>
        </w:tc>
        <w:tc>
          <w:tcPr>
            <w:tcW w:w="0" w:type="auto"/>
            <w:vMerge/>
          </w:tcPr>
          <w:p w:rsidR="00FE4F4E" w:rsidRPr="0022554A" w:rsidRDefault="00FE4F4E" w:rsidP="00FE4F4E">
            <w:pPr>
              <w:tabs>
                <w:tab w:val="left" w:pos="5400"/>
              </w:tabs>
              <w:jc w:val="center"/>
              <w:rPr>
                <w:sz w:val="20"/>
              </w:rPr>
            </w:pPr>
          </w:p>
        </w:tc>
        <w:tc>
          <w:tcPr>
            <w:tcW w:w="5020" w:type="dxa"/>
          </w:tcPr>
          <w:p w:rsidR="00FE4F4E" w:rsidRPr="0022554A" w:rsidRDefault="00FE4F4E" w:rsidP="00FE4F4E">
            <w:pPr>
              <w:tabs>
                <w:tab w:val="left" w:pos="5400"/>
              </w:tabs>
              <w:rPr>
                <w:sz w:val="20"/>
              </w:rPr>
            </w:pPr>
            <w:r>
              <w:rPr>
                <w:sz w:val="20"/>
              </w:rPr>
              <w:t xml:space="preserve">(b) </w:t>
            </w:r>
            <w:r w:rsidRPr="0022554A">
              <w:rPr>
                <w:sz w:val="20"/>
              </w:rPr>
              <w:t>Indicate number of participants with missing data for each variable of interest</w:t>
            </w:r>
          </w:p>
        </w:tc>
        <w:tc>
          <w:tcPr>
            <w:tcW w:w="838" w:type="dxa"/>
          </w:tcPr>
          <w:p w:rsidR="00FE4F4E" w:rsidRDefault="00FE4F4E" w:rsidP="00FE4F4E">
            <w:pPr>
              <w:tabs>
                <w:tab w:val="left" w:pos="5400"/>
              </w:tabs>
              <w:rPr>
                <w:sz w:val="20"/>
              </w:rPr>
            </w:pPr>
            <w:r>
              <w:rPr>
                <w:sz w:val="20"/>
              </w:rPr>
              <w:t>6</w:t>
            </w:r>
          </w:p>
        </w:tc>
        <w:tc>
          <w:tcPr>
            <w:tcW w:w="6864" w:type="dxa"/>
          </w:tcPr>
          <w:p w:rsidR="00FE4F4E" w:rsidRDefault="00B52071" w:rsidP="00FE4F4E">
            <w:pPr>
              <w:tabs>
                <w:tab w:val="left" w:pos="5400"/>
              </w:tabs>
              <w:rPr>
                <w:sz w:val="20"/>
              </w:rPr>
            </w:pPr>
            <w:r w:rsidRPr="00B52071">
              <w:rPr>
                <w:sz w:val="20"/>
              </w:rPr>
              <w:t xml:space="preserve">The percentage of missing values was less than 1% for all variables in the study. Missing values of categorical variables were imputed to their most common value, and continuous variables to the median of the non-missing values.  </w:t>
            </w:r>
          </w:p>
        </w:tc>
      </w:tr>
      <w:tr w:rsidR="00FE4F4E" w:rsidRPr="0022554A" w:rsidTr="00BF394C">
        <w:tc>
          <w:tcPr>
            <w:tcW w:w="0" w:type="auto"/>
            <w:vMerge/>
          </w:tcPr>
          <w:p w:rsidR="00FE4F4E" w:rsidRPr="0022554A" w:rsidRDefault="00FE4F4E" w:rsidP="00FE4F4E">
            <w:pPr>
              <w:tabs>
                <w:tab w:val="left" w:pos="5400"/>
              </w:tabs>
              <w:rPr>
                <w:bCs/>
                <w:sz w:val="20"/>
              </w:rPr>
            </w:pPr>
            <w:bookmarkStart w:id="76" w:name="bold37" w:colFirst="0" w:colLast="0"/>
            <w:bookmarkStart w:id="77" w:name="italic37" w:colFirst="0" w:colLast="0"/>
            <w:bookmarkEnd w:id="74"/>
            <w:bookmarkEnd w:id="75"/>
          </w:p>
        </w:tc>
        <w:tc>
          <w:tcPr>
            <w:tcW w:w="0" w:type="auto"/>
            <w:vMerge/>
          </w:tcPr>
          <w:p w:rsidR="00FE4F4E" w:rsidRPr="0022554A" w:rsidRDefault="00FE4F4E" w:rsidP="00FE4F4E">
            <w:pPr>
              <w:tabs>
                <w:tab w:val="left" w:pos="5400"/>
              </w:tabs>
              <w:jc w:val="center"/>
              <w:rPr>
                <w:sz w:val="20"/>
              </w:rPr>
            </w:pPr>
          </w:p>
        </w:tc>
        <w:tc>
          <w:tcPr>
            <w:tcW w:w="5020" w:type="dxa"/>
          </w:tcPr>
          <w:p w:rsidR="00FE4F4E" w:rsidRPr="0022554A" w:rsidRDefault="00FE4F4E" w:rsidP="00FE4F4E">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838" w:type="dxa"/>
          </w:tcPr>
          <w:p w:rsidR="00FE4F4E" w:rsidRDefault="00FE4F4E" w:rsidP="00FE4F4E">
            <w:pPr>
              <w:tabs>
                <w:tab w:val="left" w:pos="5400"/>
              </w:tabs>
              <w:rPr>
                <w:sz w:val="20"/>
              </w:rPr>
            </w:pPr>
            <w:r>
              <w:rPr>
                <w:sz w:val="20"/>
              </w:rPr>
              <w:t>6</w:t>
            </w:r>
          </w:p>
        </w:tc>
        <w:tc>
          <w:tcPr>
            <w:tcW w:w="6864" w:type="dxa"/>
          </w:tcPr>
          <w:p w:rsidR="00FE4F4E" w:rsidRDefault="00B52071" w:rsidP="00FE4F4E">
            <w:pPr>
              <w:tabs>
                <w:tab w:val="left" w:pos="5400"/>
              </w:tabs>
              <w:rPr>
                <w:sz w:val="20"/>
              </w:rPr>
            </w:pPr>
            <w:r w:rsidRPr="00B52071">
              <w:rPr>
                <w:sz w:val="20"/>
              </w:rPr>
              <w:t xml:space="preserve">All patients completed a follow-up evaluation at the </w:t>
            </w:r>
            <w:r>
              <w:rPr>
                <w:sz w:val="20"/>
              </w:rPr>
              <w:t>1</w:t>
            </w:r>
            <w:r w:rsidRPr="00B52071">
              <w:rPr>
                <w:sz w:val="20"/>
              </w:rPr>
              <w:t>-year mark</w:t>
            </w:r>
          </w:p>
        </w:tc>
      </w:tr>
      <w:tr w:rsidR="00FE4F4E" w:rsidRPr="00B52071" w:rsidTr="00BF394C">
        <w:trPr>
          <w:trHeight w:val="295"/>
        </w:trPr>
        <w:tc>
          <w:tcPr>
            <w:tcW w:w="0" w:type="auto"/>
            <w:vMerge w:val="restart"/>
          </w:tcPr>
          <w:p w:rsidR="00FE4F4E" w:rsidRPr="0022554A" w:rsidRDefault="00FE4F4E" w:rsidP="00FE4F4E">
            <w:pPr>
              <w:tabs>
                <w:tab w:val="left" w:pos="5400"/>
              </w:tabs>
              <w:rPr>
                <w:bCs/>
                <w:sz w:val="20"/>
              </w:rPr>
            </w:pPr>
            <w:bookmarkStart w:id="78" w:name="bold38" w:colFirst="0" w:colLast="0"/>
            <w:bookmarkStart w:id="79" w:name="italic38" w:colFirst="0" w:colLast="0"/>
            <w:bookmarkEnd w:id="76"/>
            <w:bookmarkEnd w:id="77"/>
            <w:r w:rsidRPr="0022554A">
              <w:rPr>
                <w:bCs/>
                <w:sz w:val="20"/>
              </w:rPr>
              <w:t>Outcome data</w:t>
            </w:r>
          </w:p>
        </w:tc>
        <w:tc>
          <w:tcPr>
            <w:tcW w:w="0" w:type="auto"/>
            <w:vMerge w:val="restart"/>
          </w:tcPr>
          <w:p w:rsidR="00FE4F4E" w:rsidRPr="0022554A" w:rsidRDefault="00FE4F4E" w:rsidP="00FE4F4E">
            <w:pPr>
              <w:tabs>
                <w:tab w:val="left" w:pos="5400"/>
              </w:tabs>
              <w:jc w:val="center"/>
              <w:rPr>
                <w:sz w:val="20"/>
              </w:rPr>
            </w:pPr>
            <w:r w:rsidRPr="0022554A">
              <w:rPr>
                <w:sz w:val="20"/>
              </w:rPr>
              <w:t>15</w:t>
            </w:r>
            <w:bookmarkStart w:id="80" w:name="bold39"/>
            <w:r w:rsidRPr="0022554A">
              <w:rPr>
                <w:bCs/>
                <w:sz w:val="20"/>
              </w:rPr>
              <w:t>*</w:t>
            </w:r>
            <w:bookmarkEnd w:id="80"/>
          </w:p>
        </w:tc>
        <w:tc>
          <w:tcPr>
            <w:tcW w:w="5020" w:type="dxa"/>
          </w:tcPr>
          <w:p w:rsidR="00FE4F4E" w:rsidRPr="00B52071" w:rsidRDefault="00FE4F4E" w:rsidP="00FE4F4E">
            <w:pPr>
              <w:tabs>
                <w:tab w:val="left" w:pos="5400"/>
              </w:tabs>
              <w:rPr>
                <w:iCs/>
                <w:sz w:val="20"/>
              </w:rPr>
            </w:pPr>
            <w:r w:rsidRPr="00B52071">
              <w:rPr>
                <w:iCs/>
                <w:sz w:val="20"/>
              </w:rPr>
              <w:t>Cohort study—Report numbers of outcome events or summary measures over time</w:t>
            </w:r>
          </w:p>
        </w:tc>
        <w:tc>
          <w:tcPr>
            <w:tcW w:w="838" w:type="dxa"/>
          </w:tcPr>
          <w:p w:rsidR="00FE4F4E" w:rsidRPr="00B52071" w:rsidRDefault="00FE4F4E" w:rsidP="00FE4F4E">
            <w:pPr>
              <w:tabs>
                <w:tab w:val="left" w:pos="5400"/>
              </w:tabs>
              <w:rPr>
                <w:iCs/>
                <w:sz w:val="20"/>
              </w:rPr>
            </w:pPr>
            <w:r w:rsidRPr="00B52071">
              <w:rPr>
                <w:iCs/>
                <w:sz w:val="20"/>
              </w:rPr>
              <w:t>6</w:t>
            </w:r>
          </w:p>
        </w:tc>
        <w:tc>
          <w:tcPr>
            <w:tcW w:w="6864" w:type="dxa"/>
          </w:tcPr>
          <w:p w:rsidR="00FE4F4E" w:rsidRPr="00B52071" w:rsidRDefault="00B52071" w:rsidP="00FE4F4E">
            <w:pPr>
              <w:tabs>
                <w:tab w:val="left" w:pos="5400"/>
              </w:tabs>
              <w:rPr>
                <w:iCs/>
                <w:sz w:val="20"/>
              </w:rPr>
            </w:pPr>
            <w:r w:rsidRPr="00B52071">
              <w:rPr>
                <w:iCs/>
                <w:sz w:val="20"/>
              </w:rPr>
              <w:t>Patients with CI-AKI (referred to as the “CI-AKI group” hereafter) had a significantly higher WBC count than those without CI-AKI (referred to as the “Non-CI-AKI group” hereafter) (10.41 ± 5.37 vs. 8.09± 3.10 103mL, respectively; P= 0.004) and had a significantly lower chance of having used statins (P= 0.022) compared with patients in the Non-CI-AKI group.</w:t>
            </w:r>
          </w:p>
        </w:tc>
      </w:tr>
      <w:tr w:rsidR="00FE4F4E" w:rsidRPr="0022554A" w:rsidTr="00BF394C">
        <w:trPr>
          <w:trHeight w:val="294"/>
        </w:trPr>
        <w:tc>
          <w:tcPr>
            <w:tcW w:w="0" w:type="auto"/>
            <w:vMerge/>
          </w:tcPr>
          <w:p w:rsidR="00FE4F4E" w:rsidRPr="0022554A" w:rsidRDefault="00FE4F4E" w:rsidP="00FE4F4E">
            <w:pPr>
              <w:tabs>
                <w:tab w:val="left" w:pos="5400"/>
              </w:tabs>
              <w:rPr>
                <w:bCs/>
                <w:sz w:val="20"/>
              </w:rPr>
            </w:pPr>
          </w:p>
        </w:tc>
        <w:tc>
          <w:tcPr>
            <w:tcW w:w="0" w:type="auto"/>
            <w:vMerge/>
          </w:tcPr>
          <w:p w:rsidR="00FE4F4E" w:rsidRPr="0022554A" w:rsidRDefault="00FE4F4E" w:rsidP="00FE4F4E">
            <w:pPr>
              <w:tabs>
                <w:tab w:val="left" w:pos="5400"/>
              </w:tabs>
              <w:jc w:val="center"/>
              <w:rPr>
                <w:sz w:val="20"/>
              </w:rPr>
            </w:pPr>
          </w:p>
        </w:tc>
        <w:tc>
          <w:tcPr>
            <w:tcW w:w="5020" w:type="dxa"/>
          </w:tcPr>
          <w:p w:rsidR="00FE4F4E" w:rsidRPr="0022554A" w:rsidRDefault="00FE4F4E" w:rsidP="00FE4F4E">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838" w:type="dxa"/>
          </w:tcPr>
          <w:p w:rsidR="00FE4F4E" w:rsidRPr="0022554A" w:rsidRDefault="00FE4F4E" w:rsidP="00FE4F4E">
            <w:pPr>
              <w:tabs>
                <w:tab w:val="left" w:pos="5400"/>
              </w:tabs>
              <w:rPr>
                <w:i/>
                <w:sz w:val="20"/>
              </w:rPr>
            </w:pPr>
          </w:p>
        </w:tc>
        <w:tc>
          <w:tcPr>
            <w:tcW w:w="6864" w:type="dxa"/>
          </w:tcPr>
          <w:p w:rsidR="00FE4F4E" w:rsidRPr="0022554A" w:rsidRDefault="00FE4F4E" w:rsidP="00FE4F4E">
            <w:pPr>
              <w:tabs>
                <w:tab w:val="left" w:pos="5400"/>
              </w:tabs>
              <w:rPr>
                <w:i/>
                <w:sz w:val="20"/>
              </w:rPr>
            </w:pPr>
          </w:p>
        </w:tc>
      </w:tr>
      <w:tr w:rsidR="00FE4F4E" w:rsidRPr="0022554A" w:rsidTr="00BF394C">
        <w:trPr>
          <w:trHeight w:val="294"/>
        </w:trPr>
        <w:tc>
          <w:tcPr>
            <w:tcW w:w="0" w:type="auto"/>
            <w:vMerge/>
          </w:tcPr>
          <w:p w:rsidR="00FE4F4E" w:rsidRPr="0022554A" w:rsidRDefault="00FE4F4E" w:rsidP="00FE4F4E">
            <w:pPr>
              <w:tabs>
                <w:tab w:val="left" w:pos="5400"/>
              </w:tabs>
              <w:rPr>
                <w:bCs/>
                <w:sz w:val="20"/>
              </w:rPr>
            </w:pPr>
          </w:p>
        </w:tc>
        <w:tc>
          <w:tcPr>
            <w:tcW w:w="0" w:type="auto"/>
            <w:vMerge/>
          </w:tcPr>
          <w:p w:rsidR="00FE4F4E" w:rsidRPr="0022554A" w:rsidRDefault="00FE4F4E" w:rsidP="00FE4F4E">
            <w:pPr>
              <w:tabs>
                <w:tab w:val="left" w:pos="5400"/>
              </w:tabs>
              <w:jc w:val="center"/>
              <w:rPr>
                <w:sz w:val="20"/>
              </w:rPr>
            </w:pPr>
          </w:p>
        </w:tc>
        <w:tc>
          <w:tcPr>
            <w:tcW w:w="5020" w:type="dxa"/>
          </w:tcPr>
          <w:p w:rsidR="00FE4F4E" w:rsidRPr="0022554A" w:rsidRDefault="00FE4F4E" w:rsidP="00FE4F4E">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838" w:type="dxa"/>
          </w:tcPr>
          <w:p w:rsidR="00FE4F4E" w:rsidRDefault="00FE4F4E" w:rsidP="00FE4F4E">
            <w:pPr>
              <w:tabs>
                <w:tab w:val="left" w:pos="5400"/>
              </w:tabs>
              <w:rPr>
                <w:i/>
                <w:sz w:val="20"/>
              </w:rPr>
            </w:pPr>
          </w:p>
        </w:tc>
        <w:tc>
          <w:tcPr>
            <w:tcW w:w="6864" w:type="dxa"/>
          </w:tcPr>
          <w:p w:rsidR="00FE4F4E" w:rsidRDefault="00FE4F4E" w:rsidP="00FE4F4E">
            <w:pPr>
              <w:tabs>
                <w:tab w:val="left" w:pos="5400"/>
              </w:tabs>
              <w:rPr>
                <w:i/>
                <w:sz w:val="20"/>
              </w:rPr>
            </w:pPr>
          </w:p>
        </w:tc>
      </w:tr>
      <w:tr w:rsidR="00FE4F4E" w:rsidRPr="0022554A" w:rsidTr="00BF394C">
        <w:tc>
          <w:tcPr>
            <w:tcW w:w="0" w:type="auto"/>
            <w:vMerge w:val="restart"/>
          </w:tcPr>
          <w:p w:rsidR="00FE4F4E" w:rsidRPr="0022554A" w:rsidRDefault="00FE4F4E" w:rsidP="00FE4F4E">
            <w:pPr>
              <w:tabs>
                <w:tab w:val="left" w:pos="5400"/>
              </w:tabs>
              <w:rPr>
                <w:bCs/>
                <w:sz w:val="20"/>
              </w:rPr>
            </w:pPr>
            <w:bookmarkStart w:id="81" w:name="italic40" w:colFirst="0" w:colLast="0"/>
            <w:bookmarkStart w:id="82" w:name="bold41" w:colFirst="0" w:colLast="0"/>
            <w:bookmarkEnd w:id="78"/>
            <w:bookmarkEnd w:id="79"/>
            <w:r w:rsidRPr="0022554A">
              <w:rPr>
                <w:bCs/>
                <w:sz w:val="20"/>
              </w:rPr>
              <w:t>Main results</w:t>
            </w:r>
          </w:p>
        </w:tc>
        <w:tc>
          <w:tcPr>
            <w:tcW w:w="0" w:type="auto"/>
            <w:vMerge w:val="restart"/>
          </w:tcPr>
          <w:p w:rsidR="00FE4F4E" w:rsidRPr="0022554A" w:rsidRDefault="00FE4F4E" w:rsidP="00FE4F4E">
            <w:pPr>
              <w:tabs>
                <w:tab w:val="left" w:pos="5400"/>
              </w:tabs>
              <w:jc w:val="center"/>
              <w:rPr>
                <w:sz w:val="20"/>
              </w:rPr>
            </w:pPr>
            <w:r w:rsidRPr="0022554A">
              <w:rPr>
                <w:sz w:val="20"/>
              </w:rPr>
              <w:t>16</w:t>
            </w:r>
          </w:p>
        </w:tc>
        <w:tc>
          <w:tcPr>
            <w:tcW w:w="5020" w:type="dxa"/>
          </w:tcPr>
          <w:p w:rsidR="00FE4F4E" w:rsidRPr="006149D3" w:rsidRDefault="00FE4F4E" w:rsidP="00FE4F4E">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838" w:type="dxa"/>
          </w:tcPr>
          <w:p w:rsidR="00FE4F4E" w:rsidRPr="0022554A" w:rsidRDefault="00FE4F4E" w:rsidP="00FE4F4E">
            <w:pPr>
              <w:tabs>
                <w:tab w:val="left" w:pos="5400"/>
              </w:tabs>
              <w:rPr>
                <w:sz w:val="20"/>
              </w:rPr>
            </w:pPr>
            <w:r>
              <w:rPr>
                <w:sz w:val="20"/>
              </w:rPr>
              <w:t>6-7</w:t>
            </w:r>
          </w:p>
        </w:tc>
        <w:tc>
          <w:tcPr>
            <w:tcW w:w="6864" w:type="dxa"/>
          </w:tcPr>
          <w:p w:rsidR="00FE4F4E" w:rsidRPr="0022554A" w:rsidRDefault="00B52071" w:rsidP="00FE4F4E">
            <w:pPr>
              <w:tabs>
                <w:tab w:val="left" w:pos="5400"/>
              </w:tabs>
              <w:rPr>
                <w:sz w:val="20"/>
              </w:rPr>
            </w:pPr>
            <w:r w:rsidRPr="00B52071">
              <w:rPr>
                <w:sz w:val="20"/>
              </w:rPr>
              <w:t>Female patients, low blood pressure, peripheral vascular disease (PVD), intra-aortic balloon pump (IABP), heart failure (I-III), lower hemoglobin, and higher fasting glucose were more likely to develop CI-AKI.</w:t>
            </w:r>
          </w:p>
        </w:tc>
      </w:tr>
      <w:tr w:rsidR="00FE4F4E" w:rsidRPr="0022554A" w:rsidTr="00BF394C">
        <w:tc>
          <w:tcPr>
            <w:tcW w:w="0" w:type="auto"/>
            <w:vMerge/>
          </w:tcPr>
          <w:p w:rsidR="00FE4F4E" w:rsidRPr="0022554A" w:rsidRDefault="00FE4F4E" w:rsidP="00FE4F4E">
            <w:pPr>
              <w:tabs>
                <w:tab w:val="left" w:pos="5400"/>
              </w:tabs>
              <w:rPr>
                <w:bCs/>
                <w:sz w:val="20"/>
              </w:rPr>
            </w:pPr>
            <w:bookmarkStart w:id="83" w:name="italic41" w:colFirst="0" w:colLast="0"/>
            <w:bookmarkStart w:id="84" w:name="bold42" w:colFirst="0" w:colLast="0"/>
            <w:bookmarkEnd w:id="81"/>
            <w:bookmarkEnd w:id="82"/>
          </w:p>
        </w:tc>
        <w:tc>
          <w:tcPr>
            <w:tcW w:w="0" w:type="auto"/>
            <w:vMerge/>
          </w:tcPr>
          <w:p w:rsidR="00FE4F4E" w:rsidRPr="0022554A" w:rsidRDefault="00FE4F4E" w:rsidP="00FE4F4E">
            <w:pPr>
              <w:tabs>
                <w:tab w:val="left" w:pos="5400"/>
              </w:tabs>
              <w:jc w:val="center"/>
              <w:rPr>
                <w:sz w:val="20"/>
              </w:rPr>
            </w:pPr>
          </w:p>
        </w:tc>
        <w:tc>
          <w:tcPr>
            <w:tcW w:w="5020" w:type="dxa"/>
          </w:tcPr>
          <w:p w:rsidR="00FE4F4E" w:rsidRPr="006149D3" w:rsidRDefault="00FE4F4E" w:rsidP="00FE4F4E">
            <w:pPr>
              <w:tabs>
                <w:tab w:val="left" w:pos="5400"/>
              </w:tabs>
              <w:rPr>
                <w:sz w:val="20"/>
              </w:rPr>
            </w:pPr>
            <w:r w:rsidRPr="0022554A">
              <w:rPr>
                <w:sz w:val="20"/>
              </w:rPr>
              <w:t>(</w:t>
            </w:r>
            <w:r w:rsidRPr="0022554A">
              <w:rPr>
                <w:i/>
                <w:sz w:val="20"/>
              </w:rPr>
              <w:t>b</w:t>
            </w:r>
            <w:r w:rsidRPr="0022554A">
              <w:rPr>
                <w:sz w:val="20"/>
              </w:rPr>
              <w:t xml:space="preserve">) </w:t>
            </w:r>
            <w:bookmarkStart w:id="85" w:name="OLE_LINK120"/>
            <w:r w:rsidRPr="006149D3">
              <w:rPr>
                <w:sz w:val="20"/>
              </w:rPr>
              <w:t>Report category boundaries when continuous variables were categorized</w:t>
            </w:r>
            <w:bookmarkEnd w:id="85"/>
          </w:p>
        </w:tc>
        <w:tc>
          <w:tcPr>
            <w:tcW w:w="838" w:type="dxa"/>
          </w:tcPr>
          <w:p w:rsidR="00FE4F4E" w:rsidRPr="0022554A" w:rsidRDefault="00FE4F4E" w:rsidP="00FE4F4E">
            <w:pPr>
              <w:tabs>
                <w:tab w:val="left" w:pos="5400"/>
              </w:tabs>
              <w:rPr>
                <w:sz w:val="20"/>
              </w:rPr>
            </w:pPr>
            <w:r>
              <w:rPr>
                <w:sz w:val="20"/>
              </w:rPr>
              <w:t>6-7</w:t>
            </w:r>
          </w:p>
        </w:tc>
        <w:tc>
          <w:tcPr>
            <w:tcW w:w="6864" w:type="dxa"/>
          </w:tcPr>
          <w:p w:rsidR="00FE4F4E" w:rsidRPr="0022554A" w:rsidRDefault="00B52071" w:rsidP="00FE4F4E">
            <w:pPr>
              <w:tabs>
                <w:tab w:val="left" w:pos="5400"/>
              </w:tabs>
              <w:rPr>
                <w:sz w:val="20"/>
              </w:rPr>
            </w:pPr>
            <w:r w:rsidRPr="00B52071">
              <w:rPr>
                <w:rFonts w:hint="eastAsia"/>
                <w:sz w:val="20"/>
              </w:rPr>
              <w:t xml:space="preserve">ROC curve analysis of pre-procedural WBC count found that pre-procedural WBC count could be used to predict CI-AKI incidence. [area under the curve = 0.684 (95% confidence interval 0.545-0.723), P= 0.002] (Fig.2.). A cut-off value of </w:t>
            </w:r>
            <w:r w:rsidRPr="00B52071">
              <w:rPr>
                <w:rFonts w:hint="eastAsia"/>
                <w:sz w:val="20"/>
              </w:rPr>
              <w:t>≥</w:t>
            </w:r>
            <w:r w:rsidRPr="00B52071">
              <w:rPr>
                <w:rFonts w:hint="eastAsia"/>
                <w:sz w:val="20"/>
              </w:rPr>
              <w:t xml:space="preserve"> 11.03</w:t>
            </w:r>
            <w:r w:rsidRPr="00B52071">
              <w:rPr>
                <w:rFonts w:hint="eastAsia"/>
                <w:sz w:val="20"/>
              </w:rPr>
              <w:t>×</w:t>
            </w:r>
            <w:r w:rsidRPr="00B52071">
              <w:rPr>
                <w:rFonts w:hint="eastAsia"/>
                <w:sz w:val="20"/>
              </w:rPr>
              <w:t>10^9/L was ide</w:t>
            </w:r>
            <w:r w:rsidRPr="00B52071">
              <w:rPr>
                <w:sz w:val="20"/>
              </w:rPr>
              <w:t>ntified as optimal in predicting CI-AKI incidence, providing a sensitivity of 41.0% and specificity of 86.5%.</w:t>
            </w:r>
          </w:p>
        </w:tc>
      </w:tr>
      <w:tr w:rsidR="00FE4F4E" w:rsidRPr="0022554A" w:rsidTr="00BF394C">
        <w:tc>
          <w:tcPr>
            <w:tcW w:w="0" w:type="auto"/>
            <w:vMerge/>
          </w:tcPr>
          <w:p w:rsidR="00FE4F4E" w:rsidRPr="0022554A" w:rsidRDefault="00FE4F4E" w:rsidP="00FE4F4E">
            <w:pPr>
              <w:tabs>
                <w:tab w:val="left" w:pos="5400"/>
              </w:tabs>
              <w:rPr>
                <w:bCs/>
                <w:sz w:val="20"/>
              </w:rPr>
            </w:pPr>
            <w:bookmarkStart w:id="86" w:name="italic42" w:colFirst="0" w:colLast="0"/>
            <w:bookmarkStart w:id="87" w:name="bold43" w:colFirst="0" w:colLast="0"/>
            <w:bookmarkEnd w:id="83"/>
            <w:bookmarkEnd w:id="84"/>
          </w:p>
        </w:tc>
        <w:tc>
          <w:tcPr>
            <w:tcW w:w="0" w:type="auto"/>
            <w:vMerge/>
          </w:tcPr>
          <w:p w:rsidR="00FE4F4E" w:rsidRPr="0022554A" w:rsidRDefault="00FE4F4E" w:rsidP="00FE4F4E">
            <w:pPr>
              <w:tabs>
                <w:tab w:val="left" w:pos="5400"/>
              </w:tabs>
              <w:jc w:val="center"/>
              <w:rPr>
                <w:sz w:val="20"/>
              </w:rPr>
            </w:pPr>
          </w:p>
        </w:tc>
        <w:tc>
          <w:tcPr>
            <w:tcW w:w="5020" w:type="dxa"/>
          </w:tcPr>
          <w:p w:rsidR="00FE4F4E" w:rsidRPr="006149D3" w:rsidRDefault="00FE4F4E" w:rsidP="00FE4F4E">
            <w:pPr>
              <w:tabs>
                <w:tab w:val="left" w:pos="5400"/>
              </w:tabs>
              <w:rPr>
                <w:sz w:val="20"/>
              </w:rPr>
            </w:pPr>
            <w:r w:rsidRPr="0022554A">
              <w:rPr>
                <w:sz w:val="20"/>
              </w:rPr>
              <w:t>(</w:t>
            </w:r>
            <w:r w:rsidRPr="0022554A">
              <w:rPr>
                <w:i/>
                <w:sz w:val="20"/>
              </w:rPr>
              <w:t>c</w:t>
            </w:r>
            <w:r w:rsidRPr="0022554A">
              <w:rPr>
                <w:sz w:val="20"/>
              </w:rPr>
              <w:t xml:space="preserve">) </w:t>
            </w:r>
            <w:bookmarkStart w:id="88" w:name="OLE_LINK121"/>
            <w:r w:rsidRPr="006149D3">
              <w:rPr>
                <w:sz w:val="20"/>
              </w:rPr>
              <w:t>If relevant, consider translating estimates of relative risk into absolute risk for a meaningful time period</w:t>
            </w:r>
            <w:bookmarkEnd w:id="88"/>
          </w:p>
        </w:tc>
        <w:tc>
          <w:tcPr>
            <w:tcW w:w="838" w:type="dxa"/>
          </w:tcPr>
          <w:p w:rsidR="00FE4F4E" w:rsidRPr="0022554A" w:rsidRDefault="00FE4F4E" w:rsidP="00FE4F4E">
            <w:pPr>
              <w:tabs>
                <w:tab w:val="left" w:pos="5400"/>
              </w:tabs>
              <w:rPr>
                <w:sz w:val="20"/>
              </w:rPr>
            </w:pPr>
            <w:r>
              <w:rPr>
                <w:sz w:val="20"/>
              </w:rPr>
              <w:t>6-7</w:t>
            </w:r>
          </w:p>
        </w:tc>
        <w:tc>
          <w:tcPr>
            <w:tcW w:w="6864" w:type="dxa"/>
          </w:tcPr>
          <w:p w:rsidR="00FE4F4E" w:rsidRPr="0022554A" w:rsidRDefault="00B52071" w:rsidP="00FE4F4E">
            <w:pPr>
              <w:tabs>
                <w:tab w:val="left" w:pos="5400"/>
              </w:tabs>
              <w:rPr>
                <w:sz w:val="20"/>
              </w:rPr>
            </w:pPr>
            <w:r w:rsidRPr="00B52071">
              <w:rPr>
                <w:sz w:val="20"/>
              </w:rPr>
              <w:t>Apart from low Hb (OR 0.97,95% CI 0.95-0.99; P=0.002), fasting glucose (OR 1.10,95% CI 1.00-1.20; P=0.043), Iohexol (OR 4.55,95% CI 1.37-15.14; P=0.014), WBC count (OR 1.12,95% CI 1.03-1.21; P=0.006) remained significant and independent in predicting the occurrence of CI-AKI. The use of statins was identified as effective in preventing CI-AKI development (OR 0.24,95% CI 0.05-1.21; P=0.044).</w:t>
            </w:r>
          </w:p>
        </w:tc>
      </w:tr>
    </w:tbl>
    <w:p w:rsidR="00191A23" w:rsidRDefault="00191A23">
      <w:bookmarkStart w:id="89" w:name="italic43"/>
      <w:bookmarkStart w:id="90" w:name="bold44"/>
      <w:bookmarkEnd w:id="86"/>
      <w:bookmarkEnd w:id="87"/>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5559"/>
        <w:gridCol w:w="720"/>
        <w:gridCol w:w="6802"/>
      </w:tblGrid>
      <w:tr w:rsidR="00191A23" w:rsidRPr="0022554A" w:rsidTr="002D34DC">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9"/>
            <w:bookmarkEnd w:id="90"/>
          </w:p>
        </w:tc>
        <w:tc>
          <w:tcPr>
            <w:tcW w:w="0" w:type="auto"/>
          </w:tcPr>
          <w:p w:rsidR="00191A23" w:rsidRPr="0022554A" w:rsidRDefault="00191A23" w:rsidP="00191A23">
            <w:pPr>
              <w:tabs>
                <w:tab w:val="left" w:pos="5400"/>
              </w:tabs>
              <w:jc w:val="center"/>
              <w:rPr>
                <w:sz w:val="20"/>
              </w:rPr>
            </w:pPr>
            <w:r w:rsidRPr="0022554A">
              <w:rPr>
                <w:sz w:val="20"/>
              </w:rPr>
              <w:t>17</w:t>
            </w:r>
          </w:p>
        </w:tc>
        <w:tc>
          <w:tcPr>
            <w:tcW w:w="5559" w:type="dxa"/>
          </w:tcPr>
          <w:p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720" w:type="dxa"/>
          </w:tcPr>
          <w:p w:rsidR="00191A23" w:rsidRPr="0022554A" w:rsidRDefault="00FE4F4E" w:rsidP="00191A23">
            <w:pPr>
              <w:tabs>
                <w:tab w:val="left" w:pos="5400"/>
              </w:tabs>
              <w:rPr>
                <w:sz w:val="20"/>
              </w:rPr>
            </w:pPr>
            <w:r>
              <w:rPr>
                <w:sz w:val="20"/>
              </w:rPr>
              <w:t>NA</w:t>
            </w:r>
          </w:p>
        </w:tc>
        <w:tc>
          <w:tcPr>
            <w:tcW w:w="6802"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91" w:name="italic44"/>
            <w:bookmarkStart w:id="92" w:name="bold45"/>
            <w:r w:rsidRPr="0022554A">
              <w:rPr>
                <w:sz w:val="20"/>
              </w:rPr>
              <w:t>Discussion</w:t>
            </w:r>
            <w:bookmarkEnd w:id="91"/>
            <w:bookmarkEnd w:id="92"/>
          </w:p>
        </w:tc>
      </w:tr>
      <w:tr w:rsidR="00191A23" w:rsidRPr="0022554A" w:rsidTr="002D34DC">
        <w:tc>
          <w:tcPr>
            <w:tcW w:w="0" w:type="auto"/>
          </w:tcPr>
          <w:p w:rsidR="00191A23" w:rsidRPr="0022554A" w:rsidRDefault="00191A23" w:rsidP="00191A23">
            <w:pPr>
              <w:tabs>
                <w:tab w:val="left" w:pos="5400"/>
              </w:tabs>
              <w:rPr>
                <w:bCs/>
                <w:sz w:val="20"/>
              </w:rPr>
            </w:pPr>
            <w:bookmarkStart w:id="93" w:name="italic45" w:colFirst="0" w:colLast="0"/>
            <w:bookmarkStart w:id="94"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5559"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720" w:type="dxa"/>
          </w:tcPr>
          <w:p w:rsidR="00191A23" w:rsidRPr="0022554A" w:rsidRDefault="00C367B7" w:rsidP="00191A23">
            <w:pPr>
              <w:tabs>
                <w:tab w:val="left" w:pos="5400"/>
              </w:tabs>
              <w:rPr>
                <w:sz w:val="20"/>
              </w:rPr>
            </w:pPr>
            <w:r>
              <w:rPr>
                <w:sz w:val="20"/>
              </w:rPr>
              <w:t>7</w:t>
            </w:r>
          </w:p>
        </w:tc>
        <w:tc>
          <w:tcPr>
            <w:tcW w:w="6802" w:type="dxa"/>
          </w:tcPr>
          <w:p w:rsidR="00191A23" w:rsidRPr="0022554A" w:rsidRDefault="002D34DC" w:rsidP="00191A23">
            <w:pPr>
              <w:tabs>
                <w:tab w:val="left" w:pos="5400"/>
              </w:tabs>
              <w:rPr>
                <w:sz w:val="20"/>
              </w:rPr>
            </w:pPr>
            <w:r w:rsidRPr="002D34DC">
              <w:rPr>
                <w:rFonts w:hint="eastAsia"/>
                <w:sz w:val="20"/>
              </w:rPr>
              <w:t xml:space="preserve">A cut-off value of </w:t>
            </w:r>
            <w:r w:rsidRPr="002D34DC">
              <w:rPr>
                <w:rFonts w:hint="eastAsia"/>
                <w:sz w:val="20"/>
              </w:rPr>
              <w:t>≥</w:t>
            </w:r>
            <w:r w:rsidRPr="002D34DC">
              <w:rPr>
                <w:rFonts w:hint="eastAsia"/>
                <w:sz w:val="20"/>
              </w:rPr>
              <w:t xml:space="preserve"> 11.03</w:t>
            </w:r>
            <w:r w:rsidRPr="002D34DC">
              <w:rPr>
                <w:rFonts w:hint="eastAsia"/>
                <w:sz w:val="20"/>
              </w:rPr>
              <w:t>×</w:t>
            </w:r>
            <w:r w:rsidRPr="002D34DC">
              <w:rPr>
                <w:rFonts w:hint="eastAsia"/>
                <w:sz w:val="20"/>
              </w:rPr>
              <w:t>10^9/L was identified as optimal in predicting CI-AKI incidence, providing a sensitivity of 41.0% and specificity of 86.5%.</w:t>
            </w:r>
          </w:p>
        </w:tc>
      </w:tr>
      <w:tr w:rsidR="00191A23" w:rsidRPr="0022554A" w:rsidTr="002D34DC">
        <w:tc>
          <w:tcPr>
            <w:tcW w:w="0" w:type="auto"/>
          </w:tcPr>
          <w:p w:rsidR="00191A23" w:rsidRPr="0022554A" w:rsidRDefault="00191A23" w:rsidP="00191A23">
            <w:pPr>
              <w:tabs>
                <w:tab w:val="left" w:pos="5400"/>
              </w:tabs>
              <w:rPr>
                <w:bCs/>
                <w:sz w:val="20"/>
              </w:rPr>
            </w:pPr>
            <w:bookmarkStart w:id="95" w:name="italic46" w:colFirst="0" w:colLast="0"/>
            <w:bookmarkStart w:id="96" w:name="bold47" w:colFirst="0" w:colLast="0"/>
            <w:bookmarkEnd w:id="93"/>
            <w:bookmarkEnd w:id="94"/>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5559"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720" w:type="dxa"/>
          </w:tcPr>
          <w:p w:rsidR="00191A23" w:rsidRPr="0022554A" w:rsidRDefault="00C367B7" w:rsidP="00191A23">
            <w:pPr>
              <w:tabs>
                <w:tab w:val="left" w:pos="5400"/>
              </w:tabs>
              <w:rPr>
                <w:sz w:val="20"/>
              </w:rPr>
            </w:pPr>
            <w:r>
              <w:rPr>
                <w:sz w:val="20"/>
              </w:rPr>
              <w:t>9-10</w:t>
            </w:r>
          </w:p>
        </w:tc>
        <w:tc>
          <w:tcPr>
            <w:tcW w:w="6802" w:type="dxa"/>
          </w:tcPr>
          <w:p w:rsidR="00191A23" w:rsidRPr="0022554A" w:rsidRDefault="002D34DC" w:rsidP="00191A23">
            <w:pPr>
              <w:tabs>
                <w:tab w:val="left" w:pos="5400"/>
              </w:tabs>
              <w:rPr>
                <w:sz w:val="20"/>
              </w:rPr>
            </w:pPr>
            <w:r w:rsidRPr="002D34DC">
              <w:rPr>
                <w:sz w:val="20"/>
              </w:rPr>
              <w:t>This study is not without limitations. First, it is important to note, however, that this study was merely observational and was conducted in two medical centers with a small sample size which may have affected our results; Second, we excluded patients without measured plasma creatine upon admission or 24-72h after PCI procedure, which may introduce selection bias; Third, C-reactive protein (CRP) is the important of inflammatory factor, However, we just test CRP levels in some high-risk patients. This study would be more convincing with a detailed analysis of cytokines, for example, TNF-α, IL1, and IL6 in the plasma. However, this is just an observation study, so we didn’t test TNF-α, IL1, and IL6 in patients; Finally, Patients who developed CI-AKI showed significant differences in their baseline as compared to those who did not. Despite controlling for potential confounding factors related to known comorbidities and drug use, we cannot completely eliminate the possibility of unmeasured confounders affecting our results. Therefore, our findings should be considered as a hypothesis for further confirmation through additional studies.</w:t>
            </w:r>
          </w:p>
        </w:tc>
      </w:tr>
      <w:tr w:rsidR="00191A23" w:rsidRPr="0022554A" w:rsidTr="002D34DC">
        <w:tc>
          <w:tcPr>
            <w:tcW w:w="0" w:type="auto"/>
          </w:tcPr>
          <w:p w:rsidR="00191A23" w:rsidRPr="0022554A" w:rsidRDefault="00191A23" w:rsidP="00191A23">
            <w:pPr>
              <w:tabs>
                <w:tab w:val="left" w:pos="5400"/>
              </w:tabs>
              <w:rPr>
                <w:bCs/>
                <w:sz w:val="20"/>
              </w:rPr>
            </w:pPr>
            <w:bookmarkStart w:id="97" w:name="italic47" w:colFirst="0" w:colLast="0"/>
            <w:bookmarkStart w:id="98" w:name="bold48" w:colFirst="0" w:colLast="0"/>
            <w:bookmarkEnd w:id="95"/>
            <w:bookmarkEnd w:id="96"/>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5559" w:type="dxa"/>
          </w:tcPr>
          <w:p w:rsidR="00191A23" w:rsidRPr="0022554A" w:rsidRDefault="00191A23" w:rsidP="00191A23">
            <w:pPr>
              <w:tabs>
                <w:tab w:val="left" w:pos="5400"/>
              </w:tabs>
              <w:rPr>
                <w:sz w:val="20"/>
              </w:rPr>
            </w:pPr>
            <w:bookmarkStart w:id="99" w:name="OLE_LINK127"/>
            <w:r w:rsidRPr="0022554A">
              <w:rPr>
                <w:sz w:val="20"/>
              </w:rPr>
              <w:t>Give a cautious overall interpretation of results considering objectives, limitations, multiplicity of analyses, results from similar studies, and other relevant evidence</w:t>
            </w:r>
            <w:bookmarkEnd w:id="99"/>
          </w:p>
        </w:tc>
        <w:tc>
          <w:tcPr>
            <w:tcW w:w="720" w:type="dxa"/>
          </w:tcPr>
          <w:p w:rsidR="00191A23" w:rsidRPr="0022554A" w:rsidRDefault="00C367B7" w:rsidP="00191A23">
            <w:pPr>
              <w:tabs>
                <w:tab w:val="left" w:pos="5400"/>
              </w:tabs>
              <w:rPr>
                <w:sz w:val="20"/>
              </w:rPr>
            </w:pPr>
            <w:r>
              <w:rPr>
                <w:sz w:val="20"/>
              </w:rPr>
              <w:t>9</w:t>
            </w:r>
          </w:p>
        </w:tc>
        <w:tc>
          <w:tcPr>
            <w:tcW w:w="6802" w:type="dxa"/>
          </w:tcPr>
          <w:p w:rsidR="00191A23" w:rsidRPr="0022554A" w:rsidRDefault="002D34DC" w:rsidP="00191A23">
            <w:pPr>
              <w:tabs>
                <w:tab w:val="left" w:pos="5400"/>
              </w:tabs>
              <w:rPr>
                <w:sz w:val="20"/>
              </w:rPr>
            </w:pPr>
            <w:r w:rsidRPr="002D34DC">
              <w:rPr>
                <w:sz w:val="20"/>
              </w:rPr>
              <w:t>WBC count is an independent and powerful predictor of risk for CI-AKI in patients undergoing PCI. ROC curve analysis showed that a baseline WBC count of 11.03 was a fair preliminary indicator of creatinine increases, and patients who experienced CI-AKI had a notably lower 1-year survival rate compared to those who did not suffer from CI-AKI.</w:t>
            </w:r>
          </w:p>
        </w:tc>
      </w:tr>
      <w:tr w:rsidR="00191A23" w:rsidRPr="0022554A" w:rsidTr="002D34DC">
        <w:tc>
          <w:tcPr>
            <w:tcW w:w="0" w:type="auto"/>
          </w:tcPr>
          <w:p w:rsidR="00191A23" w:rsidRPr="0022554A" w:rsidRDefault="00191A23" w:rsidP="00191A23">
            <w:pPr>
              <w:tabs>
                <w:tab w:val="left" w:pos="5400"/>
              </w:tabs>
              <w:rPr>
                <w:bCs/>
                <w:sz w:val="20"/>
              </w:rPr>
            </w:pPr>
            <w:bookmarkStart w:id="100" w:name="italic48" w:colFirst="0" w:colLast="0"/>
            <w:bookmarkStart w:id="101" w:name="bold49" w:colFirst="0" w:colLast="0"/>
            <w:bookmarkEnd w:id="97"/>
            <w:bookmarkEnd w:id="98"/>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5559"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720" w:type="dxa"/>
          </w:tcPr>
          <w:p w:rsidR="00191A23" w:rsidRPr="0022554A" w:rsidRDefault="00C367B7" w:rsidP="00191A23">
            <w:pPr>
              <w:tabs>
                <w:tab w:val="left" w:pos="5400"/>
              </w:tabs>
              <w:rPr>
                <w:sz w:val="20"/>
              </w:rPr>
            </w:pPr>
            <w:r>
              <w:rPr>
                <w:sz w:val="20"/>
              </w:rPr>
              <w:t>9</w:t>
            </w:r>
          </w:p>
        </w:tc>
        <w:tc>
          <w:tcPr>
            <w:tcW w:w="6802" w:type="dxa"/>
          </w:tcPr>
          <w:p w:rsidR="00191A23" w:rsidRPr="0022554A" w:rsidRDefault="002D34DC" w:rsidP="00191A23">
            <w:pPr>
              <w:tabs>
                <w:tab w:val="left" w:pos="5400"/>
              </w:tabs>
              <w:rPr>
                <w:sz w:val="20"/>
              </w:rPr>
            </w:pPr>
            <w:r w:rsidRPr="002D34DC">
              <w:rPr>
                <w:sz w:val="20"/>
              </w:rPr>
              <w:t>There is mounting evidence supporting the use of WBC count as a prognostic marker for determining CI-AKI risk in patients who receive PCI. To effectively use this marker in clinical settings, further studies are needed to establish treatment options, identify anti-inflammatory medications, and compare its utility with other known inflammatory markers.</w:t>
            </w: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102" w:name="italic49"/>
            <w:bookmarkStart w:id="103" w:name="bold50"/>
            <w:bookmarkEnd w:id="100"/>
            <w:bookmarkEnd w:id="101"/>
            <w:r w:rsidRPr="0022554A">
              <w:rPr>
                <w:sz w:val="20"/>
              </w:rPr>
              <w:t>Other information</w:t>
            </w:r>
          </w:p>
        </w:tc>
        <w:bookmarkEnd w:id="102"/>
        <w:bookmarkEnd w:id="103"/>
        <w:tc>
          <w:tcPr>
            <w:tcW w:w="13081" w:type="dxa"/>
            <w:gridSpan w:val="3"/>
          </w:tcPr>
          <w:p w:rsidR="00191A23" w:rsidRPr="0022554A" w:rsidRDefault="00191A23" w:rsidP="00191A23">
            <w:pPr>
              <w:pStyle w:val="TableSubHead"/>
              <w:tabs>
                <w:tab w:val="left" w:pos="5400"/>
              </w:tabs>
              <w:rPr>
                <w:sz w:val="20"/>
              </w:rPr>
            </w:pPr>
          </w:p>
        </w:tc>
      </w:tr>
      <w:tr w:rsidR="00191A23" w:rsidRPr="0022554A" w:rsidTr="002D34DC">
        <w:tc>
          <w:tcPr>
            <w:tcW w:w="0" w:type="auto"/>
          </w:tcPr>
          <w:p w:rsidR="00191A23" w:rsidRPr="0022554A" w:rsidRDefault="00191A23" w:rsidP="00191A23">
            <w:pPr>
              <w:tabs>
                <w:tab w:val="left" w:pos="5400"/>
              </w:tabs>
              <w:rPr>
                <w:bCs/>
                <w:sz w:val="20"/>
              </w:rPr>
            </w:pPr>
            <w:bookmarkStart w:id="104" w:name="italic50" w:colFirst="0" w:colLast="0"/>
            <w:bookmarkStart w:id="105" w:name="bold51" w:colFirst="0" w:colLast="0"/>
            <w:r w:rsidRPr="0022554A">
              <w:rPr>
                <w:bCs/>
                <w:sz w:val="20"/>
              </w:rPr>
              <w:lastRenderedPageBreak/>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5559"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720" w:type="dxa"/>
          </w:tcPr>
          <w:p w:rsidR="00191A23" w:rsidRPr="0022554A" w:rsidRDefault="00C367B7" w:rsidP="00191A23">
            <w:pPr>
              <w:tabs>
                <w:tab w:val="left" w:pos="5400"/>
              </w:tabs>
              <w:rPr>
                <w:sz w:val="20"/>
              </w:rPr>
            </w:pPr>
            <w:r>
              <w:rPr>
                <w:sz w:val="20"/>
              </w:rPr>
              <w:t>10</w:t>
            </w:r>
          </w:p>
        </w:tc>
        <w:tc>
          <w:tcPr>
            <w:tcW w:w="6802" w:type="dxa"/>
          </w:tcPr>
          <w:p w:rsidR="00191A23" w:rsidRPr="0022554A" w:rsidRDefault="002D34DC" w:rsidP="002D34DC">
            <w:pPr>
              <w:rPr>
                <w:sz w:val="20"/>
              </w:rPr>
            </w:pPr>
            <w:r w:rsidRPr="002D34DC">
              <w:rPr>
                <w:sz w:val="20"/>
              </w:rPr>
              <w:t>This work was supported by the National Natural Science Foundation of China (No. 81803639)</w:t>
            </w:r>
          </w:p>
        </w:tc>
      </w:tr>
      <w:bookmarkEnd w:id="104"/>
      <w:bookmarkEnd w:id="105"/>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C77" w:rsidRDefault="000D5C77">
      <w:r>
        <w:separator/>
      </w:r>
    </w:p>
  </w:endnote>
  <w:endnote w:type="continuationSeparator" w:id="0">
    <w:p w:rsidR="000D5C77" w:rsidRDefault="000D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C77" w:rsidRDefault="000D5C77">
      <w:r>
        <w:separator/>
      </w:r>
    </w:p>
  </w:footnote>
  <w:footnote w:type="continuationSeparator" w:id="0">
    <w:p w:rsidR="000D5C77" w:rsidRDefault="000D5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818841580">
    <w:abstractNumId w:val="20"/>
  </w:num>
  <w:num w:numId="2" w16cid:durableId="1274897086">
    <w:abstractNumId w:val="11"/>
  </w:num>
  <w:num w:numId="3" w16cid:durableId="448938254">
    <w:abstractNumId w:val="18"/>
  </w:num>
  <w:num w:numId="4" w16cid:durableId="1564759322">
    <w:abstractNumId w:val="16"/>
  </w:num>
  <w:num w:numId="5" w16cid:durableId="562757840">
    <w:abstractNumId w:val="15"/>
  </w:num>
  <w:num w:numId="6" w16cid:durableId="922882732">
    <w:abstractNumId w:val="19"/>
  </w:num>
  <w:num w:numId="7" w16cid:durableId="1267426879">
    <w:abstractNumId w:val="10"/>
  </w:num>
  <w:num w:numId="8" w16cid:durableId="1807819056">
    <w:abstractNumId w:val="13"/>
  </w:num>
  <w:num w:numId="9" w16cid:durableId="406461872">
    <w:abstractNumId w:val="9"/>
  </w:num>
  <w:num w:numId="10" w16cid:durableId="2003965931">
    <w:abstractNumId w:val="14"/>
  </w:num>
  <w:num w:numId="11" w16cid:durableId="1064372776">
    <w:abstractNumId w:val="7"/>
  </w:num>
  <w:num w:numId="12" w16cid:durableId="397558111">
    <w:abstractNumId w:val="6"/>
  </w:num>
  <w:num w:numId="13" w16cid:durableId="21438341">
    <w:abstractNumId w:val="5"/>
  </w:num>
  <w:num w:numId="14" w16cid:durableId="572857709">
    <w:abstractNumId w:val="4"/>
  </w:num>
  <w:num w:numId="15" w16cid:durableId="1028262232">
    <w:abstractNumId w:val="8"/>
  </w:num>
  <w:num w:numId="16" w16cid:durableId="329868041">
    <w:abstractNumId w:val="3"/>
  </w:num>
  <w:num w:numId="17" w16cid:durableId="1385832080">
    <w:abstractNumId w:val="2"/>
  </w:num>
  <w:num w:numId="18" w16cid:durableId="419640431">
    <w:abstractNumId w:val="1"/>
  </w:num>
  <w:num w:numId="19" w16cid:durableId="494347363">
    <w:abstractNumId w:val="0"/>
  </w:num>
  <w:num w:numId="20" w16cid:durableId="1068842903">
    <w:abstractNumId w:val="12"/>
  </w:num>
  <w:num w:numId="21" w16cid:durableId="14664638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550C9"/>
    <w:rsid w:val="00093E3A"/>
    <w:rsid w:val="000B6FD4"/>
    <w:rsid w:val="000D5C77"/>
    <w:rsid w:val="000E3193"/>
    <w:rsid w:val="000E691B"/>
    <w:rsid w:val="000F26ED"/>
    <w:rsid w:val="00110BFB"/>
    <w:rsid w:val="00134AAC"/>
    <w:rsid w:val="00191A23"/>
    <w:rsid w:val="001924B9"/>
    <w:rsid w:val="001A495C"/>
    <w:rsid w:val="001A75E9"/>
    <w:rsid w:val="001D558F"/>
    <w:rsid w:val="001E02AD"/>
    <w:rsid w:val="0021265E"/>
    <w:rsid w:val="00215E03"/>
    <w:rsid w:val="00224268"/>
    <w:rsid w:val="0022554A"/>
    <w:rsid w:val="00226A29"/>
    <w:rsid w:val="002552FD"/>
    <w:rsid w:val="002602FB"/>
    <w:rsid w:val="00266218"/>
    <w:rsid w:val="002804DB"/>
    <w:rsid w:val="002A1946"/>
    <w:rsid w:val="002B385C"/>
    <w:rsid w:val="002C731D"/>
    <w:rsid w:val="002D06D0"/>
    <w:rsid w:val="002D1ABE"/>
    <w:rsid w:val="002D34DC"/>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20DB"/>
    <w:rsid w:val="00816966"/>
    <w:rsid w:val="00817D26"/>
    <w:rsid w:val="00821CD4"/>
    <w:rsid w:val="008423A7"/>
    <w:rsid w:val="008440CC"/>
    <w:rsid w:val="00890F1A"/>
    <w:rsid w:val="0089107E"/>
    <w:rsid w:val="00891604"/>
    <w:rsid w:val="008A68C4"/>
    <w:rsid w:val="008D225B"/>
    <w:rsid w:val="008D5280"/>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2071"/>
    <w:rsid w:val="00B54EA0"/>
    <w:rsid w:val="00B60EFB"/>
    <w:rsid w:val="00B65366"/>
    <w:rsid w:val="00B77807"/>
    <w:rsid w:val="00B84E46"/>
    <w:rsid w:val="00B93760"/>
    <w:rsid w:val="00B940E9"/>
    <w:rsid w:val="00BA1206"/>
    <w:rsid w:val="00BC7FE6"/>
    <w:rsid w:val="00BE3709"/>
    <w:rsid w:val="00BF394C"/>
    <w:rsid w:val="00C367B7"/>
    <w:rsid w:val="00CA489B"/>
    <w:rsid w:val="00CB6CC8"/>
    <w:rsid w:val="00CC4C93"/>
    <w:rsid w:val="00CF2813"/>
    <w:rsid w:val="00D120D2"/>
    <w:rsid w:val="00D20D7C"/>
    <w:rsid w:val="00D26FCA"/>
    <w:rsid w:val="00D6407C"/>
    <w:rsid w:val="00D87AF7"/>
    <w:rsid w:val="00DA120C"/>
    <w:rsid w:val="00DC4BEF"/>
    <w:rsid w:val="00E01066"/>
    <w:rsid w:val="00E05BD8"/>
    <w:rsid w:val="00E10628"/>
    <w:rsid w:val="00E144CD"/>
    <w:rsid w:val="00E2292B"/>
    <w:rsid w:val="00E341E9"/>
    <w:rsid w:val="00E56D25"/>
    <w:rsid w:val="00E9548F"/>
    <w:rsid w:val="00EA6E28"/>
    <w:rsid w:val="00F0752A"/>
    <w:rsid w:val="00F16B39"/>
    <w:rsid w:val="00F20424"/>
    <w:rsid w:val="00F378D0"/>
    <w:rsid w:val="00F6194F"/>
    <w:rsid w:val="00F76A7F"/>
    <w:rsid w:val="00F838E1"/>
    <w:rsid w:val="00F842DC"/>
    <w:rsid w:val="00F876FF"/>
    <w:rsid w:val="00F93A89"/>
    <w:rsid w:val="00F970FA"/>
    <w:rsid w:val="00FA2721"/>
    <w:rsid w:val="00FA3D11"/>
    <w:rsid w:val="00FE1685"/>
    <w:rsid w:val="00FE4F4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2D9A8"/>
  <w15:docId w15:val="{58BEBF9B-1EFC-384A-913A-7A4E49BB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107</TotalTime>
  <Pages>9</Pages>
  <Words>2958</Words>
  <Characters>16866</Characters>
  <Application>Microsoft Office Word</Application>
  <DocSecurity>0</DocSecurity>
  <Lines>140</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Liying Gong</cp:lastModifiedBy>
  <cp:revision>21</cp:revision>
  <cp:lastPrinted>2014-09-01T08:36:00Z</cp:lastPrinted>
  <dcterms:created xsi:type="dcterms:W3CDTF">2023-10-09T04:11:00Z</dcterms:created>
  <dcterms:modified xsi:type="dcterms:W3CDTF">2023-10-22T13:25:00Z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