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746AF" w14:textId="77777777" w:rsidR="009E67C3" w:rsidRPr="00267BFA" w:rsidRDefault="00000000" w:rsidP="00267BFA">
      <w:pPr>
        <w:pStyle w:val="2"/>
        <w:widowControl/>
        <w:snapToGrid w:val="0"/>
        <w:spacing w:beforeAutospacing="0" w:afterAutospacing="0" w:line="480" w:lineRule="auto"/>
        <w:contextualSpacing/>
        <w:mirrorIndents/>
        <w:rPr>
          <w:rFonts w:ascii="Times New Roman" w:eastAsiaTheme="minorEastAsia" w:hAnsi="Times New Roman" w:hint="default"/>
          <w:kern w:val="2"/>
          <w:sz w:val="24"/>
          <w:szCs w:val="24"/>
        </w:rPr>
      </w:pPr>
      <w:r w:rsidRPr="00267BFA">
        <w:rPr>
          <w:rFonts w:ascii="Times New Roman" w:eastAsiaTheme="minorEastAsia" w:hAnsi="Times New Roman" w:hint="default"/>
          <w:kern w:val="2"/>
          <w:sz w:val="24"/>
          <w:szCs w:val="24"/>
        </w:rPr>
        <w:t>Systematic Review and/or Meta-Analysis Rationale</w:t>
      </w:r>
    </w:p>
    <w:p w14:paraId="3D9F78A6" w14:textId="77777777" w:rsidR="009E67C3" w:rsidRPr="00267BFA" w:rsidRDefault="00000000" w:rsidP="00267BFA">
      <w:pPr>
        <w:pStyle w:val="a3"/>
        <w:widowControl/>
        <w:snapToGrid w:val="0"/>
        <w:spacing w:beforeAutospacing="0" w:afterAutospacing="0" w:line="480" w:lineRule="auto"/>
        <w:contextualSpacing/>
        <w:mirrorIndents/>
        <w:rPr>
          <w:rFonts w:ascii="Times New Roman" w:hAnsi="Times New Roman"/>
          <w:kern w:val="2"/>
        </w:rPr>
      </w:pPr>
      <w:r w:rsidRPr="00267BFA">
        <w:rPr>
          <w:rFonts w:ascii="Times New Roman" w:hAnsi="Times New Roman"/>
          <w:kern w:val="2"/>
        </w:rPr>
        <w:t>For systematic reviews / meta-analyses, authors need to provide the following information:</w:t>
      </w:r>
    </w:p>
    <w:p w14:paraId="29E44050" w14:textId="77777777" w:rsidR="009E67C3" w:rsidRPr="00267BFA" w:rsidRDefault="00000000" w:rsidP="00267BFA">
      <w:pPr>
        <w:widowControl/>
        <w:tabs>
          <w:tab w:val="left" w:pos="720"/>
        </w:tabs>
        <w:snapToGrid w:val="0"/>
        <w:spacing w:line="480" w:lineRule="auto"/>
        <w:contextualSpacing/>
        <w:mirrorIndents/>
        <w:jc w:val="left"/>
        <w:rPr>
          <w:rFonts w:ascii="Times New Roman" w:hAnsi="Times New Roman" w:cs="Times New Roman"/>
          <w:sz w:val="24"/>
        </w:rPr>
      </w:pPr>
      <w:r w:rsidRPr="00267BFA">
        <w:rPr>
          <w:rFonts w:ascii="Times New Roman" w:hAnsi="Times New Roman" w:cs="Times New Roman"/>
          <w:sz w:val="24"/>
        </w:rPr>
        <w:t>1.The rationale for conducting the systematic review / meta-analysis.</w:t>
      </w:r>
    </w:p>
    <w:p w14:paraId="675C2E10" w14:textId="5CB900F2" w:rsidR="009E67C3" w:rsidRPr="00267BFA" w:rsidRDefault="00000000" w:rsidP="00267BFA">
      <w:pPr>
        <w:widowControl/>
        <w:snapToGrid w:val="0"/>
        <w:spacing w:line="480" w:lineRule="auto"/>
        <w:mirrorIndents/>
        <w:jc w:val="left"/>
        <w:rPr>
          <w:rFonts w:hint="eastAsia"/>
          <w:sz w:val="24"/>
        </w:rPr>
      </w:pPr>
      <w:r w:rsidRPr="00267BFA">
        <w:rPr>
          <w:rFonts w:ascii="Times New Roman" w:hAnsi="Times New Roman" w:cs="Times New Roman"/>
          <w:b/>
          <w:bCs/>
          <w:sz w:val="24"/>
        </w:rPr>
        <w:t>Reply:</w:t>
      </w:r>
      <w:r w:rsidR="00267BFA">
        <w:rPr>
          <w:rFonts w:hint="eastAsia"/>
          <w:sz w:val="24"/>
        </w:rPr>
        <w:t xml:space="preserve"> </w:t>
      </w:r>
      <w:r w:rsidRPr="00267BF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A network meta-analysis compared the efficacy of different VEGF monoclonal antibodies in the treatment of nAMD, and Brolucizumab showed a more prominent effect. In addition, Brolucizumab has been shown to be the result of switching to brolucizumab in patients with neovascular age-related macular degeneration with an incomplete response to Ranibizumab or Aflibercept.</w:t>
      </w:r>
    </w:p>
    <w:p w14:paraId="56600815" w14:textId="77777777" w:rsidR="009E67C3" w:rsidRPr="00267BFA" w:rsidRDefault="009E67C3" w:rsidP="00267BFA">
      <w:pPr>
        <w:widowControl/>
        <w:snapToGrid w:val="0"/>
        <w:spacing w:line="480" w:lineRule="auto"/>
        <w:contextualSpacing/>
        <w:mirrorIndents/>
        <w:jc w:val="left"/>
        <w:rPr>
          <w:rFonts w:ascii="Times New Roman" w:hAnsi="Times New Roman" w:cs="Times New Roman"/>
          <w:sz w:val="24"/>
        </w:rPr>
      </w:pPr>
    </w:p>
    <w:p w14:paraId="3D22F987" w14:textId="77777777" w:rsidR="009E67C3" w:rsidRPr="00267BFA" w:rsidRDefault="00000000" w:rsidP="00267BFA">
      <w:pPr>
        <w:widowControl/>
        <w:tabs>
          <w:tab w:val="left" w:pos="720"/>
        </w:tabs>
        <w:snapToGrid w:val="0"/>
        <w:spacing w:line="480" w:lineRule="auto"/>
        <w:contextualSpacing/>
        <w:mirrorIndents/>
        <w:jc w:val="left"/>
        <w:rPr>
          <w:rFonts w:ascii="Times New Roman" w:hAnsi="Times New Roman" w:cs="Times New Roman"/>
          <w:sz w:val="24"/>
        </w:rPr>
      </w:pPr>
      <w:r w:rsidRPr="00267BFA">
        <w:rPr>
          <w:rFonts w:ascii="Times New Roman" w:hAnsi="Times New Roman" w:cs="Times New Roman"/>
          <w:sz w:val="24"/>
        </w:rPr>
        <w:t>2.The contribution that it makes to knowledge in light of previously published related reports, including other meta-analyses and systematic reviews.</w:t>
      </w:r>
    </w:p>
    <w:p w14:paraId="01CB791A" w14:textId="0CCB9DC3" w:rsidR="009E67C3" w:rsidRPr="00267BFA" w:rsidRDefault="00000000" w:rsidP="00267BFA">
      <w:pPr>
        <w:widowControl/>
        <w:snapToGrid w:val="0"/>
        <w:spacing w:line="480" w:lineRule="auto"/>
        <w:contextualSpacing/>
        <w:mirrorIndents/>
        <w:jc w:val="left"/>
        <w:rPr>
          <w:rFonts w:ascii="Times New Roman" w:hAnsi="Times New Roman" w:cs="Times New Roman"/>
          <w:b/>
          <w:bCs/>
          <w:sz w:val="24"/>
        </w:rPr>
      </w:pPr>
      <w:r w:rsidRPr="00267BFA">
        <w:rPr>
          <w:rFonts w:ascii="Times New Roman" w:hAnsi="Times New Roman" w:cs="Times New Roman"/>
          <w:b/>
          <w:bCs/>
          <w:sz w:val="24"/>
        </w:rPr>
        <w:t>Reply:</w:t>
      </w:r>
      <w:r w:rsidR="00267BF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</w:t>
      </w:r>
      <w:r w:rsidRPr="00267BF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A</w:t>
      </w:r>
      <w:r w:rsidRPr="00267BF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lthough there have been mesh meta-analyses comparing the efficacy of Brolucizumab with other anti-VEGF drugs, no meta-analysis has been published on the safety and efficacy of Brolucizumab, and recent studies have shown that there are certain adverse events associated with the use of Brolucizumab.</w:t>
      </w:r>
    </w:p>
    <w:sectPr w:rsidR="009E67C3" w:rsidRPr="0026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C3"/>
    <w:rsid w:val="00267BFA"/>
    <w:rsid w:val="009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6699"/>
  <w15:docId w15:val="{B7991325-DFFD-4FE6-B2FF-E1C0233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念念</dc:creator>
  <cp:lastModifiedBy>统计之光E</cp:lastModifiedBy>
  <cp:revision>4</cp:revision>
  <dcterms:created xsi:type="dcterms:W3CDTF">2023-06-25T06:33:00Z</dcterms:created>
  <dcterms:modified xsi:type="dcterms:W3CDTF">2023-11-28T01:23:00Z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2052-12.6.0</vt:lpwstr>
  </property>
  <property fmtid="{D5CDD505-2E9C-101B-9397-08002B2CF9AE}" pid="3" name="ICV">
    <vt:lpwstr>08135A6215514CC2916F8C42A80E635F_13</vt:lpwstr>
  </property>
</Properties>
</file>