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" w:hAnsi="Times"/>
          <w:sz w:val="24"/>
          <w:szCs w:val="24"/>
        </w:rPr>
        <w:t>The power of scRNA-seq was evaluated using the R package RNASeqPower (version: 1.40.0, https://bioconductor.org/packages/RNASeqPower/). With parameters set to effect=0.5 and alpha=0.05, the calculated RNASeqPower was 0.9994395.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C0FD1"/>
    <w:rsid w:val="FFD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2024-01-16T22:16:00Z</dcterms:created>
  <dc:creator>独伊无二</dc:creator>
  <cp:lastModifiedBy>独伊无二</cp:lastModifiedBy>
  <dcterms:modified xsi:type="dcterms:W3CDTF">2024-01-16T22:17:53Z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9F6B7BA29CF48587D08FA66582954216_41</vt:lpwstr>
  </property>
</Properties>
</file>