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70DB" w14:textId="77777777" w:rsidR="00AD3658" w:rsidRPr="00CE4480" w:rsidRDefault="00AD3658" w:rsidP="00AD3658">
      <w:pPr>
        <w:pStyle w:val="TableTitle"/>
        <w:rPr>
          <w:sz w:val="22"/>
          <w:szCs w:val="22"/>
        </w:rPr>
      </w:pPr>
      <w:r w:rsidRPr="00CE4480">
        <w:rPr>
          <w:sz w:val="22"/>
          <w:szCs w:val="22"/>
        </w:rPr>
        <w:t>STROBE Statement—</w:t>
      </w:r>
      <w:r>
        <w:rPr>
          <w:sz w:val="22"/>
          <w:szCs w:val="22"/>
        </w:rPr>
        <w:t>C</w:t>
      </w:r>
      <w:r w:rsidRPr="00CE4480">
        <w:rPr>
          <w:sz w:val="22"/>
          <w:szCs w:val="22"/>
        </w:rPr>
        <w:t xml:space="preserve">hecklist of items that should be included in reports of </w:t>
      </w:r>
      <w:r w:rsidRPr="00CE4480">
        <w:rPr>
          <w:b/>
          <w:i/>
          <w:sz w:val="22"/>
          <w:szCs w:val="22"/>
        </w:rPr>
        <w:t>cross-sectional studies</w:t>
      </w:r>
      <w:r w:rsidRPr="00CE4480">
        <w:rPr>
          <w:sz w:val="22"/>
          <w:szCs w:val="22"/>
        </w:rPr>
        <w:t xml:space="preserve"> </w:t>
      </w:r>
    </w:p>
    <w:tbl>
      <w:tblPr>
        <w:tblpPr w:leftFromText="180" w:rightFromText="180" w:vertAnchor="text" w:tblpY="1"/>
        <w:tblOverlap w:val="never"/>
        <w:tblW w:w="0" w:type="auto"/>
        <w:tblBorders>
          <w:insideH w:val="single" w:sz="4" w:space="0" w:color="auto"/>
        </w:tblBorders>
        <w:tblLook w:val="0000" w:firstRow="0" w:lastRow="0" w:firstColumn="0" w:lastColumn="0" w:noHBand="0" w:noVBand="0"/>
      </w:tblPr>
      <w:tblGrid>
        <w:gridCol w:w="2030"/>
        <w:gridCol w:w="667"/>
        <w:gridCol w:w="6944"/>
      </w:tblGrid>
      <w:tr w:rsidR="00AD3658" w:rsidRPr="0022554A" w14:paraId="5E661917" w14:textId="77777777" w:rsidTr="00A01205">
        <w:tc>
          <w:tcPr>
            <w:tcW w:w="0" w:type="auto"/>
          </w:tcPr>
          <w:p w14:paraId="4ED168E2" w14:textId="77777777" w:rsidR="00AD3658" w:rsidRPr="0022554A" w:rsidRDefault="00AD3658" w:rsidP="00A01205">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2B19272" w14:textId="77777777" w:rsidR="00AD3658" w:rsidRPr="0022554A" w:rsidRDefault="00AD3658" w:rsidP="00A01205">
            <w:pPr>
              <w:pStyle w:val="TableHeader"/>
              <w:tabs>
                <w:tab w:val="left" w:pos="5400"/>
              </w:tabs>
              <w:jc w:val="center"/>
              <w:rPr>
                <w:bCs/>
                <w:sz w:val="20"/>
              </w:rPr>
            </w:pPr>
            <w:r w:rsidRPr="0022554A">
              <w:rPr>
                <w:bCs/>
                <w:sz w:val="20"/>
              </w:rPr>
              <w:t>Item No</w:t>
            </w:r>
          </w:p>
        </w:tc>
        <w:tc>
          <w:tcPr>
            <w:tcW w:w="0" w:type="auto"/>
            <w:vAlign w:val="bottom"/>
          </w:tcPr>
          <w:p w14:paraId="014C1249" w14:textId="77777777" w:rsidR="00AD3658" w:rsidRPr="0022554A" w:rsidRDefault="00AD3658" w:rsidP="00A01205">
            <w:pPr>
              <w:pStyle w:val="TableHeader"/>
              <w:tabs>
                <w:tab w:val="left" w:pos="5400"/>
              </w:tabs>
              <w:jc w:val="center"/>
              <w:rPr>
                <w:bCs/>
                <w:sz w:val="20"/>
              </w:rPr>
            </w:pPr>
            <w:r w:rsidRPr="0022554A">
              <w:rPr>
                <w:bCs/>
                <w:sz w:val="20"/>
              </w:rPr>
              <w:t>Recommendation</w:t>
            </w:r>
          </w:p>
        </w:tc>
      </w:tr>
      <w:tr w:rsidR="00AD3658" w:rsidRPr="0022554A" w14:paraId="5F36DDAB" w14:textId="77777777" w:rsidTr="00A01205">
        <w:tc>
          <w:tcPr>
            <w:tcW w:w="0" w:type="auto"/>
            <w:vMerge w:val="restart"/>
          </w:tcPr>
          <w:p w14:paraId="0DDD6565" w14:textId="77777777" w:rsidR="00AD3658" w:rsidRPr="002602FB" w:rsidRDefault="00AD3658" w:rsidP="00A01205">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01879110" w14:textId="77777777" w:rsidR="00AD3658" w:rsidRPr="0022554A" w:rsidRDefault="00AD3658" w:rsidP="00A01205">
            <w:pPr>
              <w:tabs>
                <w:tab w:val="left" w:pos="5400"/>
              </w:tabs>
              <w:jc w:val="center"/>
              <w:rPr>
                <w:sz w:val="20"/>
              </w:rPr>
            </w:pPr>
            <w:r w:rsidRPr="0022554A">
              <w:rPr>
                <w:sz w:val="20"/>
              </w:rPr>
              <w:t>1</w:t>
            </w:r>
          </w:p>
        </w:tc>
        <w:tc>
          <w:tcPr>
            <w:tcW w:w="0" w:type="auto"/>
          </w:tcPr>
          <w:p w14:paraId="48D4BD39" w14:textId="77777777" w:rsidR="00AD3658" w:rsidRPr="00AD3658" w:rsidRDefault="00AD3658" w:rsidP="00A01205">
            <w:pPr>
              <w:tabs>
                <w:tab w:val="left" w:pos="5400"/>
              </w:tabs>
              <w:rPr>
                <w:sz w:val="20"/>
              </w:rPr>
            </w:pPr>
            <w:r w:rsidRPr="00AD3658">
              <w:rPr>
                <w:sz w:val="20"/>
              </w:rPr>
              <w:t>(</w:t>
            </w:r>
            <w:r w:rsidRPr="00AD3658">
              <w:rPr>
                <w:i/>
                <w:sz w:val="20"/>
              </w:rPr>
              <w:t>a</w:t>
            </w:r>
            <w:r w:rsidRPr="00AD3658">
              <w:rPr>
                <w:sz w:val="20"/>
              </w:rPr>
              <w:t>) Indicate the study’s design with a commonly used term in the title or the abstract</w:t>
            </w:r>
          </w:p>
          <w:p w14:paraId="744B4BFA" w14:textId="77777777" w:rsidR="00AD3658" w:rsidRDefault="00AD3658" w:rsidP="00A01205">
            <w:pPr>
              <w:tabs>
                <w:tab w:val="left" w:pos="5400"/>
              </w:tabs>
              <w:rPr>
                <w:sz w:val="20"/>
              </w:rPr>
            </w:pPr>
            <w:r w:rsidRPr="00AD3658">
              <w:rPr>
                <w:sz w:val="20"/>
              </w:rPr>
              <w:t>The study design has been mentioned in the methods section in the manuscript</w:t>
            </w:r>
            <w:r>
              <w:rPr>
                <w:sz w:val="20"/>
              </w:rPr>
              <w:t xml:space="preserve"> </w:t>
            </w:r>
          </w:p>
          <w:p w14:paraId="358FCAEB" w14:textId="54818FE2" w:rsidR="00AD3658" w:rsidRPr="00AD3658" w:rsidRDefault="00AD3658" w:rsidP="00A01205">
            <w:pPr>
              <w:tabs>
                <w:tab w:val="left" w:pos="5400"/>
              </w:tabs>
              <w:rPr>
                <w:sz w:val="20"/>
              </w:rPr>
            </w:pPr>
            <w:r>
              <w:rPr>
                <w:sz w:val="20"/>
              </w:rPr>
              <w:t xml:space="preserve">Page </w:t>
            </w:r>
            <w:proofErr w:type="gramStart"/>
            <w:r w:rsidR="00247A40">
              <w:rPr>
                <w:sz w:val="20"/>
              </w:rPr>
              <w:t>3</w:t>
            </w:r>
            <w:r>
              <w:rPr>
                <w:sz w:val="20"/>
              </w:rPr>
              <w:t xml:space="preserve"> ,</w:t>
            </w:r>
            <w:proofErr w:type="gramEnd"/>
            <w:r>
              <w:rPr>
                <w:sz w:val="20"/>
              </w:rPr>
              <w:t xml:space="preserve"> line 56</w:t>
            </w:r>
          </w:p>
          <w:p w14:paraId="246C0635" w14:textId="2AD2E7B1" w:rsidR="00AD3658" w:rsidRPr="00AD3658" w:rsidRDefault="00AD3658" w:rsidP="00A01205">
            <w:pPr>
              <w:tabs>
                <w:tab w:val="left" w:pos="5400"/>
              </w:tabs>
              <w:rPr>
                <w:sz w:val="20"/>
              </w:rPr>
            </w:pPr>
            <w:r>
              <w:rPr>
                <w:bCs/>
                <w:sz w:val="20"/>
              </w:rPr>
              <w:t>“</w:t>
            </w:r>
            <w:r w:rsidRPr="00AD3658">
              <w:rPr>
                <w:bCs/>
                <w:sz w:val="20"/>
              </w:rPr>
              <w:t xml:space="preserve">A longitudinal descriptive study was conducted at </w:t>
            </w:r>
            <w:r w:rsidRPr="00AD3658">
              <w:rPr>
                <w:color w:val="000000"/>
                <w:kern w:val="24"/>
                <w:sz w:val="20"/>
              </w:rPr>
              <w:t xml:space="preserve">Kasturba Medical College Hospital, </w:t>
            </w:r>
            <w:proofErr w:type="spellStart"/>
            <w:r w:rsidRPr="00AD3658">
              <w:rPr>
                <w:color w:val="000000"/>
                <w:kern w:val="24"/>
                <w:sz w:val="20"/>
              </w:rPr>
              <w:t>Attavar</w:t>
            </w:r>
            <w:proofErr w:type="spellEnd"/>
            <w:r w:rsidRPr="00AD3658">
              <w:rPr>
                <w:color w:val="000000"/>
                <w:kern w:val="24"/>
                <w:sz w:val="20"/>
              </w:rPr>
              <w:t xml:space="preserve">, Mangalore </w:t>
            </w:r>
            <w:proofErr w:type="gramStart"/>
            <w:r w:rsidRPr="00AD3658">
              <w:rPr>
                <w:color w:val="000000"/>
                <w:kern w:val="24"/>
                <w:sz w:val="20"/>
              </w:rPr>
              <w:t>between</w:t>
            </w:r>
            <w:r>
              <w:rPr>
                <w:color w:val="000000"/>
                <w:kern w:val="24"/>
                <w:sz w:val="20"/>
              </w:rPr>
              <w:t>..</w:t>
            </w:r>
            <w:proofErr w:type="gramEnd"/>
            <w:r>
              <w:rPr>
                <w:color w:val="000000"/>
                <w:kern w:val="24"/>
                <w:sz w:val="20"/>
              </w:rPr>
              <w:t>”</w:t>
            </w:r>
          </w:p>
        </w:tc>
      </w:tr>
      <w:tr w:rsidR="00AD3658" w:rsidRPr="0022554A" w14:paraId="6F7A6A3D" w14:textId="77777777" w:rsidTr="00A01205">
        <w:tc>
          <w:tcPr>
            <w:tcW w:w="0" w:type="auto"/>
            <w:vMerge/>
          </w:tcPr>
          <w:p w14:paraId="56E2CEB9" w14:textId="77777777" w:rsidR="00AD3658" w:rsidRPr="002602FB" w:rsidRDefault="00AD3658" w:rsidP="00A01205">
            <w:pPr>
              <w:tabs>
                <w:tab w:val="left" w:pos="5400"/>
              </w:tabs>
              <w:rPr>
                <w:b/>
                <w:sz w:val="20"/>
              </w:rPr>
            </w:pPr>
          </w:p>
        </w:tc>
        <w:tc>
          <w:tcPr>
            <w:tcW w:w="0" w:type="auto"/>
            <w:vMerge/>
          </w:tcPr>
          <w:p w14:paraId="562174BC" w14:textId="77777777" w:rsidR="00AD3658" w:rsidRPr="0022554A" w:rsidRDefault="00AD3658" w:rsidP="00A01205">
            <w:pPr>
              <w:tabs>
                <w:tab w:val="left" w:pos="5400"/>
              </w:tabs>
              <w:jc w:val="center"/>
              <w:rPr>
                <w:sz w:val="20"/>
              </w:rPr>
            </w:pPr>
          </w:p>
        </w:tc>
        <w:tc>
          <w:tcPr>
            <w:tcW w:w="0" w:type="auto"/>
          </w:tcPr>
          <w:p w14:paraId="5C882EDB" w14:textId="77777777" w:rsidR="00AD3658" w:rsidRPr="0022554A" w:rsidRDefault="00AD3658" w:rsidP="00A01205">
            <w:pPr>
              <w:tabs>
                <w:tab w:val="left" w:pos="5400"/>
              </w:tabs>
              <w:rPr>
                <w:sz w:val="20"/>
              </w:rPr>
            </w:pPr>
          </w:p>
        </w:tc>
      </w:tr>
      <w:tr w:rsidR="00AD3658" w:rsidRPr="0022554A" w14:paraId="1B77FD6F" w14:textId="77777777" w:rsidTr="00A01205">
        <w:tc>
          <w:tcPr>
            <w:tcW w:w="0" w:type="auto"/>
            <w:vMerge/>
          </w:tcPr>
          <w:p w14:paraId="464A8877" w14:textId="77777777" w:rsidR="00AD3658" w:rsidRPr="0022554A" w:rsidRDefault="00AD3658" w:rsidP="00A01205">
            <w:pPr>
              <w:tabs>
                <w:tab w:val="left" w:pos="5400"/>
              </w:tabs>
              <w:rPr>
                <w:bCs/>
                <w:sz w:val="20"/>
              </w:rPr>
            </w:pPr>
            <w:bookmarkStart w:id="11" w:name="bold6" w:colFirst="0" w:colLast="0"/>
            <w:bookmarkStart w:id="12" w:name="italic7" w:colFirst="0" w:colLast="0"/>
          </w:p>
        </w:tc>
        <w:tc>
          <w:tcPr>
            <w:tcW w:w="0" w:type="auto"/>
            <w:vMerge/>
          </w:tcPr>
          <w:p w14:paraId="3462230F" w14:textId="77777777" w:rsidR="00AD3658" w:rsidRPr="0022554A" w:rsidRDefault="00AD3658" w:rsidP="00A01205">
            <w:pPr>
              <w:tabs>
                <w:tab w:val="left" w:pos="5400"/>
              </w:tabs>
              <w:jc w:val="center"/>
              <w:rPr>
                <w:sz w:val="20"/>
              </w:rPr>
            </w:pPr>
          </w:p>
        </w:tc>
        <w:tc>
          <w:tcPr>
            <w:tcW w:w="0" w:type="auto"/>
          </w:tcPr>
          <w:p w14:paraId="1F9383B4" w14:textId="77777777" w:rsidR="00247A40" w:rsidRDefault="00AD3658" w:rsidP="00A01205">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r w:rsidR="00247A40">
              <w:rPr>
                <w:sz w:val="20"/>
              </w:rPr>
              <w:t xml:space="preserve">. </w:t>
            </w:r>
          </w:p>
          <w:p w14:paraId="33E7CA85" w14:textId="0979C552" w:rsidR="00AD3658" w:rsidRDefault="00247A40" w:rsidP="00A01205">
            <w:pPr>
              <w:tabs>
                <w:tab w:val="left" w:pos="5400"/>
              </w:tabs>
              <w:rPr>
                <w:sz w:val="20"/>
              </w:rPr>
            </w:pPr>
            <w:r>
              <w:rPr>
                <w:sz w:val="20"/>
              </w:rPr>
              <w:t>Page 1</w:t>
            </w:r>
          </w:p>
          <w:p w14:paraId="69A5DF64" w14:textId="4CAB21AE" w:rsidR="00AD3658" w:rsidRPr="00247A40" w:rsidRDefault="00247A40" w:rsidP="00AD3658">
            <w:pPr>
              <w:tabs>
                <w:tab w:val="left" w:pos="5400"/>
              </w:tabs>
              <w:jc w:val="both"/>
              <w:rPr>
                <w:sz w:val="20"/>
              </w:rPr>
            </w:pPr>
            <w:proofErr w:type="gramStart"/>
            <w:r w:rsidRPr="00247A40">
              <w:rPr>
                <w:sz w:val="20"/>
                <w:shd w:val="clear" w:color="auto" w:fill="FFFFFF"/>
              </w:rPr>
              <w:t>These</w:t>
            </w:r>
            <w:r>
              <w:rPr>
                <w:sz w:val="20"/>
                <w:shd w:val="clear" w:color="auto" w:fill="FFFFFF"/>
              </w:rPr>
              <w:t xml:space="preserve"> </w:t>
            </w:r>
            <w:r w:rsidRPr="00247A40">
              <w:rPr>
                <w:sz w:val="20"/>
                <w:shd w:val="clear" w:color="auto" w:fill="FFFFFF"/>
              </w:rPr>
              <w:t>information</w:t>
            </w:r>
            <w:proofErr w:type="gramEnd"/>
            <w:r w:rsidRPr="00247A40">
              <w:rPr>
                <w:sz w:val="20"/>
                <w:shd w:val="clear" w:color="auto" w:fill="FFFFFF"/>
              </w:rPr>
              <w:t xml:space="preserve"> are stated in the study abstract (study objective</w:t>
            </w:r>
            <w:r w:rsidRPr="00247A40">
              <w:rPr>
                <w:rFonts w:ascii="Arial" w:hAnsi="Arial" w:cs="Arial"/>
                <w:color w:val="252525"/>
                <w:sz w:val="20"/>
              </w:rPr>
              <w:br/>
            </w:r>
            <w:r w:rsidRPr="00247A40">
              <w:rPr>
                <w:sz w:val="20"/>
                <w:shd w:val="clear" w:color="auto" w:fill="FFFFFF"/>
              </w:rPr>
              <w:t>described, method and results described</w:t>
            </w:r>
            <w:r w:rsidRPr="00247A40">
              <w:rPr>
                <w:sz w:val="20"/>
                <w:shd w:val="clear" w:color="auto" w:fill="FFFFFF"/>
              </w:rPr>
              <w:t>)</w:t>
            </w:r>
          </w:p>
        </w:tc>
      </w:tr>
      <w:tr w:rsidR="00AD3658" w:rsidRPr="0022554A" w14:paraId="3D7801B8" w14:textId="77777777" w:rsidTr="00A01205">
        <w:tc>
          <w:tcPr>
            <w:tcW w:w="0" w:type="auto"/>
            <w:gridSpan w:val="3"/>
          </w:tcPr>
          <w:p w14:paraId="654259B2" w14:textId="77777777" w:rsidR="00AD3658" w:rsidRPr="0022554A" w:rsidRDefault="00AD3658" w:rsidP="00A01205">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AD3658" w:rsidRPr="0022554A" w14:paraId="78EC31B6" w14:textId="77777777" w:rsidTr="00A01205">
        <w:tc>
          <w:tcPr>
            <w:tcW w:w="0" w:type="auto"/>
          </w:tcPr>
          <w:p w14:paraId="3FE6B394" w14:textId="77777777" w:rsidR="00AD3658" w:rsidRPr="0022554A" w:rsidRDefault="00AD3658" w:rsidP="00A01205">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10841667" w14:textId="77777777" w:rsidR="00AD3658" w:rsidRPr="0022554A" w:rsidRDefault="00AD3658" w:rsidP="00A01205">
            <w:pPr>
              <w:tabs>
                <w:tab w:val="left" w:pos="5400"/>
              </w:tabs>
              <w:jc w:val="center"/>
              <w:rPr>
                <w:sz w:val="20"/>
              </w:rPr>
            </w:pPr>
            <w:r w:rsidRPr="0022554A">
              <w:rPr>
                <w:sz w:val="20"/>
              </w:rPr>
              <w:t>2</w:t>
            </w:r>
          </w:p>
        </w:tc>
        <w:tc>
          <w:tcPr>
            <w:tcW w:w="0" w:type="auto"/>
          </w:tcPr>
          <w:p w14:paraId="19760841" w14:textId="0A0FD269" w:rsidR="00B8284F" w:rsidRDefault="00AD3658" w:rsidP="00AD3658">
            <w:pPr>
              <w:tabs>
                <w:tab w:val="left" w:pos="5400"/>
              </w:tabs>
              <w:jc w:val="both"/>
              <w:rPr>
                <w:sz w:val="20"/>
              </w:rPr>
            </w:pPr>
            <w:r w:rsidRPr="0022554A">
              <w:rPr>
                <w:sz w:val="20"/>
              </w:rPr>
              <w:t>Explain the scientific background and rationale for the investigation being reported</w:t>
            </w:r>
          </w:p>
          <w:p w14:paraId="1C07C10A" w14:textId="6C06A810" w:rsidR="00B8284F" w:rsidRDefault="00B8284F" w:rsidP="00AD3658">
            <w:pPr>
              <w:tabs>
                <w:tab w:val="left" w:pos="5400"/>
              </w:tabs>
              <w:jc w:val="both"/>
              <w:rPr>
                <w:sz w:val="20"/>
              </w:rPr>
            </w:pPr>
            <w:r>
              <w:rPr>
                <w:sz w:val="20"/>
              </w:rPr>
              <w:t>Page 2</w:t>
            </w:r>
          </w:p>
          <w:p w14:paraId="058C7835" w14:textId="566A57D6" w:rsidR="00AD3658" w:rsidRPr="00B8284F" w:rsidRDefault="00B8284F" w:rsidP="00AD3658">
            <w:pPr>
              <w:tabs>
                <w:tab w:val="left" w:pos="5400"/>
              </w:tabs>
              <w:jc w:val="both"/>
              <w:rPr>
                <w:sz w:val="20"/>
              </w:rPr>
            </w:pPr>
            <w:r w:rsidRPr="00B8284F">
              <w:rPr>
                <w:sz w:val="20"/>
                <w:shd w:val="clear" w:color="auto" w:fill="FFFFFF"/>
              </w:rPr>
              <w:t>Rationale and existing literature are stated in the introduction</w:t>
            </w:r>
            <w:r w:rsidRPr="00B8284F">
              <w:rPr>
                <w:rFonts w:ascii="Arial" w:hAnsi="Arial" w:cs="Arial"/>
                <w:color w:val="252525"/>
                <w:sz w:val="20"/>
              </w:rPr>
              <w:br/>
            </w:r>
            <w:r w:rsidRPr="00B8284F">
              <w:rPr>
                <w:sz w:val="20"/>
                <w:shd w:val="clear" w:color="auto" w:fill="FFFFFF"/>
              </w:rPr>
              <w:t>section</w:t>
            </w:r>
          </w:p>
        </w:tc>
      </w:tr>
      <w:tr w:rsidR="00B8284F" w:rsidRPr="0022554A" w14:paraId="5F5DA66A" w14:textId="77777777" w:rsidTr="00A01205">
        <w:tc>
          <w:tcPr>
            <w:tcW w:w="0" w:type="auto"/>
          </w:tcPr>
          <w:p w14:paraId="2B0475A6" w14:textId="77777777" w:rsidR="00B8284F" w:rsidRPr="0022554A" w:rsidRDefault="00B8284F" w:rsidP="00A01205">
            <w:pPr>
              <w:tabs>
                <w:tab w:val="left" w:pos="5400"/>
              </w:tabs>
              <w:rPr>
                <w:bCs/>
                <w:sz w:val="20"/>
              </w:rPr>
            </w:pPr>
          </w:p>
        </w:tc>
        <w:tc>
          <w:tcPr>
            <w:tcW w:w="0" w:type="auto"/>
          </w:tcPr>
          <w:p w14:paraId="65222A5C" w14:textId="77777777" w:rsidR="00B8284F" w:rsidRPr="0022554A" w:rsidRDefault="00B8284F" w:rsidP="00A01205">
            <w:pPr>
              <w:tabs>
                <w:tab w:val="left" w:pos="5400"/>
              </w:tabs>
              <w:jc w:val="center"/>
              <w:rPr>
                <w:sz w:val="20"/>
              </w:rPr>
            </w:pPr>
          </w:p>
        </w:tc>
        <w:tc>
          <w:tcPr>
            <w:tcW w:w="0" w:type="auto"/>
          </w:tcPr>
          <w:p w14:paraId="6ABFE914" w14:textId="77777777" w:rsidR="00B8284F" w:rsidRPr="0022554A" w:rsidRDefault="00B8284F" w:rsidP="00AD3658">
            <w:pPr>
              <w:tabs>
                <w:tab w:val="left" w:pos="5400"/>
              </w:tabs>
              <w:jc w:val="both"/>
              <w:rPr>
                <w:sz w:val="20"/>
              </w:rPr>
            </w:pPr>
          </w:p>
        </w:tc>
      </w:tr>
      <w:tr w:rsidR="00AD3658" w:rsidRPr="0022554A" w14:paraId="7F576714" w14:textId="77777777" w:rsidTr="00A01205">
        <w:tc>
          <w:tcPr>
            <w:tcW w:w="0" w:type="auto"/>
          </w:tcPr>
          <w:p w14:paraId="183C169E" w14:textId="77777777" w:rsidR="00AD3658" w:rsidRPr="0022554A" w:rsidRDefault="00AD3658" w:rsidP="00A01205">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543C7CD8" w14:textId="77777777" w:rsidR="00AD3658" w:rsidRPr="0022554A" w:rsidRDefault="00AD3658" w:rsidP="00A01205">
            <w:pPr>
              <w:tabs>
                <w:tab w:val="left" w:pos="5400"/>
              </w:tabs>
              <w:jc w:val="center"/>
              <w:rPr>
                <w:sz w:val="20"/>
              </w:rPr>
            </w:pPr>
            <w:r w:rsidRPr="0022554A">
              <w:rPr>
                <w:sz w:val="20"/>
              </w:rPr>
              <w:t>3</w:t>
            </w:r>
          </w:p>
        </w:tc>
        <w:tc>
          <w:tcPr>
            <w:tcW w:w="0" w:type="auto"/>
          </w:tcPr>
          <w:p w14:paraId="2F8E5551" w14:textId="0AACFD30" w:rsidR="00AD3658" w:rsidRDefault="00AD3658" w:rsidP="00A01205">
            <w:pPr>
              <w:tabs>
                <w:tab w:val="left" w:pos="5400"/>
              </w:tabs>
              <w:rPr>
                <w:sz w:val="20"/>
              </w:rPr>
            </w:pPr>
            <w:r w:rsidRPr="0022554A">
              <w:rPr>
                <w:sz w:val="20"/>
              </w:rPr>
              <w:t>State specific objectives, including any prespecified hypotheses</w:t>
            </w:r>
          </w:p>
          <w:p w14:paraId="2979C4D9" w14:textId="75CF3139" w:rsidR="004E21C9" w:rsidRDefault="004E21C9" w:rsidP="00A01205">
            <w:pPr>
              <w:tabs>
                <w:tab w:val="left" w:pos="5400"/>
              </w:tabs>
              <w:rPr>
                <w:sz w:val="20"/>
              </w:rPr>
            </w:pPr>
            <w:r>
              <w:rPr>
                <w:sz w:val="20"/>
              </w:rPr>
              <w:t>Page 2</w:t>
            </w:r>
          </w:p>
          <w:p w14:paraId="1F961E86" w14:textId="50381D9D" w:rsidR="004E21C9" w:rsidRPr="004E21C9" w:rsidRDefault="004E21C9" w:rsidP="00A01205">
            <w:pPr>
              <w:tabs>
                <w:tab w:val="left" w:pos="5400"/>
              </w:tabs>
              <w:rPr>
                <w:sz w:val="20"/>
              </w:rPr>
            </w:pPr>
            <w:r w:rsidRPr="004E21C9">
              <w:rPr>
                <w:sz w:val="20"/>
                <w:shd w:val="clear" w:color="auto" w:fill="FFFFFF"/>
              </w:rPr>
              <w:t>A statement at the end of the introduction specifies the specific</w:t>
            </w:r>
            <w:r w:rsidRPr="004E21C9">
              <w:rPr>
                <w:rFonts w:ascii="Arial" w:hAnsi="Arial" w:cs="Arial"/>
                <w:color w:val="252525"/>
                <w:sz w:val="20"/>
              </w:rPr>
              <w:br/>
            </w:r>
            <w:r w:rsidRPr="004E21C9">
              <w:rPr>
                <w:sz w:val="20"/>
                <w:shd w:val="clear" w:color="auto" w:fill="FFFFFF"/>
              </w:rPr>
              <w:t>goals and objectives.</w:t>
            </w:r>
          </w:p>
          <w:p w14:paraId="026BDF05" w14:textId="77777777" w:rsidR="00AD3658" w:rsidRPr="0022554A" w:rsidRDefault="00AD3658" w:rsidP="00A01205">
            <w:pPr>
              <w:tabs>
                <w:tab w:val="left" w:pos="5400"/>
              </w:tabs>
              <w:rPr>
                <w:sz w:val="20"/>
              </w:rPr>
            </w:pPr>
            <w:r w:rsidRPr="006141F9">
              <w:rPr>
                <w:sz w:val="20"/>
              </w:rPr>
              <w:t xml:space="preserve">The aim of our study is to evaluate clinical and </w:t>
            </w:r>
            <w:proofErr w:type="spellStart"/>
            <w:r w:rsidRPr="006141F9">
              <w:rPr>
                <w:sz w:val="20"/>
              </w:rPr>
              <w:t>dosimetric</w:t>
            </w:r>
            <w:proofErr w:type="spellEnd"/>
            <w:r w:rsidRPr="006141F9">
              <w:rPr>
                <w:sz w:val="20"/>
              </w:rPr>
              <w:t xml:space="preserve"> parameters in terms of tumour response, bladder, and rectal toxicity in patients undergoing Cobalt 60 HDR Brachytherapy.</w:t>
            </w:r>
          </w:p>
        </w:tc>
      </w:tr>
      <w:tr w:rsidR="00AD3658" w:rsidRPr="0022554A" w14:paraId="2AF4EBF6" w14:textId="77777777" w:rsidTr="00A01205">
        <w:tc>
          <w:tcPr>
            <w:tcW w:w="0" w:type="auto"/>
            <w:gridSpan w:val="3"/>
          </w:tcPr>
          <w:p w14:paraId="571A672C" w14:textId="77777777" w:rsidR="00AD3658" w:rsidRPr="0022554A" w:rsidRDefault="00AD3658" w:rsidP="00A01205">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AD3658" w:rsidRPr="0022554A" w14:paraId="4D2987EC" w14:textId="77777777" w:rsidTr="00A01205">
        <w:tc>
          <w:tcPr>
            <w:tcW w:w="0" w:type="auto"/>
          </w:tcPr>
          <w:p w14:paraId="110D0234" w14:textId="77777777" w:rsidR="00AD3658" w:rsidRPr="0022554A" w:rsidRDefault="00AD3658" w:rsidP="00A01205">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3B1A4375" w14:textId="77777777" w:rsidR="00AD3658" w:rsidRPr="0022554A" w:rsidRDefault="00AD3658" w:rsidP="00A01205">
            <w:pPr>
              <w:tabs>
                <w:tab w:val="left" w:pos="5400"/>
              </w:tabs>
              <w:jc w:val="center"/>
              <w:rPr>
                <w:sz w:val="20"/>
              </w:rPr>
            </w:pPr>
            <w:r w:rsidRPr="0022554A">
              <w:rPr>
                <w:sz w:val="20"/>
              </w:rPr>
              <w:t>4</w:t>
            </w:r>
          </w:p>
        </w:tc>
        <w:tc>
          <w:tcPr>
            <w:tcW w:w="0" w:type="auto"/>
          </w:tcPr>
          <w:p w14:paraId="799AACAD" w14:textId="26B305D0" w:rsidR="00AD3658" w:rsidRDefault="00AD3658" w:rsidP="00A01205">
            <w:pPr>
              <w:tabs>
                <w:tab w:val="left" w:pos="5400"/>
              </w:tabs>
              <w:rPr>
                <w:sz w:val="20"/>
              </w:rPr>
            </w:pPr>
            <w:r w:rsidRPr="0022554A">
              <w:rPr>
                <w:sz w:val="20"/>
              </w:rPr>
              <w:t>Present key elements of study design early in the paper</w:t>
            </w:r>
          </w:p>
          <w:p w14:paraId="3CF2BFD9" w14:textId="1B6E779A" w:rsidR="005062C5" w:rsidRDefault="005062C5" w:rsidP="00A01205">
            <w:pPr>
              <w:tabs>
                <w:tab w:val="left" w:pos="5400"/>
              </w:tabs>
              <w:rPr>
                <w:sz w:val="20"/>
              </w:rPr>
            </w:pPr>
            <w:r>
              <w:rPr>
                <w:sz w:val="20"/>
              </w:rPr>
              <w:t>Page 3, line 56</w:t>
            </w:r>
          </w:p>
          <w:p w14:paraId="126A819E" w14:textId="45CB5ABD" w:rsidR="00B234A1" w:rsidRPr="005062C5" w:rsidRDefault="00B234A1" w:rsidP="005062C5">
            <w:pPr>
              <w:spacing w:line="240" w:lineRule="auto"/>
              <w:rPr>
                <w:rFonts w:ascii="Arial" w:hAnsi="Arial" w:cs="Arial"/>
                <w:color w:val="252525"/>
                <w:sz w:val="20"/>
                <w:lang w:val="en-IN" w:eastAsia="en-IN"/>
              </w:rPr>
            </w:pPr>
            <w:r w:rsidRPr="00B234A1">
              <w:rPr>
                <w:color w:val="252525"/>
                <w:sz w:val="20"/>
                <w:lang w:val="en-IN" w:eastAsia="en-IN"/>
              </w:rPr>
              <w:t>Study design is stated in the first subsection of Methods. Key</w:t>
            </w:r>
            <w:r w:rsidR="005062C5">
              <w:rPr>
                <w:color w:val="252525"/>
                <w:sz w:val="20"/>
                <w:lang w:val="en-IN" w:eastAsia="en-IN"/>
              </w:rPr>
              <w:t xml:space="preserve"> </w:t>
            </w:r>
            <w:r w:rsidRPr="00B234A1">
              <w:rPr>
                <w:color w:val="252525"/>
                <w:sz w:val="20"/>
                <w:lang w:val="en-IN" w:eastAsia="en-IN"/>
              </w:rPr>
              <w:t>elements are all described in the methods</w:t>
            </w:r>
          </w:p>
          <w:p w14:paraId="3DDF6C7F" w14:textId="4EC567F4" w:rsidR="00AD3658" w:rsidRDefault="0032242C" w:rsidP="00A01205">
            <w:pPr>
              <w:tabs>
                <w:tab w:val="left" w:pos="5400"/>
              </w:tabs>
              <w:jc w:val="both"/>
              <w:rPr>
                <w:sz w:val="20"/>
              </w:rPr>
            </w:pPr>
            <w:r>
              <w:rPr>
                <w:sz w:val="20"/>
              </w:rPr>
              <w:t>“</w:t>
            </w:r>
            <w:r w:rsidR="00AD3658" w:rsidRPr="00040CFE">
              <w:rPr>
                <w:sz w:val="20"/>
              </w:rPr>
              <w:t xml:space="preserve">A longitudinal descriptive study was conducted at Kasturba Medical College Hospital, </w:t>
            </w:r>
            <w:proofErr w:type="spellStart"/>
            <w:r w:rsidR="00AD3658" w:rsidRPr="00040CFE">
              <w:rPr>
                <w:sz w:val="20"/>
              </w:rPr>
              <w:t>Attavar</w:t>
            </w:r>
            <w:proofErr w:type="spellEnd"/>
            <w:r w:rsidR="00AD3658" w:rsidRPr="00040CFE">
              <w:rPr>
                <w:sz w:val="20"/>
              </w:rPr>
              <w:t xml:space="preserve">, Mangalore between September 2020 to June 2022 after obtaining the institutional ethics approval </w:t>
            </w:r>
            <w:proofErr w:type="gramStart"/>
            <w:r w:rsidR="00AD3658" w:rsidRPr="00040CFE">
              <w:rPr>
                <w:sz w:val="20"/>
              </w:rPr>
              <w:t>( Kasturba</w:t>
            </w:r>
            <w:proofErr w:type="gramEnd"/>
            <w:r w:rsidR="00AD3658" w:rsidRPr="00040CFE">
              <w:rPr>
                <w:sz w:val="20"/>
              </w:rPr>
              <w:t xml:space="preserve"> Medical College, Mangalore , Manipal academy of higher </w:t>
            </w:r>
            <w:proofErr w:type="spellStart"/>
            <w:r w:rsidR="00AD3658" w:rsidRPr="00040CFE">
              <w:rPr>
                <w:sz w:val="20"/>
              </w:rPr>
              <w:t>education,Deemed</w:t>
            </w:r>
            <w:proofErr w:type="spellEnd"/>
            <w:r w:rsidR="00AD3658" w:rsidRPr="00040CFE">
              <w:rPr>
                <w:sz w:val="20"/>
              </w:rPr>
              <w:t xml:space="preserve"> to be university granted ethical approval to carry out the study within its facilities with Protocol No. IEC KMC MLR 12/2022/420)  </w:t>
            </w:r>
            <w:r>
              <w:rPr>
                <w:sz w:val="20"/>
              </w:rPr>
              <w:t>“</w:t>
            </w:r>
          </w:p>
          <w:p w14:paraId="3F522385" w14:textId="77777777" w:rsidR="00AD3658" w:rsidRPr="0022554A" w:rsidRDefault="00AD3658" w:rsidP="00A01205">
            <w:pPr>
              <w:tabs>
                <w:tab w:val="left" w:pos="5400"/>
              </w:tabs>
              <w:rPr>
                <w:sz w:val="20"/>
              </w:rPr>
            </w:pPr>
          </w:p>
        </w:tc>
      </w:tr>
      <w:tr w:rsidR="00AD3658" w:rsidRPr="0022554A" w14:paraId="7214A116" w14:textId="77777777" w:rsidTr="00A01205">
        <w:tc>
          <w:tcPr>
            <w:tcW w:w="0" w:type="auto"/>
          </w:tcPr>
          <w:p w14:paraId="4D504412" w14:textId="77777777" w:rsidR="00AD3658" w:rsidRPr="0022554A" w:rsidRDefault="00AD3658" w:rsidP="00A01205">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1B50507D" w14:textId="77777777" w:rsidR="00AD3658" w:rsidRPr="0022554A" w:rsidRDefault="00AD3658" w:rsidP="00A01205">
            <w:pPr>
              <w:tabs>
                <w:tab w:val="left" w:pos="5400"/>
              </w:tabs>
              <w:jc w:val="center"/>
              <w:rPr>
                <w:sz w:val="20"/>
              </w:rPr>
            </w:pPr>
            <w:r w:rsidRPr="0022554A">
              <w:rPr>
                <w:sz w:val="20"/>
              </w:rPr>
              <w:t>5</w:t>
            </w:r>
          </w:p>
        </w:tc>
        <w:tc>
          <w:tcPr>
            <w:tcW w:w="0" w:type="auto"/>
          </w:tcPr>
          <w:p w14:paraId="732C9F1A" w14:textId="6DA8E290" w:rsidR="00AD3658" w:rsidRDefault="00AD3658" w:rsidP="00A01205">
            <w:pPr>
              <w:tabs>
                <w:tab w:val="left" w:pos="5400"/>
              </w:tabs>
              <w:jc w:val="both"/>
              <w:rPr>
                <w:sz w:val="20"/>
              </w:rPr>
            </w:pPr>
            <w:r w:rsidRPr="0022554A">
              <w:rPr>
                <w:sz w:val="20"/>
              </w:rPr>
              <w:t>Describe the setting, locations, and relevant dates, including periods of recruitment, exposure, follow-up, and data collection</w:t>
            </w:r>
          </w:p>
          <w:p w14:paraId="030899C4" w14:textId="2E463CB6" w:rsidR="00E328D0" w:rsidRDefault="00E328D0" w:rsidP="00A01205">
            <w:pPr>
              <w:tabs>
                <w:tab w:val="left" w:pos="5400"/>
              </w:tabs>
              <w:jc w:val="both"/>
              <w:rPr>
                <w:sz w:val="20"/>
              </w:rPr>
            </w:pPr>
            <w:r>
              <w:rPr>
                <w:sz w:val="20"/>
              </w:rPr>
              <w:t>S</w:t>
            </w:r>
            <w:r w:rsidRPr="0022554A">
              <w:rPr>
                <w:sz w:val="20"/>
              </w:rPr>
              <w:t>etting, locations, and relevant dates, including periods of recruitment, exposure, follow-up, and data collection</w:t>
            </w:r>
            <w:r>
              <w:rPr>
                <w:sz w:val="20"/>
              </w:rPr>
              <w:t xml:space="preserve"> are described in the methods and material sections</w:t>
            </w:r>
          </w:p>
          <w:p w14:paraId="5793DFF7" w14:textId="26BF67BF" w:rsidR="00E328D0" w:rsidRDefault="00E328D0" w:rsidP="00A01205">
            <w:pPr>
              <w:tabs>
                <w:tab w:val="left" w:pos="5400"/>
              </w:tabs>
              <w:jc w:val="both"/>
              <w:rPr>
                <w:sz w:val="20"/>
              </w:rPr>
            </w:pPr>
            <w:r>
              <w:rPr>
                <w:sz w:val="20"/>
              </w:rPr>
              <w:t>Page 3 and 4</w:t>
            </w:r>
          </w:p>
          <w:p w14:paraId="11E0A488" w14:textId="3B079407" w:rsidR="00AD3658" w:rsidRPr="0022554A" w:rsidRDefault="00E328D0" w:rsidP="00A01205">
            <w:pPr>
              <w:tabs>
                <w:tab w:val="left" w:pos="5400"/>
              </w:tabs>
              <w:jc w:val="both"/>
              <w:rPr>
                <w:sz w:val="20"/>
              </w:rPr>
            </w:pPr>
            <w:r>
              <w:rPr>
                <w:sz w:val="20"/>
              </w:rPr>
              <w:t>“</w:t>
            </w:r>
            <w:r w:rsidR="00AD3658" w:rsidRPr="006D651C">
              <w:rPr>
                <w:sz w:val="20"/>
              </w:rPr>
              <w:t xml:space="preserve">CT scan simulation was done with applicators in-situ with 50ml of diluted contrast in bladder without intravenous contrast. CT 3mm thickness axial sections were taken. The CT files were then transferred to SAGI TPS. Applicators and catheters were </w:t>
            </w:r>
            <w:r w:rsidR="00AD3658" w:rsidRPr="006D651C">
              <w:rPr>
                <w:sz w:val="20"/>
              </w:rPr>
              <w:lastRenderedPageBreak/>
              <w:t xml:space="preserve">reconstructed in the brachytherapy planning module (Figure 1). We prescribed the High-risk clinical target volume (HR CTV) and contours the organs at risk (OAR) such as bladder and rectum as per Gyn GEC ESTRO contouring guidelines. Inverse planning technique was followed. Further optimization was done manually by dragging </w:t>
            </w:r>
            <w:proofErr w:type="spellStart"/>
            <w:r w:rsidR="00AD3658" w:rsidRPr="006D651C">
              <w:rPr>
                <w:sz w:val="20"/>
              </w:rPr>
              <w:t>isodose</w:t>
            </w:r>
            <w:proofErr w:type="spellEnd"/>
            <w:r w:rsidR="00AD3658" w:rsidRPr="006D651C">
              <w:rPr>
                <w:sz w:val="20"/>
              </w:rPr>
              <w:t xml:space="preserve"> line using graphical tool. This was a trial and error process where dwell time/dwell position are adjusted to achieve optimal dose coverage to High risk clinical target volume (HRCTV) (EQD2&gt;80Gy10) with constraints to bladder D2cc (EQD2&lt;85Gy3) and rectum D2cc (EQD2&lt; 75 Gy</w:t>
            </w:r>
            <w:proofErr w:type="gramStart"/>
            <w:r w:rsidR="00AD3658" w:rsidRPr="006D651C">
              <w:rPr>
                <w:sz w:val="20"/>
              </w:rPr>
              <w:t>3)(</w:t>
            </w:r>
            <w:proofErr w:type="gramEnd"/>
            <w:r w:rsidR="00AD3658" w:rsidRPr="006D651C">
              <w:rPr>
                <w:sz w:val="20"/>
              </w:rPr>
              <w:t>Viswanathan et al., 2009).</w:t>
            </w:r>
            <w:r>
              <w:rPr>
                <w:sz w:val="20"/>
              </w:rPr>
              <w:t>”</w:t>
            </w:r>
          </w:p>
        </w:tc>
      </w:tr>
      <w:bookmarkEnd w:id="25"/>
      <w:bookmarkEnd w:id="26"/>
      <w:tr w:rsidR="00AD3658" w:rsidRPr="0022554A" w14:paraId="7B4CC4FD" w14:textId="77777777" w:rsidTr="00A01205">
        <w:tc>
          <w:tcPr>
            <w:tcW w:w="0" w:type="auto"/>
          </w:tcPr>
          <w:p w14:paraId="1C74C53A" w14:textId="77777777" w:rsidR="00AD3658" w:rsidRPr="0022554A" w:rsidRDefault="00AD3658" w:rsidP="00A01205">
            <w:pPr>
              <w:tabs>
                <w:tab w:val="left" w:pos="5400"/>
              </w:tabs>
              <w:rPr>
                <w:bCs/>
                <w:sz w:val="20"/>
              </w:rPr>
            </w:pPr>
            <w:r w:rsidRPr="0022554A">
              <w:rPr>
                <w:bCs/>
                <w:sz w:val="20"/>
              </w:rPr>
              <w:lastRenderedPageBreak/>
              <w:t>Participants</w:t>
            </w:r>
          </w:p>
        </w:tc>
        <w:tc>
          <w:tcPr>
            <w:tcW w:w="0" w:type="auto"/>
          </w:tcPr>
          <w:p w14:paraId="46BEFBD7" w14:textId="77777777" w:rsidR="00AD3658" w:rsidRPr="0022554A" w:rsidRDefault="00AD3658" w:rsidP="00A01205">
            <w:pPr>
              <w:tabs>
                <w:tab w:val="left" w:pos="5400"/>
              </w:tabs>
              <w:jc w:val="center"/>
              <w:rPr>
                <w:sz w:val="20"/>
              </w:rPr>
            </w:pPr>
            <w:r w:rsidRPr="0022554A">
              <w:rPr>
                <w:sz w:val="20"/>
              </w:rPr>
              <w:t>6</w:t>
            </w:r>
          </w:p>
        </w:tc>
        <w:tc>
          <w:tcPr>
            <w:tcW w:w="0" w:type="auto"/>
          </w:tcPr>
          <w:p w14:paraId="27D042AB" w14:textId="67CCA7BA" w:rsidR="00AD3658" w:rsidRDefault="00AD3658" w:rsidP="00A01205">
            <w:pPr>
              <w:tabs>
                <w:tab w:val="left" w:pos="5400"/>
              </w:tabs>
              <w:rPr>
                <w:sz w:val="20"/>
              </w:rPr>
            </w:pPr>
            <w:r w:rsidRPr="0022554A">
              <w:rPr>
                <w:sz w:val="20"/>
              </w:rPr>
              <w:t>Give the eligibility criteria, and the sources and methods of selection of participants</w:t>
            </w:r>
          </w:p>
          <w:p w14:paraId="314B7738" w14:textId="5797C4B7" w:rsidR="00E108CA" w:rsidRDefault="00E108CA" w:rsidP="00A01205">
            <w:pPr>
              <w:tabs>
                <w:tab w:val="left" w:pos="5400"/>
              </w:tabs>
              <w:rPr>
                <w:sz w:val="20"/>
                <w:shd w:val="clear" w:color="auto" w:fill="FFFFFF"/>
              </w:rPr>
            </w:pPr>
            <w:r w:rsidRPr="00E108CA">
              <w:rPr>
                <w:sz w:val="20"/>
                <w:shd w:val="clear" w:color="auto" w:fill="FFFFFF"/>
              </w:rPr>
              <w:t>Study population is described is the method section</w:t>
            </w:r>
          </w:p>
          <w:p w14:paraId="746292F8" w14:textId="2776F065" w:rsidR="00E108CA" w:rsidRPr="00E108CA" w:rsidRDefault="00E108CA" w:rsidP="00A01205">
            <w:pPr>
              <w:tabs>
                <w:tab w:val="left" w:pos="5400"/>
              </w:tabs>
              <w:rPr>
                <w:sz w:val="20"/>
              </w:rPr>
            </w:pPr>
            <w:r>
              <w:rPr>
                <w:sz w:val="20"/>
              </w:rPr>
              <w:t>Page 3</w:t>
            </w:r>
          </w:p>
          <w:p w14:paraId="7B9A729C" w14:textId="48F37064" w:rsidR="00AD3658" w:rsidRDefault="00E108CA" w:rsidP="00A01205">
            <w:pPr>
              <w:tabs>
                <w:tab w:val="left" w:pos="5400"/>
              </w:tabs>
              <w:rPr>
                <w:sz w:val="20"/>
              </w:rPr>
            </w:pPr>
            <w:r>
              <w:rPr>
                <w:sz w:val="20"/>
              </w:rPr>
              <w:t>“</w:t>
            </w:r>
            <w:r w:rsidR="00AD3658" w:rsidRPr="005714B8">
              <w:rPr>
                <w:sz w:val="20"/>
              </w:rPr>
              <w:t xml:space="preserve">Patients who met the eligibility criteria of </w:t>
            </w:r>
            <w:proofErr w:type="spellStart"/>
            <w:r w:rsidR="00AD3658" w:rsidRPr="005714B8">
              <w:rPr>
                <w:sz w:val="20"/>
              </w:rPr>
              <w:t>histopathologically</w:t>
            </w:r>
            <w:proofErr w:type="spellEnd"/>
            <w:r w:rsidR="00AD3658" w:rsidRPr="005714B8">
              <w:rPr>
                <w:sz w:val="20"/>
              </w:rPr>
              <w:t xml:space="preserve"> proven carcinoma cervix FIGO stage 1B to </w:t>
            </w:r>
            <w:proofErr w:type="gramStart"/>
            <w:r w:rsidR="00AD3658" w:rsidRPr="005714B8">
              <w:rPr>
                <w:sz w:val="20"/>
              </w:rPr>
              <w:t>IVA ,</w:t>
            </w:r>
            <w:proofErr w:type="gramEnd"/>
            <w:r w:rsidR="00AD3658" w:rsidRPr="005714B8">
              <w:rPr>
                <w:sz w:val="20"/>
              </w:rPr>
              <w:t xml:space="preserve"> with their written informed consent to participate were provided a questionnaire with demographic, basic medical information. According to the proforma, retrospective analysis parameters of the patients was extracted from medical records department and for prospective analysis data was collected on case to case basis. </w:t>
            </w:r>
            <w:proofErr w:type="spellStart"/>
            <w:r w:rsidR="00AD3658" w:rsidRPr="005714B8">
              <w:rPr>
                <w:sz w:val="20"/>
              </w:rPr>
              <w:t>Dosimetric</w:t>
            </w:r>
            <w:proofErr w:type="spellEnd"/>
            <w:r w:rsidR="00AD3658" w:rsidRPr="005714B8">
              <w:rPr>
                <w:sz w:val="20"/>
              </w:rPr>
              <w:t xml:space="preserve"> parameters was extracted from SAGI plan</w:t>
            </w:r>
            <w:r>
              <w:rPr>
                <w:sz w:val="20"/>
              </w:rPr>
              <w:t>”</w:t>
            </w:r>
            <w:r w:rsidR="00AD3658" w:rsidRPr="005714B8">
              <w:rPr>
                <w:sz w:val="20"/>
              </w:rPr>
              <w:t>.</w:t>
            </w:r>
          </w:p>
          <w:p w14:paraId="6F2BB85D" w14:textId="77777777" w:rsidR="00AD3658" w:rsidRPr="0022554A" w:rsidRDefault="00AD3658" w:rsidP="00A01205">
            <w:pPr>
              <w:tabs>
                <w:tab w:val="left" w:pos="5400"/>
              </w:tabs>
              <w:rPr>
                <w:sz w:val="20"/>
              </w:rPr>
            </w:pPr>
          </w:p>
        </w:tc>
      </w:tr>
      <w:tr w:rsidR="00AD3658" w:rsidRPr="0022554A" w14:paraId="4B37998B" w14:textId="77777777" w:rsidTr="00A01205">
        <w:tc>
          <w:tcPr>
            <w:tcW w:w="0" w:type="auto"/>
          </w:tcPr>
          <w:p w14:paraId="4B2E0BD4" w14:textId="77777777" w:rsidR="00AD3658" w:rsidRPr="0022554A" w:rsidRDefault="00AD3658" w:rsidP="00A01205">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4088AFD6" w14:textId="77777777" w:rsidR="00AD3658" w:rsidRPr="0022554A" w:rsidRDefault="00AD3658" w:rsidP="00A01205">
            <w:pPr>
              <w:tabs>
                <w:tab w:val="left" w:pos="5400"/>
              </w:tabs>
              <w:jc w:val="center"/>
              <w:rPr>
                <w:sz w:val="20"/>
              </w:rPr>
            </w:pPr>
            <w:r w:rsidRPr="0022554A">
              <w:rPr>
                <w:sz w:val="20"/>
              </w:rPr>
              <w:t>7</w:t>
            </w:r>
          </w:p>
        </w:tc>
        <w:tc>
          <w:tcPr>
            <w:tcW w:w="0" w:type="auto"/>
          </w:tcPr>
          <w:p w14:paraId="56CE8D31" w14:textId="0671106E" w:rsidR="00AD3658" w:rsidRDefault="00AD3658" w:rsidP="00A01205">
            <w:pPr>
              <w:tabs>
                <w:tab w:val="left" w:pos="5400"/>
              </w:tabs>
              <w:rPr>
                <w:sz w:val="20"/>
              </w:rPr>
            </w:pPr>
            <w:r w:rsidRPr="0022554A">
              <w:rPr>
                <w:sz w:val="20"/>
              </w:rPr>
              <w:t>Clearly define all outcomes, exposures, predictors, potential confounders, and effect modifiers. Give diagnostic criteria, if applicable</w:t>
            </w:r>
          </w:p>
          <w:p w14:paraId="3A90092E" w14:textId="2FC091FE" w:rsidR="00653A05" w:rsidRDefault="00653A05" w:rsidP="00A01205">
            <w:pPr>
              <w:tabs>
                <w:tab w:val="left" w:pos="5400"/>
              </w:tabs>
              <w:rPr>
                <w:sz w:val="20"/>
                <w:shd w:val="clear" w:color="auto" w:fill="FFFFFF"/>
              </w:rPr>
            </w:pPr>
            <w:r w:rsidRPr="00653A05">
              <w:rPr>
                <w:sz w:val="20"/>
                <w:shd w:val="clear" w:color="auto" w:fill="FFFFFF"/>
              </w:rPr>
              <w:t>Standardized variable definitions were used across all programs,</w:t>
            </w:r>
            <w:r w:rsidRPr="00653A05">
              <w:rPr>
                <w:rFonts w:ascii="Arial" w:hAnsi="Arial" w:cs="Arial"/>
                <w:color w:val="252525"/>
                <w:sz w:val="20"/>
              </w:rPr>
              <w:br/>
            </w:r>
            <w:r w:rsidRPr="00653A05">
              <w:rPr>
                <w:sz w:val="20"/>
                <w:shd w:val="clear" w:color="auto" w:fill="FFFFFF"/>
              </w:rPr>
              <w:t>which are presented in method section.</w:t>
            </w:r>
          </w:p>
          <w:p w14:paraId="09AD99F7" w14:textId="0BB3DFF3" w:rsidR="00653A05" w:rsidRPr="00653A05" w:rsidRDefault="00653A05" w:rsidP="00A01205">
            <w:pPr>
              <w:tabs>
                <w:tab w:val="left" w:pos="5400"/>
              </w:tabs>
              <w:rPr>
                <w:sz w:val="20"/>
              </w:rPr>
            </w:pPr>
            <w:r>
              <w:rPr>
                <w:sz w:val="20"/>
              </w:rPr>
              <w:t>Page 3</w:t>
            </w:r>
          </w:p>
          <w:p w14:paraId="4D0B7295" w14:textId="487F3491" w:rsidR="00AD3658" w:rsidRPr="0022554A" w:rsidRDefault="00653A05" w:rsidP="00A01205">
            <w:pPr>
              <w:tabs>
                <w:tab w:val="left" w:pos="5400"/>
              </w:tabs>
              <w:rPr>
                <w:sz w:val="20"/>
              </w:rPr>
            </w:pPr>
            <w:r>
              <w:rPr>
                <w:sz w:val="20"/>
              </w:rPr>
              <w:t>“</w:t>
            </w:r>
            <w:r w:rsidR="00AD3658" w:rsidRPr="005714B8">
              <w:rPr>
                <w:sz w:val="20"/>
              </w:rPr>
              <w:t xml:space="preserve">Clinical response was assessed at 3 months after brachytherapy completion. Response was evaluated with MRI in accordance with RECIST criteria 1.1. Bladder and rectal acute toxicities were assessed at end of 3 months. Acute complications were assessed according to RTOG acute toxicity criteria at end of 3 </w:t>
            </w:r>
            <w:proofErr w:type="gramStart"/>
            <w:r w:rsidR="00AD3658" w:rsidRPr="005714B8">
              <w:rPr>
                <w:sz w:val="20"/>
              </w:rPr>
              <w:t>months(</w:t>
            </w:r>
            <w:proofErr w:type="gramEnd"/>
            <w:r w:rsidR="00AD3658" w:rsidRPr="005714B8">
              <w:rPr>
                <w:sz w:val="20"/>
              </w:rPr>
              <w:t>Cox et al., 1995).</w:t>
            </w:r>
            <w:r>
              <w:rPr>
                <w:sz w:val="20"/>
              </w:rPr>
              <w:t>”</w:t>
            </w:r>
          </w:p>
        </w:tc>
      </w:tr>
      <w:tr w:rsidR="00AD3658" w:rsidRPr="0022554A" w14:paraId="066142A3" w14:textId="77777777" w:rsidTr="00A01205">
        <w:trPr>
          <w:trHeight w:val="294"/>
        </w:trPr>
        <w:tc>
          <w:tcPr>
            <w:tcW w:w="0" w:type="auto"/>
          </w:tcPr>
          <w:p w14:paraId="2F0A340D" w14:textId="77777777" w:rsidR="00AD3658" w:rsidRPr="0022554A" w:rsidRDefault="00AD3658" w:rsidP="00A01205">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357BA64C" w14:textId="77777777" w:rsidR="00AD3658" w:rsidRPr="0022554A" w:rsidRDefault="00AD3658" w:rsidP="00A01205">
            <w:pPr>
              <w:tabs>
                <w:tab w:val="left" w:pos="5400"/>
              </w:tabs>
              <w:jc w:val="center"/>
              <w:rPr>
                <w:sz w:val="20"/>
              </w:rPr>
            </w:pPr>
            <w:r w:rsidRPr="0022554A">
              <w:rPr>
                <w:sz w:val="20"/>
              </w:rPr>
              <w:t>8</w:t>
            </w:r>
            <w:bookmarkStart w:id="33" w:name="bold19"/>
            <w:r w:rsidRPr="0022554A">
              <w:rPr>
                <w:bCs/>
                <w:sz w:val="20"/>
              </w:rPr>
              <w:t>*</w:t>
            </w:r>
            <w:bookmarkEnd w:id="33"/>
          </w:p>
        </w:tc>
        <w:tc>
          <w:tcPr>
            <w:tcW w:w="0" w:type="auto"/>
          </w:tcPr>
          <w:p w14:paraId="63A787B3" w14:textId="30BABD54" w:rsidR="00AD3658" w:rsidRDefault="00AD3658" w:rsidP="00A01205">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p w14:paraId="06FE1DDB" w14:textId="377B7E25" w:rsidR="00DB0B5A" w:rsidRDefault="00DB0B5A" w:rsidP="00A01205">
            <w:pPr>
              <w:tabs>
                <w:tab w:val="left" w:pos="5400"/>
              </w:tabs>
              <w:rPr>
                <w:sz w:val="20"/>
                <w:shd w:val="clear" w:color="auto" w:fill="FFFFFF"/>
              </w:rPr>
            </w:pPr>
            <w:r w:rsidRPr="00DB0B5A">
              <w:rPr>
                <w:sz w:val="20"/>
                <w:shd w:val="clear" w:color="auto" w:fill="FFFFFF"/>
              </w:rPr>
              <w:t>Data collection and measurement was the same for all variables,</w:t>
            </w:r>
            <w:r w:rsidRPr="00DB0B5A">
              <w:rPr>
                <w:rFonts w:ascii="Arial" w:hAnsi="Arial" w:cs="Arial"/>
                <w:color w:val="252525"/>
                <w:sz w:val="20"/>
              </w:rPr>
              <w:br/>
            </w:r>
            <w:r w:rsidRPr="00DB0B5A">
              <w:rPr>
                <w:sz w:val="20"/>
                <w:shd w:val="clear" w:color="auto" w:fill="FFFFFF"/>
              </w:rPr>
              <w:t>and is described in the methods section.</w:t>
            </w:r>
          </w:p>
          <w:p w14:paraId="17A32A4F" w14:textId="061EE8B5" w:rsidR="00DB0B5A" w:rsidRPr="00DB0B5A" w:rsidRDefault="00DB0B5A" w:rsidP="00A01205">
            <w:pPr>
              <w:tabs>
                <w:tab w:val="left" w:pos="5400"/>
              </w:tabs>
              <w:rPr>
                <w:sz w:val="20"/>
              </w:rPr>
            </w:pPr>
            <w:r>
              <w:rPr>
                <w:sz w:val="20"/>
              </w:rPr>
              <w:t>Page 3</w:t>
            </w:r>
          </w:p>
          <w:p w14:paraId="2D0DD2EB" w14:textId="32B2006A" w:rsidR="00AD3658" w:rsidRPr="0022554A" w:rsidRDefault="00DB0B5A" w:rsidP="00A01205">
            <w:pPr>
              <w:tabs>
                <w:tab w:val="left" w:pos="5400"/>
              </w:tabs>
              <w:rPr>
                <w:sz w:val="20"/>
              </w:rPr>
            </w:pPr>
            <w:r>
              <w:rPr>
                <w:sz w:val="20"/>
              </w:rPr>
              <w:t>“</w:t>
            </w:r>
            <w:r w:rsidR="00AD3658" w:rsidRPr="005714B8">
              <w:rPr>
                <w:sz w:val="20"/>
              </w:rPr>
              <w:t xml:space="preserve">CT scan simulation was done with applicators in-situ with 50ml of diluted contrast in bladder without intravenous contrast. CT 3mm thickness axial sections were taken. The CT files were then transferred to SAGI TPS. Applicators and catheters were reconstructed in the brachytherapy planning module (Figure 1). We prescribed the High-risk clinical target volume (HR CTV) and contours the organs at risk (OAR) such as bladder and rectum as per Gyn GEC ESTRO contouring guidelines. Inverse planning technique was followed. Further optimization was done manually by dragging </w:t>
            </w:r>
            <w:proofErr w:type="spellStart"/>
            <w:r w:rsidR="00AD3658" w:rsidRPr="005714B8">
              <w:rPr>
                <w:sz w:val="20"/>
              </w:rPr>
              <w:t>isodose</w:t>
            </w:r>
            <w:proofErr w:type="spellEnd"/>
            <w:r w:rsidR="00AD3658" w:rsidRPr="005714B8">
              <w:rPr>
                <w:sz w:val="20"/>
              </w:rPr>
              <w:t xml:space="preserve"> line using graphical tool. This was a trial and error process where dwell time/dwell position are adjusted to achieve optimal dose coverage to High risk clinical target volume (HRCTV) (EQD2&gt;80Gy10) with constraints to bladder D2cc (EQD2&lt;85Gy3) and rectum D2cc (EQD2&lt; 75 Gy</w:t>
            </w:r>
            <w:proofErr w:type="gramStart"/>
            <w:r w:rsidR="00AD3658" w:rsidRPr="005714B8">
              <w:rPr>
                <w:sz w:val="20"/>
              </w:rPr>
              <w:t>3)(</w:t>
            </w:r>
            <w:proofErr w:type="gramEnd"/>
            <w:r w:rsidR="00AD3658" w:rsidRPr="005714B8">
              <w:rPr>
                <w:sz w:val="20"/>
              </w:rPr>
              <w:t>Viswanathan et al., 2009).</w:t>
            </w:r>
            <w:r>
              <w:rPr>
                <w:sz w:val="20"/>
              </w:rPr>
              <w:t>”</w:t>
            </w:r>
          </w:p>
        </w:tc>
      </w:tr>
      <w:tr w:rsidR="00AD3658" w:rsidRPr="0022554A" w14:paraId="152E8EC2" w14:textId="77777777" w:rsidTr="00A01205">
        <w:tc>
          <w:tcPr>
            <w:tcW w:w="0" w:type="auto"/>
          </w:tcPr>
          <w:p w14:paraId="5C4622B5" w14:textId="77777777" w:rsidR="00AD3658" w:rsidRPr="0022554A" w:rsidRDefault="00AD3658" w:rsidP="00A01205">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09AE5C23" w14:textId="77777777" w:rsidR="00AD3658" w:rsidRPr="0022554A" w:rsidRDefault="00AD3658" w:rsidP="00A01205">
            <w:pPr>
              <w:tabs>
                <w:tab w:val="left" w:pos="5400"/>
              </w:tabs>
              <w:jc w:val="center"/>
              <w:rPr>
                <w:sz w:val="20"/>
              </w:rPr>
            </w:pPr>
            <w:r w:rsidRPr="0022554A">
              <w:rPr>
                <w:sz w:val="20"/>
              </w:rPr>
              <w:t>9</w:t>
            </w:r>
          </w:p>
        </w:tc>
        <w:tc>
          <w:tcPr>
            <w:tcW w:w="0" w:type="auto"/>
          </w:tcPr>
          <w:p w14:paraId="0051755C" w14:textId="77777777" w:rsidR="00AD3658" w:rsidRDefault="00AD3658" w:rsidP="00A01205">
            <w:pPr>
              <w:tabs>
                <w:tab w:val="left" w:pos="5400"/>
              </w:tabs>
              <w:rPr>
                <w:color w:val="000000"/>
                <w:sz w:val="20"/>
              </w:rPr>
            </w:pPr>
            <w:r w:rsidRPr="0022554A">
              <w:rPr>
                <w:color w:val="000000"/>
                <w:sz w:val="20"/>
              </w:rPr>
              <w:t>Describe any efforts to address potential sources of bias</w:t>
            </w:r>
          </w:p>
          <w:p w14:paraId="74930FD6" w14:textId="6F301161" w:rsidR="00A60C3D" w:rsidRDefault="00A60C3D" w:rsidP="00A01205">
            <w:pPr>
              <w:tabs>
                <w:tab w:val="left" w:pos="5400"/>
              </w:tabs>
              <w:rPr>
                <w:sz w:val="20"/>
                <w:shd w:val="clear" w:color="auto" w:fill="FFFFFF"/>
              </w:rPr>
            </w:pPr>
            <w:r w:rsidRPr="00A60C3D">
              <w:rPr>
                <w:sz w:val="20"/>
                <w:shd w:val="clear" w:color="auto" w:fill="FFFFFF"/>
              </w:rPr>
              <w:lastRenderedPageBreak/>
              <w:t>We notably tried to reduce bias by excluding suspect cases. The</w:t>
            </w:r>
            <w:r>
              <w:rPr>
                <w:sz w:val="20"/>
                <w:shd w:val="clear" w:color="auto" w:fill="FFFFFF"/>
              </w:rPr>
              <w:t xml:space="preserve"> </w:t>
            </w:r>
            <w:r w:rsidRPr="00A60C3D">
              <w:rPr>
                <w:sz w:val="20"/>
                <w:shd w:val="clear" w:color="auto" w:fill="FFFFFF"/>
              </w:rPr>
              <w:t>analysis section</w:t>
            </w:r>
            <w:r>
              <w:rPr>
                <w:sz w:val="20"/>
                <w:shd w:val="clear" w:color="auto" w:fill="FFFFFF"/>
              </w:rPr>
              <w:t xml:space="preserve"> </w:t>
            </w:r>
            <w:r w:rsidRPr="00A60C3D">
              <w:rPr>
                <w:sz w:val="20"/>
                <w:shd w:val="clear" w:color="auto" w:fill="FFFFFF"/>
              </w:rPr>
              <w:t>also explains part of our analysis was adjusted on</w:t>
            </w:r>
            <w:r>
              <w:rPr>
                <w:sz w:val="20"/>
                <w:shd w:val="clear" w:color="auto" w:fill="FFFFFF"/>
              </w:rPr>
              <w:t xml:space="preserve"> </w:t>
            </w:r>
            <w:r w:rsidRPr="00A60C3D">
              <w:rPr>
                <w:sz w:val="20"/>
                <w:shd w:val="clear" w:color="auto" w:fill="FFFFFF"/>
              </w:rPr>
              <w:t>type on context in order to reduce bias</w:t>
            </w:r>
          </w:p>
          <w:p w14:paraId="01117127" w14:textId="666858D2" w:rsidR="00A60C3D" w:rsidRPr="00A60C3D" w:rsidRDefault="00A60C3D" w:rsidP="00A01205">
            <w:pPr>
              <w:tabs>
                <w:tab w:val="left" w:pos="5400"/>
              </w:tabs>
              <w:rPr>
                <w:color w:val="000000"/>
                <w:sz w:val="20"/>
              </w:rPr>
            </w:pPr>
            <w:r>
              <w:rPr>
                <w:color w:val="000000"/>
                <w:sz w:val="20"/>
              </w:rPr>
              <w:t>Page 4</w:t>
            </w:r>
          </w:p>
        </w:tc>
      </w:tr>
      <w:tr w:rsidR="00AD3658" w:rsidRPr="0022554A" w14:paraId="73693E2E" w14:textId="77777777" w:rsidTr="00A01205">
        <w:tc>
          <w:tcPr>
            <w:tcW w:w="0" w:type="auto"/>
          </w:tcPr>
          <w:p w14:paraId="362754B0" w14:textId="77777777" w:rsidR="00AD3658" w:rsidRPr="0022554A" w:rsidRDefault="00AD3658" w:rsidP="00A01205">
            <w:pPr>
              <w:tabs>
                <w:tab w:val="left" w:pos="5400"/>
              </w:tabs>
              <w:rPr>
                <w:bCs/>
                <w:sz w:val="20"/>
              </w:rPr>
            </w:pPr>
            <w:bookmarkStart w:id="36" w:name="bold21" w:colFirst="0" w:colLast="0"/>
            <w:bookmarkStart w:id="37" w:name="italic21" w:colFirst="0" w:colLast="0"/>
            <w:bookmarkEnd w:id="34"/>
            <w:bookmarkEnd w:id="35"/>
            <w:r w:rsidRPr="0022554A">
              <w:rPr>
                <w:bCs/>
                <w:sz w:val="20"/>
              </w:rPr>
              <w:lastRenderedPageBreak/>
              <w:t>Study size</w:t>
            </w:r>
          </w:p>
        </w:tc>
        <w:tc>
          <w:tcPr>
            <w:tcW w:w="0" w:type="auto"/>
          </w:tcPr>
          <w:p w14:paraId="1DE8A95C" w14:textId="77777777" w:rsidR="00AD3658" w:rsidRPr="0022554A" w:rsidRDefault="00AD3658" w:rsidP="00A01205">
            <w:pPr>
              <w:tabs>
                <w:tab w:val="left" w:pos="5400"/>
              </w:tabs>
              <w:jc w:val="center"/>
              <w:rPr>
                <w:sz w:val="20"/>
              </w:rPr>
            </w:pPr>
            <w:r w:rsidRPr="0022554A">
              <w:rPr>
                <w:sz w:val="20"/>
              </w:rPr>
              <w:t>10</w:t>
            </w:r>
          </w:p>
        </w:tc>
        <w:tc>
          <w:tcPr>
            <w:tcW w:w="0" w:type="auto"/>
          </w:tcPr>
          <w:p w14:paraId="01B6003F" w14:textId="77777777" w:rsidR="00AD3658" w:rsidRDefault="00AD3658" w:rsidP="00A01205">
            <w:pPr>
              <w:tabs>
                <w:tab w:val="left" w:pos="5400"/>
              </w:tabs>
              <w:rPr>
                <w:sz w:val="20"/>
              </w:rPr>
            </w:pPr>
            <w:r w:rsidRPr="0022554A">
              <w:rPr>
                <w:sz w:val="20"/>
              </w:rPr>
              <w:t>Explain how the study size was arrived at</w:t>
            </w:r>
          </w:p>
          <w:p w14:paraId="2DB5C788" w14:textId="005A5AA7" w:rsidR="00AD3658" w:rsidRDefault="009A04E5" w:rsidP="00A01205">
            <w:pPr>
              <w:tabs>
                <w:tab w:val="left" w:pos="5400"/>
              </w:tabs>
              <w:rPr>
                <w:sz w:val="20"/>
              </w:rPr>
            </w:pPr>
            <w:r>
              <w:rPr>
                <w:sz w:val="20"/>
              </w:rPr>
              <w:t>“</w:t>
            </w:r>
            <w:r w:rsidR="00AD3658" w:rsidRPr="005714B8">
              <w:rPr>
                <w:sz w:val="20"/>
              </w:rPr>
              <w:t>Study included 150 patients diagnosed with Carcinoma cervix (Table 1), out of which 6 patients were excluded due to loss of follow-up and since they did not receive chemotherapy</w:t>
            </w:r>
            <w:r>
              <w:rPr>
                <w:sz w:val="20"/>
              </w:rPr>
              <w:t>”</w:t>
            </w:r>
          </w:p>
          <w:p w14:paraId="3E3431DA" w14:textId="4F75F4DE" w:rsidR="00F54309" w:rsidRPr="0022554A" w:rsidRDefault="00F54309" w:rsidP="00A01205">
            <w:pPr>
              <w:tabs>
                <w:tab w:val="left" w:pos="5400"/>
              </w:tabs>
              <w:rPr>
                <w:sz w:val="20"/>
              </w:rPr>
            </w:pPr>
            <w:r>
              <w:rPr>
                <w:sz w:val="20"/>
              </w:rPr>
              <w:t xml:space="preserve">Page </w:t>
            </w:r>
            <w:r w:rsidR="009A04E5">
              <w:rPr>
                <w:sz w:val="20"/>
              </w:rPr>
              <w:t>15, Table 1</w:t>
            </w:r>
          </w:p>
        </w:tc>
      </w:tr>
      <w:tr w:rsidR="00AD3658" w:rsidRPr="0022554A" w14:paraId="6EF724A9" w14:textId="77777777" w:rsidTr="00A01205">
        <w:tc>
          <w:tcPr>
            <w:tcW w:w="0" w:type="auto"/>
          </w:tcPr>
          <w:p w14:paraId="27834E38" w14:textId="77777777" w:rsidR="00AD3658" w:rsidRPr="0022554A" w:rsidRDefault="00AD3658" w:rsidP="00A01205">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735C7635" w14:textId="77777777" w:rsidR="00AD3658" w:rsidRPr="0022554A" w:rsidRDefault="00AD3658" w:rsidP="00A01205">
            <w:pPr>
              <w:tabs>
                <w:tab w:val="left" w:pos="5400"/>
              </w:tabs>
              <w:jc w:val="center"/>
              <w:rPr>
                <w:sz w:val="20"/>
              </w:rPr>
            </w:pPr>
            <w:r w:rsidRPr="0022554A">
              <w:rPr>
                <w:sz w:val="20"/>
              </w:rPr>
              <w:t>11</w:t>
            </w:r>
          </w:p>
        </w:tc>
        <w:tc>
          <w:tcPr>
            <w:tcW w:w="0" w:type="auto"/>
          </w:tcPr>
          <w:p w14:paraId="0361BF15" w14:textId="203EF9DD" w:rsidR="00AD3658" w:rsidRDefault="00AD3658" w:rsidP="00A01205">
            <w:pPr>
              <w:tabs>
                <w:tab w:val="left" w:pos="5400"/>
              </w:tabs>
              <w:rPr>
                <w:sz w:val="20"/>
              </w:rPr>
            </w:pPr>
            <w:r w:rsidRPr="0022554A">
              <w:rPr>
                <w:sz w:val="20"/>
              </w:rPr>
              <w:t>Explain how quantitative variables were handled in the analyses. If applicable, describe which groupings were chosen and why</w:t>
            </w:r>
          </w:p>
          <w:p w14:paraId="2B046748" w14:textId="265EB28A" w:rsidR="008F144B" w:rsidRDefault="008F144B" w:rsidP="00A01205">
            <w:pPr>
              <w:tabs>
                <w:tab w:val="left" w:pos="5400"/>
              </w:tabs>
              <w:rPr>
                <w:sz w:val="20"/>
              </w:rPr>
            </w:pPr>
            <w:r>
              <w:rPr>
                <w:sz w:val="20"/>
              </w:rPr>
              <w:t>Page 4 and 6</w:t>
            </w:r>
          </w:p>
          <w:p w14:paraId="19F40FBB" w14:textId="1AEB5128" w:rsidR="008F144B" w:rsidRPr="008F144B" w:rsidRDefault="008F144B" w:rsidP="008F144B">
            <w:pPr>
              <w:spacing w:line="276" w:lineRule="auto"/>
              <w:jc w:val="both"/>
              <w:rPr>
                <w:bCs/>
                <w:sz w:val="20"/>
                <w:lang w:val="en-US"/>
              </w:rPr>
            </w:pPr>
            <w:r>
              <w:rPr>
                <w:bCs/>
                <w:sz w:val="20"/>
              </w:rPr>
              <w:t>“</w:t>
            </w:r>
            <w:r w:rsidRPr="008F144B">
              <w:rPr>
                <w:bCs/>
                <w:sz w:val="20"/>
              </w:rPr>
              <w:t>Fisher’s exact test was performed to see the association between two categorical</w:t>
            </w:r>
            <w:r>
              <w:rPr>
                <w:bCs/>
                <w:sz w:val="20"/>
              </w:rPr>
              <w:t xml:space="preserve"> </w:t>
            </w:r>
            <w:r w:rsidRPr="008F144B">
              <w:rPr>
                <w:bCs/>
                <w:sz w:val="20"/>
              </w:rPr>
              <w:t>variables. P value of less than 0.05 was considered significant.</w:t>
            </w:r>
            <w:r>
              <w:rPr>
                <w:bCs/>
                <w:sz w:val="20"/>
              </w:rPr>
              <w:t>”</w:t>
            </w:r>
          </w:p>
          <w:p w14:paraId="3D2FD47A" w14:textId="17F800AF" w:rsidR="008F144B" w:rsidRPr="008F144B" w:rsidRDefault="008F144B" w:rsidP="008F144B">
            <w:pPr>
              <w:tabs>
                <w:tab w:val="left" w:pos="5400"/>
              </w:tabs>
              <w:spacing w:line="276" w:lineRule="auto"/>
              <w:rPr>
                <w:sz w:val="20"/>
              </w:rPr>
            </w:pPr>
            <w:r>
              <w:rPr>
                <w:bCs/>
                <w:sz w:val="20"/>
              </w:rPr>
              <w:t>“</w:t>
            </w:r>
            <w:r w:rsidRPr="008F144B">
              <w:rPr>
                <w:bCs/>
                <w:sz w:val="20"/>
              </w:rPr>
              <w:t>Complete response was seen in patients with mean EQD</w:t>
            </w:r>
            <w:r w:rsidRPr="008F144B">
              <w:rPr>
                <w:bCs/>
                <w:sz w:val="20"/>
                <w:vertAlign w:val="subscript"/>
              </w:rPr>
              <w:t>2</w:t>
            </w:r>
            <w:r w:rsidRPr="008F144B">
              <w:rPr>
                <w:bCs/>
                <w:sz w:val="20"/>
              </w:rPr>
              <w:t xml:space="preserve"> of 78.67 Gy</w:t>
            </w:r>
            <w:r w:rsidRPr="008F144B">
              <w:rPr>
                <w:bCs/>
                <w:sz w:val="20"/>
                <w:vertAlign w:val="subscript"/>
              </w:rPr>
              <w:t>10</w:t>
            </w:r>
            <w:r w:rsidRPr="008F144B">
              <w:rPr>
                <w:bCs/>
                <w:sz w:val="20"/>
              </w:rPr>
              <w:t>, 83.33 Gy</w:t>
            </w:r>
            <w:r w:rsidRPr="008F144B">
              <w:rPr>
                <w:bCs/>
                <w:sz w:val="20"/>
                <w:vertAlign w:val="subscript"/>
              </w:rPr>
              <w:t>10</w:t>
            </w:r>
            <w:r w:rsidRPr="008F144B">
              <w:rPr>
                <w:bCs/>
                <w:sz w:val="20"/>
              </w:rPr>
              <w:t>, 84.23 Gy</w:t>
            </w:r>
            <w:r w:rsidRPr="008F144B">
              <w:rPr>
                <w:bCs/>
                <w:sz w:val="20"/>
                <w:vertAlign w:val="subscript"/>
              </w:rPr>
              <w:t>10</w:t>
            </w:r>
            <w:r w:rsidRPr="008F144B">
              <w:rPr>
                <w:bCs/>
                <w:sz w:val="20"/>
              </w:rPr>
              <w:t>, 85.63 Gy</w:t>
            </w:r>
            <w:r w:rsidRPr="008F144B">
              <w:rPr>
                <w:bCs/>
                <w:sz w:val="20"/>
                <w:vertAlign w:val="subscript"/>
              </w:rPr>
              <w:t>10</w:t>
            </w:r>
            <w:r w:rsidRPr="008F144B">
              <w:rPr>
                <w:bCs/>
                <w:sz w:val="20"/>
              </w:rPr>
              <w:t xml:space="preserve"> in stages I, II, III, IVA respectively </w:t>
            </w:r>
            <w:r w:rsidRPr="008F144B">
              <w:rPr>
                <w:sz w:val="20"/>
              </w:rPr>
              <w:t>(Table 2)</w:t>
            </w:r>
            <w:r>
              <w:rPr>
                <w:sz w:val="20"/>
              </w:rPr>
              <w:t>”</w:t>
            </w:r>
          </w:p>
        </w:tc>
      </w:tr>
      <w:tr w:rsidR="00AD3658" w:rsidRPr="0022554A" w14:paraId="3FE6BDE6" w14:textId="77777777" w:rsidTr="00A01205">
        <w:tc>
          <w:tcPr>
            <w:tcW w:w="0" w:type="auto"/>
            <w:vMerge w:val="restart"/>
          </w:tcPr>
          <w:p w14:paraId="1A464728" w14:textId="77777777" w:rsidR="00AD3658" w:rsidRPr="0022554A" w:rsidRDefault="00AD3658" w:rsidP="00A01205">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15248268" w14:textId="77777777" w:rsidR="00AD3658" w:rsidRPr="0022554A" w:rsidRDefault="00AD3658" w:rsidP="00A01205">
            <w:pPr>
              <w:tabs>
                <w:tab w:val="left" w:pos="5400"/>
              </w:tabs>
              <w:jc w:val="center"/>
              <w:rPr>
                <w:sz w:val="20"/>
              </w:rPr>
            </w:pPr>
            <w:r w:rsidRPr="0022554A">
              <w:rPr>
                <w:sz w:val="20"/>
              </w:rPr>
              <w:t>12</w:t>
            </w:r>
          </w:p>
        </w:tc>
        <w:tc>
          <w:tcPr>
            <w:tcW w:w="0" w:type="auto"/>
          </w:tcPr>
          <w:p w14:paraId="34AB7E17" w14:textId="225028E2" w:rsidR="00AD3658" w:rsidRDefault="00AD3658" w:rsidP="00A01205">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p w14:paraId="783D299C" w14:textId="0328B955" w:rsidR="00D5225A" w:rsidRDefault="00D5225A" w:rsidP="00A01205">
            <w:pPr>
              <w:tabs>
                <w:tab w:val="left" w:pos="5400"/>
              </w:tabs>
              <w:rPr>
                <w:sz w:val="20"/>
                <w:shd w:val="clear" w:color="auto" w:fill="FFFFFF"/>
              </w:rPr>
            </w:pPr>
            <w:r w:rsidRPr="00D5225A">
              <w:rPr>
                <w:sz w:val="20"/>
                <w:shd w:val="clear" w:color="auto" w:fill="FFFFFF"/>
              </w:rPr>
              <w:t>These are described in the method section</w:t>
            </w:r>
          </w:p>
          <w:p w14:paraId="4C5A9445" w14:textId="07B54134" w:rsidR="00D5225A" w:rsidRPr="00D5225A" w:rsidRDefault="00D5225A" w:rsidP="00A01205">
            <w:pPr>
              <w:tabs>
                <w:tab w:val="left" w:pos="5400"/>
              </w:tabs>
              <w:rPr>
                <w:sz w:val="20"/>
              </w:rPr>
            </w:pPr>
            <w:r>
              <w:rPr>
                <w:sz w:val="20"/>
              </w:rPr>
              <w:t>Page 4</w:t>
            </w:r>
          </w:p>
          <w:p w14:paraId="3210F593" w14:textId="3EC25D1C" w:rsidR="00AD3658" w:rsidRPr="005714B8" w:rsidRDefault="00D5225A" w:rsidP="00A01205">
            <w:pPr>
              <w:tabs>
                <w:tab w:val="left" w:pos="5400"/>
              </w:tabs>
              <w:rPr>
                <w:sz w:val="20"/>
              </w:rPr>
            </w:pPr>
            <w:r>
              <w:rPr>
                <w:sz w:val="20"/>
              </w:rPr>
              <w:t>“</w:t>
            </w:r>
            <w:r w:rsidR="00AD3658" w:rsidRPr="005714B8">
              <w:rPr>
                <w:sz w:val="20"/>
              </w:rPr>
              <w:t xml:space="preserve">The statistical analysis was carried out using the statistical tool SPSS version 22.0. </w:t>
            </w:r>
          </w:p>
          <w:p w14:paraId="4FA9CB3D" w14:textId="1A3E195E" w:rsidR="00AD3658" w:rsidRPr="0022554A" w:rsidRDefault="00AD3658" w:rsidP="00A01205">
            <w:pPr>
              <w:tabs>
                <w:tab w:val="left" w:pos="5400"/>
              </w:tabs>
              <w:rPr>
                <w:sz w:val="20"/>
              </w:rPr>
            </w:pPr>
            <w:r w:rsidRPr="005714B8">
              <w:rPr>
                <w:sz w:val="20"/>
              </w:rPr>
              <w:t>Continuous variables were presented as Mean ± Standard Deviation, Median, Min: Max, Q1:Q3. Categorical variables were presented as frequency and percentage. Fisher’s exact test was performed to see the association between two categorical variables. P value of less than 0.05 was considered significant.</w:t>
            </w:r>
            <w:r w:rsidR="00D5225A">
              <w:rPr>
                <w:sz w:val="20"/>
              </w:rPr>
              <w:t>”</w:t>
            </w:r>
          </w:p>
        </w:tc>
      </w:tr>
      <w:tr w:rsidR="00AD3658" w:rsidRPr="0022554A" w14:paraId="47EAAF08" w14:textId="77777777" w:rsidTr="00A01205">
        <w:trPr>
          <w:gridAfter w:val="1"/>
          <w:trHeight w:val="300"/>
        </w:trPr>
        <w:tc>
          <w:tcPr>
            <w:tcW w:w="0" w:type="auto"/>
            <w:vMerge/>
          </w:tcPr>
          <w:p w14:paraId="120FF920" w14:textId="77777777" w:rsidR="00AD3658" w:rsidRPr="0022554A" w:rsidRDefault="00AD3658" w:rsidP="00A01205">
            <w:pPr>
              <w:tabs>
                <w:tab w:val="left" w:pos="5400"/>
              </w:tabs>
              <w:rPr>
                <w:bCs/>
                <w:sz w:val="20"/>
              </w:rPr>
            </w:pPr>
            <w:bookmarkStart w:id="44" w:name="bold24" w:colFirst="0" w:colLast="0"/>
            <w:bookmarkStart w:id="45" w:name="italic26" w:colFirst="0" w:colLast="0"/>
          </w:p>
        </w:tc>
        <w:tc>
          <w:tcPr>
            <w:tcW w:w="0" w:type="auto"/>
            <w:vMerge/>
          </w:tcPr>
          <w:p w14:paraId="09D4E891" w14:textId="77777777" w:rsidR="00AD3658" w:rsidRPr="0022554A" w:rsidRDefault="00AD3658" w:rsidP="00A01205">
            <w:pPr>
              <w:tabs>
                <w:tab w:val="left" w:pos="5400"/>
              </w:tabs>
              <w:jc w:val="center"/>
              <w:rPr>
                <w:sz w:val="20"/>
              </w:rPr>
            </w:pPr>
          </w:p>
        </w:tc>
      </w:tr>
      <w:tr w:rsidR="00AD3658" w:rsidRPr="0022554A" w14:paraId="58E47F19" w14:textId="77777777" w:rsidTr="00A01205">
        <w:trPr>
          <w:gridAfter w:val="1"/>
          <w:trHeight w:val="300"/>
        </w:trPr>
        <w:tc>
          <w:tcPr>
            <w:tcW w:w="0" w:type="auto"/>
            <w:vMerge/>
          </w:tcPr>
          <w:p w14:paraId="1149B421" w14:textId="77777777" w:rsidR="00AD3658" w:rsidRPr="0022554A" w:rsidRDefault="00AD3658" w:rsidP="00A01205">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39010E2" w14:textId="77777777" w:rsidR="00AD3658" w:rsidRPr="0022554A" w:rsidRDefault="00AD3658" w:rsidP="00A01205">
            <w:pPr>
              <w:tabs>
                <w:tab w:val="left" w:pos="5400"/>
              </w:tabs>
              <w:jc w:val="center"/>
              <w:rPr>
                <w:sz w:val="20"/>
              </w:rPr>
            </w:pPr>
          </w:p>
        </w:tc>
      </w:tr>
      <w:tr w:rsidR="00AD3658" w:rsidRPr="0022554A" w14:paraId="6F4E3361" w14:textId="77777777" w:rsidTr="00A01205">
        <w:trPr>
          <w:gridAfter w:val="1"/>
          <w:trHeight w:val="300"/>
        </w:trPr>
        <w:tc>
          <w:tcPr>
            <w:tcW w:w="0" w:type="auto"/>
            <w:vMerge/>
          </w:tcPr>
          <w:p w14:paraId="50ECC97B" w14:textId="77777777" w:rsidR="00AD3658" w:rsidRPr="0022554A" w:rsidRDefault="00AD3658" w:rsidP="00A01205">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26FA6700" w14:textId="77777777" w:rsidR="00AD3658" w:rsidRPr="0022554A" w:rsidRDefault="00AD3658" w:rsidP="00A01205">
            <w:pPr>
              <w:tabs>
                <w:tab w:val="left" w:pos="5400"/>
              </w:tabs>
              <w:jc w:val="center"/>
              <w:rPr>
                <w:sz w:val="20"/>
              </w:rPr>
            </w:pPr>
          </w:p>
        </w:tc>
      </w:tr>
      <w:tr w:rsidR="00AD3658" w:rsidRPr="0022554A" w14:paraId="793F6C6C" w14:textId="77777777" w:rsidTr="00A01205">
        <w:trPr>
          <w:gridAfter w:val="1"/>
          <w:trHeight w:val="300"/>
        </w:trPr>
        <w:tc>
          <w:tcPr>
            <w:tcW w:w="0" w:type="auto"/>
            <w:vMerge/>
          </w:tcPr>
          <w:p w14:paraId="2615FBEA" w14:textId="77777777" w:rsidR="00AD3658" w:rsidRPr="0022554A" w:rsidRDefault="00AD3658" w:rsidP="00A01205">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346DF43C" w14:textId="77777777" w:rsidR="00AD3658" w:rsidRPr="0022554A" w:rsidRDefault="00AD3658" w:rsidP="00A01205">
            <w:pPr>
              <w:tabs>
                <w:tab w:val="left" w:pos="5400"/>
              </w:tabs>
              <w:jc w:val="center"/>
              <w:rPr>
                <w:sz w:val="20"/>
              </w:rPr>
            </w:pPr>
          </w:p>
        </w:tc>
      </w:tr>
      <w:tr w:rsidR="00AD3658" w:rsidRPr="0022554A" w14:paraId="62BAFF1F" w14:textId="77777777" w:rsidTr="00A01205">
        <w:tc>
          <w:tcPr>
            <w:tcW w:w="0" w:type="auto"/>
            <w:gridSpan w:val="3"/>
          </w:tcPr>
          <w:p w14:paraId="112F6825" w14:textId="39AEB248" w:rsidR="00AD3658" w:rsidRPr="0022554A" w:rsidRDefault="00AD3658" w:rsidP="00A01205">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AD3658" w:rsidRPr="0022554A" w14:paraId="12C4C24C" w14:textId="77777777" w:rsidTr="00A01205">
        <w:tc>
          <w:tcPr>
            <w:tcW w:w="0" w:type="auto"/>
            <w:vMerge w:val="restart"/>
          </w:tcPr>
          <w:p w14:paraId="3ADA447E" w14:textId="77777777" w:rsidR="00AD3658" w:rsidRPr="0022554A" w:rsidRDefault="00AD3658" w:rsidP="00A01205">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28275C1" w14:textId="77777777" w:rsidR="00AD3658" w:rsidRPr="0022554A" w:rsidRDefault="00AD3658" w:rsidP="00A01205">
            <w:pPr>
              <w:tabs>
                <w:tab w:val="left" w:pos="5400"/>
              </w:tabs>
              <w:jc w:val="center"/>
              <w:rPr>
                <w:sz w:val="20"/>
              </w:rPr>
            </w:pPr>
            <w:r w:rsidRPr="0022554A">
              <w:rPr>
                <w:sz w:val="20"/>
              </w:rPr>
              <w:t>13</w:t>
            </w:r>
            <w:bookmarkStart w:id="56" w:name="bold30"/>
            <w:r w:rsidRPr="0022554A">
              <w:rPr>
                <w:bCs/>
                <w:sz w:val="20"/>
              </w:rPr>
              <w:t>*</w:t>
            </w:r>
            <w:bookmarkEnd w:id="56"/>
          </w:p>
        </w:tc>
        <w:tc>
          <w:tcPr>
            <w:tcW w:w="0" w:type="auto"/>
          </w:tcPr>
          <w:p w14:paraId="41EC611A" w14:textId="3E855810" w:rsidR="00AD3658" w:rsidRDefault="00AD3658" w:rsidP="00A01205">
            <w:pPr>
              <w:tabs>
                <w:tab w:val="left" w:pos="5400"/>
              </w:tabs>
              <w:rPr>
                <w:sz w:val="20"/>
              </w:rPr>
            </w:pP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p w14:paraId="1C90424B" w14:textId="10CB4556" w:rsidR="00731173" w:rsidRDefault="00731173" w:rsidP="00A01205">
            <w:pPr>
              <w:tabs>
                <w:tab w:val="left" w:pos="5400"/>
              </w:tabs>
              <w:rPr>
                <w:sz w:val="20"/>
              </w:rPr>
            </w:pPr>
            <w:r>
              <w:rPr>
                <w:sz w:val="20"/>
              </w:rPr>
              <w:t>Page 15, Table 1</w:t>
            </w:r>
          </w:p>
          <w:p w14:paraId="2456032E" w14:textId="5C803BDC" w:rsidR="00AD3658" w:rsidRPr="005714B8" w:rsidRDefault="00731173" w:rsidP="00A01205">
            <w:pPr>
              <w:tabs>
                <w:tab w:val="left" w:pos="5400"/>
              </w:tabs>
              <w:rPr>
                <w:sz w:val="20"/>
              </w:rPr>
            </w:pPr>
            <w:r>
              <w:rPr>
                <w:sz w:val="20"/>
              </w:rPr>
              <w:t>“</w:t>
            </w:r>
            <w:r w:rsidR="00AD3658" w:rsidRPr="005B3042">
              <w:rPr>
                <w:sz w:val="20"/>
              </w:rPr>
              <w:t>Study included 150 patients diagnosed with Carcinoma cervix (Table 1), out of which 6 patients were excluded due to loss of follow-up and since they did not receive chemotherapy.</w:t>
            </w:r>
            <w:r>
              <w:rPr>
                <w:sz w:val="20"/>
              </w:rPr>
              <w:t>”</w:t>
            </w:r>
          </w:p>
        </w:tc>
      </w:tr>
      <w:tr w:rsidR="00AD3658" w:rsidRPr="0022554A" w14:paraId="0E960996" w14:textId="77777777" w:rsidTr="00A01205">
        <w:tc>
          <w:tcPr>
            <w:tcW w:w="0" w:type="auto"/>
            <w:vMerge/>
          </w:tcPr>
          <w:p w14:paraId="215E9522" w14:textId="77777777" w:rsidR="00AD3658" w:rsidRPr="0022554A" w:rsidRDefault="00AD3658" w:rsidP="00A01205">
            <w:pPr>
              <w:tabs>
                <w:tab w:val="left" w:pos="5400"/>
              </w:tabs>
              <w:rPr>
                <w:bCs/>
                <w:sz w:val="20"/>
              </w:rPr>
            </w:pPr>
            <w:bookmarkStart w:id="57" w:name="bold31" w:colFirst="0" w:colLast="0"/>
            <w:bookmarkStart w:id="58" w:name="italic32" w:colFirst="0" w:colLast="0"/>
          </w:p>
        </w:tc>
        <w:tc>
          <w:tcPr>
            <w:tcW w:w="0" w:type="auto"/>
            <w:vMerge/>
          </w:tcPr>
          <w:p w14:paraId="448C03AE" w14:textId="77777777" w:rsidR="00AD3658" w:rsidRPr="0022554A" w:rsidRDefault="00AD3658" w:rsidP="00A01205">
            <w:pPr>
              <w:tabs>
                <w:tab w:val="left" w:pos="5400"/>
              </w:tabs>
              <w:jc w:val="center"/>
              <w:rPr>
                <w:sz w:val="20"/>
              </w:rPr>
            </w:pPr>
          </w:p>
        </w:tc>
        <w:tc>
          <w:tcPr>
            <w:tcW w:w="0" w:type="auto"/>
          </w:tcPr>
          <w:p w14:paraId="4A760B3E" w14:textId="77777777" w:rsidR="00AD3658" w:rsidRDefault="00AD3658" w:rsidP="00A01205">
            <w:pPr>
              <w:tabs>
                <w:tab w:val="left" w:pos="5400"/>
              </w:tabs>
              <w:rPr>
                <w:sz w:val="20"/>
              </w:rPr>
            </w:pPr>
            <w:r>
              <w:rPr>
                <w:sz w:val="20"/>
              </w:rPr>
              <w:t xml:space="preserve">(b) </w:t>
            </w:r>
            <w:r w:rsidRPr="0022554A">
              <w:rPr>
                <w:sz w:val="20"/>
              </w:rPr>
              <w:t>Give reasons for non-participation at each stage</w:t>
            </w:r>
          </w:p>
          <w:p w14:paraId="2D9A2BFB" w14:textId="77777777" w:rsidR="00AD3658" w:rsidRPr="0022554A" w:rsidRDefault="00AD3658" w:rsidP="00A01205">
            <w:pPr>
              <w:tabs>
                <w:tab w:val="left" w:pos="5400"/>
              </w:tabs>
              <w:rPr>
                <w:sz w:val="20"/>
              </w:rPr>
            </w:pPr>
            <w:r>
              <w:rPr>
                <w:sz w:val="20"/>
              </w:rPr>
              <w:t>Not applicable</w:t>
            </w:r>
          </w:p>
        </w:tc>
      </w:tr>
      <w:tr w:rsidR="00AD3658" w:rsidRPr="0022554A" w14:paraId="223F5E18" w14:textId="77777777" w:rsidTr="00A01205">
        <w:tc>
          <w:tcPr>
            <w:tcW w:w="0" w:type="auto"/>
            <w:vMerge/>
          </w:tcPr>
          <w:p w14:paraId="2CFA8B52" w14:textId="77777777" w:rsidR="00AD3658" w:rsidRPr="0022554A" w:rsidRDefault="00AD3658" w:rsidP="00A01205">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2BF9BBD" w14:textId="77777777" w:rsidR="00AD3658" w:rsidRPr="0022554A" w:rsidRDefault="00AD3658" w:rsidP="00A01205">
            <w:pPr>
              <w:tabs>
                <w:tab w:val="left" w:pos="5400"/>
              </w:tabs>
              <w:jc w:val="center"/>
              <w:rPr>
                <w:sz w:val="20"/>
              </w:rPr>
            </w:pPr>
          </w:p>
        </w:tc>
        <w:tc>
          <w:tcPr>
            <w:tcW w:w="0" w:type="auto"/>
          </w:tcPr>
          <w:p w14:paraId="2BC6580F" w14:textId="77777777" w:rsidR="00AD3658" w:rsidRDefault="00AD3658" w:rsidP="00A01205">
            <w:pPr>
              <w:tabs>
                <w:tab w:val="left" w:pos="5400"/>
              </w:tabs>
              <w:rPr>
                <w:sz w:val="20"/>
              </w:rPr>
            </w:pPr>
            <w:bookmarkStart w:id="61" w:name="OLE_LINK4"/>
            <w:r>
              <w:rPr>
                <w:sz w:val="20"/>
              </w:rPr>
              <w:t xml:space="preserve">(c) </w:t>
            </w:r>
            <w:r w:rsidRPr="0022554A">
              <w:rPr>
                <w:sz w:val="20"/>
              </w:rPr>
              <w:t>Consider use of a flow diagram</w:t>
            </w:r>
            <w:bookmarkEnd w:id="61"/>
          </w:p>
          <w:p w14:paraId="732D0C57" w14:textId="77777777" w:rsidR="00AD3658" w:rsidRPr="0022554A" w:rsidRDefault="00AD3658" w:rsidP="00A01205">
            <w:pPr>
              <w:tabs>
                <w:tab w:val="left" w:pos="5400"/>
              </w:tabs>
              <w:rPr>
                <w:sz w:val="20"/>
              </w:rPr>
            </w:pPr>
            <w:r>
              <w:rPr>
                <w:sz w:val="20"/>
              </w:rPr>
              <w:t>Not applicable</w:t>
            </w:r>
          </w:p>
        </w:tc>
      </w:tr>
      <w:tr w:rsidR="00AD3658" w:rsidRPr="0022554A" w14:paraId="1DEB2210" w14:textId="77777777" w:rsidTr="00A01205">
        <w:tc>
          <w:tcPr>
            <w:tcW w:w="0" w:type="auto"/>
            <w:vMerge w:val="restart"/>
          </w:tcPr>
          <w:p w14:paraId="74097530" w14:textId="7A648F38" w:rsidR="00AD3658" w:rsidRPr="0022554A" w:rsidRDefault="00AD3658" w:rsidP="00A01205">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9E1B4AA" w14:textId="77777777" w:rsidR="00AD3658" w:rsidRPr="0022554A" w:rsidRDefault="00AD3658" w:rsidP="00A01205">
            <w:pPr>
              <w:tabs>
                <w:tab w:val="left" w:pos="5400"/>
              </w:tabs>
              <w:jc w:val="center"/>
              <w:rPr>
                <w:sz w:val="20"/>
              </w:rPr>
            </w:pPr>
            <w:r w:rsidRPr="0022554A">
              <w:rPr>
                <w:sz w:val="20"/>
              </w:rPr>
              <w:t>14</w:t>
            </w:r>
            <w:bookmarkStart w:id="66" w:name="bold35"/>
            <w:r w:rsidRPr="0022554A">
              <w:rPr>
                <w:bCs/>
                <w:sz w:val="20"/>
              </w:rPr>
              <w:t>*</w:t>
            </w:r>
            <w:bookmarkEnd w:id="66"/>
          </w:p>
        </w:tc>
        <w:tc>
          <w:tcPr>
            <w:tcW w:w="0" w:type="auto"/>
          </w:tcPr>
          <w:p w14:paraId="52DCABE8" w14:textId="77777777" w:rsidR="00AD3658" w:rsidRDefault="00AD3658" w:rsidP="00A01205">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p w14:paraId="76BBCE6D" w14:textId="258E9D04" w:rsidR="00AD3658" w:rsidRPr="00731173" w:rsidRDefault="00731173" w:rsidP="00A01205">
            <w:pPr>
              <w:tabs>
                <w:tab w:val="left" w:pos="5400"/>
              </w:tabs>
              <w:rPr>
                <w:sz w:val="20"/>
              </w:rPr>
            </w:pPr>
            <w:r w:rsidRPr="00731173">
              <w:rPr>
                <w:sz w:val="20"/>
                <w:shd w:val="clear" w:color="auto" w:fill="FFFFFF"/>
              </w:rPr>
              <w:t>Table 1 describes the participants</w:t>
            </w:r>
          </w:p>
        </w:tc>
      </w:tr>
      <w:tr w:rsidR="00AD3658" w:rsidRPr="0022554A" w14:paraId="5946EB52" w14:textId="77777777" w:rsidTr="00A01205">
        <w:tc>
          <w:tcPr>
            <w:tcW w:w="0" w:type="auto"/>
            <w:vMerge/>
          </w:tcPr>
          <w:p w14:paraId="60867A08" w14:textId="77777777" w:rsidR="00AD3658" w:rsidRPr="0022554A" w:rsidRDefault="00AD3658" w:rsidP="00A01205">
            <w:pPr>
              <w:tabs>
                <w:tab w:val="left" w:pos="5400"/>
              </w:tabs>
              <w:rPr>
                <w:bCs/>
                <w:sz w:val="20"/>
              </w:rPr>
            </w:pPr>
            <w:bookmarkStart w:id="67" w:name="bold36" w:colFirst="0" w:colLast="0"/>
            <w:bookmarkStart w:id="68" w:name="italic36" w:colFirst="0" w:colLast="0"/>
          </w:p>
        </w:tc>
        <w:tc>
          <w:tcPr>
            <w:tcW w:w="0" w:type="auto"/>
            <w:vMerge/>
          </w:tcPr>
          <w:p w14:paraId="220463EB" w14:textId="77777777" w:rsidR="00AD3658" w:rsidRPr="0022554A" w:rsidRDefault="00AD3658" w:rsidP="00A01205">
            <w:pPr>
              <w:tabs>
                <w:tab w:val="left" w:pos="5400"/>
              </w:tabs>
              <w:jc w:val="center"/>
              <w:rPr>
                <w:sz w:val="20"/>
              </w:rPr>
            </w:pPr>
          </w:p>
        </w:tc>
        <w:tc>
          <w:tcPr>
            <w:tcW w:w="0" w:type="auto"/>
          </w:tcPr>
          <w:p w14:paraId="1D79EE23" w14:textId="77777777" w:rsidR="00AD3658" w:rsidRDefault="00AD3658" w:rsidP="00A01205">
            <w:pPr>
              <w:tabs>
                <w:tab w:val="left" w:pos="5400"/>
              </w:tabs>
              <w:rPr>
                <w:sz w:val="20"/>
              </w:rPr>
            </w:pPr>
            <w:r>
              <w:rPr>
                <w:sz w:val="20"/>
              </w:rPr>
              <w:t xml:space="preserve">(b) </w:t>
            </w:r>
            <w:r w:rsidRPr="0022554A">
              <w:rPr>
                <w:sz w:val="20"/>
              </w:rPr>
              <w:t>Indicate number of participants with missing data for each variable of interest</w:t>
            </w:r>
          </w:p>
          <w:p w14:paraId="69B17E4B" w14:textId="4B65D395" w:rsidR="00AD3658" w:rsidRPr="00731173" w:rsidRDefault="00731173" w:rsidP="00A01205">
            <w:pPr>
              <w:tabs>
                <w:tab w:val="left" w:pos="5400"/>
              </w:tabs>
              <w:rPr>
                <w:sz w:val="20"/>
              </w:rPr>
            </w:pPr>
            <w:r w:rsidRPr="00731173">
              <w:rPr>
                <w:sz w:val="20"/>
                <w:shd w:val="clear" w:color="auto" w:fill="FFFFFF"/>
              </w:rPr>
              <w:t>The total numbers of recorded data for each variable are stated in</w:t>
            </w:r>
            <w:r w:rsidRPr="00731173">
              <w:rPr>
                <w:rFonts w:ascii="Arial" w:hAnsi="Arial" w:cs="Arial"/>
                <w:color w:val="252525"/>
                <w:sz w:val="20"/>
              </w:rPr>
              <w:br/>
            </w:r>
            <w:r w:rsidRPr="00731173">
              <w:rPr>
                <w:sz w:val="20"/>
                <w:shd w:val="clear" w:color="auto" w:fill="FFFFFF"/>
              </w:rPr>
              <w:t>variable headline of each table</w:t>
            </w:r>
          </w:p>
        </w:tc>
      </w:tr>
      <w:tr w:rsidR="00AD3658" w:rsidRPr="0022554A" w14:paraId="25323257" w14:textId="77777777" w:rsidTr="00A01205">
        <w:trPr>
          <w:trHeight w:val="295"/>
        </w:trPr>
        <w:tc>
          <w:tcPr>
            <w:tcW w:w="0" w:type="auto"/>
          </w:tcPr>
          <w:p w14:paraId="10BE8E18" w14:textId="77777777" w:rsidR="00AD3658" w:rsidRPr="0022554A" w:rsidRDefault="00AD3658" w:rsidP="00A01205">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795DF85F" w14:textId="77777777" w:rsidR="00AD3658" w:rsidRPr="0022554A" w:rsidRDefault="00AD3658" w:rsidP="00A01205">
            <w:pPr>
              <w:tabs>
                <w:tab w:val="left" w:pos="5400"/>
              </w:tabs>
              <w:jc w:val="center"/>
              <w:rPr>
                <w:sz w:val="20"/>
              </w:rPr>
            </w:pPr>
            <w:r w:rsidRPr="0022554A">
              <w:rPr>
                <w:sz w:val="20"/>
              </w:rPr>
              <w:t>15</w:t>
            </w:r>
            <w:bookmarkStart w:id="71" w:name="bold39"/>
            <w:r w:rsidRPr="0022554A">
              <w:rPr>
                <w:bCs/>
                <w:sz w:val="20"/>
              </w:rPr>
              <w:t>*</w:t>
            </w:r>
            <w:bookmarkEnd w:id="71"/>
          </w:p>
        </w:tc>
        <w:tc>
          <w:tcPr>
            <w:tcW w:w="0" w:type="auto"/>
          </w:tcPr>
          <w:p w14:paraId="250E438F" w14:textId="77777777" w:rsidR="00AD3658" w:rsidRDefault="00AD3658" w:rsidP="00A01205">
            <w:pPr>
              <w:tabs>
                <w:tab w:val="left" w:pos="5400"/>
              </w:tabs>
              <w:rPr>
                <w:sz w:val="20"/>
              </w:rPr>
            </w:pPr>
            <w:r w:rsidRPr="0022554A">
              <w:rPr>
                <w:sz w:val="20"/>
              </w:rPr>
              <w:t>Report numbers of outcome events or summary measures</w:t>
            </w:r>
          </w:p>
          <w:p w14:paraId="2F427FEB" w14:textId="65710ADB" w:rsidR="00AD3658" w:rsidRPr="00D27F09" w:rsidRDefault="00D27F09" w:rsidP="00A01205">
            <w:pPr>
              <w:tabs>
                <w:tab w:val="left" w:pos="5400"/>
              </w:tabs>
              <w:rPr>
                <w:sz w:val="20"/>
              </w:rPr>
            </w:pPr>
            <w:r w:rsidRPr="00D27F09">
              <w:rPr>
                <w:sz w:val="20"/>
                <w:shd w:val="clear" w:color="auto" w:fill="FFFFFF"/>
              </w:rPr>
              <w:t>All numbers are reported in Tables</w:t>
            </w:r>
          </w:p>
        </w:tc>
      </w:tr>
      <w:tr w:rsidR="00AD3658" w:rsidRPr="0022554A" w14:paraId="4BE56A56" w14:textId="77777777" w:rsidTr="00A01205">
        <w:tc>
          <w:tcPr>
            <w:tcW w:w="0" w:type="auto"/>
            <w:vMerge w:val="restart"/>
          </w:tcPr>
          <w:p w14:paraId="11C1F086" w14:textId="77777777" w:rsidR="00AD3658" w:rsidRPr="0022554A" w:rsidRDefault="00AD3658" w:rsidP="00A01205">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14:paraId="58351201" w14:textId="77777777" w:rsidR="00AD3658" w:rsidRPr="0022554A" w:rsidRDefault="00AD3658" w:rsidP="00A01205">
            <w:pPr>
              <w:tabs>
                <w:tab w:val="left" w:pos="5400"/>
              </w:tabs>
              <w:jc w:val="center"/>
              <w:rPr>
                <w:sz w:val="20"/>
              </w:rPr>
            </w:pPr>
            <w:r w:rsidRPr="0022554A">
              <w:rPr>
                <w:sz w:val="20"/>
              </w:rPr>
              <w:t>16</w:t>
            </w:r>
          </w:p>
        </w:tc>
        <w:tc>
          <w:tcPr>
            <w:tcW w:w="0" w:type="auto"/>
          </w:tcPr>
          <w:p w14:paraId="07009B97" w14:textId="1FC2E430" w:rsidR="00AD3658" w:rsidRDefault="00AD3658" w:rsidP="00A01205">
            <w:pPr>
              <w:tabs>
                <w:tab w:val="left" w:pos="5400"/>
              </w:tabs>
              <w:rPr>
                <w:sz w:val="20"/>
              </w:rPr>
            </w:pP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p w14:paraId="12B8B9D1" w14:textId="29EB3AD0" w:rsidR="006E7F02" w:rsidRDefault="006E7F02" w:rsidP="00A01205">
            <w:pPr>
              <w:tabs>
                <w:tab w:val="left" w:pos="5400"/>
              </w:tabs>
              <w:rPr>
                <w:sz w:val="20"/>
              </w:rPr>
            </w:pPr>
            <w:r>
              <w:rPr>
                <w:sz w:val="20"/>
              </w:rPr>
              <w:t>Results section, Page 4</w:t>
            </w:r>
          </w:p>
          <w:p w14:paraId="3D5DA08F" w14:textId="6750BF2C" w:rsidR="00AD3658" w:rsidRPr="005B3042" w:rsidRDefault="006E7F02" w:rsidP="00A01205">
            <w:pPr>
              <w:tabs>
                <w:tab w:val="left" w:pos="5400"/>
              </w:tabs>
              <w:rPr>
                <w:sz w:val="20"/>
              </w:rPr>
            </w:pPr>
            <w:r>
              <w:rPr>
                <w:sz w:val="20"/>
              </w:rPr>
              <w:t>“</w:t>
            </w:r>
            <w:r w:rsidR="00AD3658" w:rsidRPr="005B3042">
              <w:rPr>
                <w:sz w:val="20"/>
              </w:rPr>
              <w:t xml:space="preserve">The mean age was 53.63± 10.21 years. The CR observed in stage I, II, III, IVA are 60%, 79.4%, 86% and 76.2% respectively. In the </w:t>
            </w:r>
            <w:proofErr w:type="spellStart"/>
            <w:r w:rsidR="00AD3658" w:rsidRPr="005B3042">
              <w:rPr>
                <w:sz w:val="20"/>
              </w:rPr>
              <w:t>ulceroproliferative</w:t>
            </w:r>
            <w:proofErr w:type="spellEnd"/>
            <w:r w:rsidR="00AD3658" w:rsidRPr="005B3042">
              <w:rPr>
                <w:sz w:val="20"/>
              </w:rPr>
              <w:t xml:space="preserve"> group, 113 patients (81.3%) had a complete response while 1 patient (33.3%) had a complete response in the endophytic group. CR was observed in 82.7% of patients in the squamous cell variant while 64.8% of patients with adenocarcinoma variant had a complete response. P value found to be significant. P value was 0.0149, depicting that the histopathological variant of cervical cancer had a statistically significant effect on the outcome in our study, showing squamous cell carcinoma has the higher chance of clinical complete response when compared to adenocarcinoma.</w:t>
            </w:r>
            <w:r>
              <w:rPr>
                <w:sz w:val="20"/>
              </w:rPr>
              <w:t>”</w:t>
            </w:r>
          </w:p>
        </w:tc>
      </w:tr>
      <w:tr w:rsidR="00AD3658" w:rsidRPr="0022554A" w14:paraId="0BD645E9" w14:textId="77777777" w:rsidTr="00A01205">
        <w:tc>
          <w:tcPr>
            <w:tcW w:w="0" w:type="auto"/>
            <w:vMerge/>
          </w:tcPr>
          <w:p w14:paraId="3B2D3DA8" w14:textId="77777777" w:rsidR="00AD3658" w:rsidRPr="0022554A" w:rsidRDefault="00AD3658" w:rsidP="00A01205">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51A33CC2" w14:textId="77777777" w:rsidR="00AD3658" w:rsidRPr="0022554A" w:rsidRDefault="00AD3658" w:rsidP="00A01205">
            <w:pPr>
              <w:tabs>
                <w:tab w:val="left" w:pos="5400"/>
              </w:tabs>
              <w:jc w:val="center"/>
              <w:rPr>
                <w:sz w:val="20"/>
              </w:rPr>
            </w:pPr>
          </w:p>
        </w:tc>
        <w:tc>
          <w:tcPr>
            <w:tcW w:w="0" w:type="auto"/>
          </w:tcPr>
          <w:p w14:paraId="7E5EB970" w14:textId="4B957D4D" w:rsidR="00AD3658" w:rsidRDefault="00AD3658" w:rsidP="00A01205">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p w14:paraId="0C0B8619" w14:textId="77777777" w:rsidR="006E7F02" w:rsidRDefault="006E7F02" w:rsidP="006E7F02">
            <w:pPr>
              <w:tabs>
                <w:tab w:val="left" w:pos="5400"/>
              </w:tabs>
              <w:rPr>
                <w:sz w:val="20"/>
              </w:rPr>
            </w:pPr>
            <w:r>
              <w:rPr>
                <w:sz w:val="20"/>
              </w:rPr>
              <w:t>Results section, Page 4</w:t>
            </w:r>
          </w:p>
          <w:p w14:paraId="53573C42" w14:textId="564EE2D4" w:rsidR="00AD3658" w:rsidRDefault="006E7F02" w:rsidP="00A01205">
            <w:pPr>
              <w:tabs>
                <w:tab w:val="left" w:pos="5400"/>
              </w:tabs>
              <w:rPr>
                <w:sz w:val="20"/>
              </w:rPr>
            </w:pPr>
            <w:r>
              <w:rPr>
                <w:sz w:val="20"/>
              </w:rPr>
              <w:t>“</w:t>
            </w:r>
            <w:r w:rsidR="00AD3658" w:rsidRPr="005B3042">
              <w:rPr>
                <w:sz w:val="20"/>
              </w:rPr>
              <w:t>79.2 % of cisplatin-treated patients and 87.5 % of carboplatin-treated patients had a complete response (Figure 2). It was found that there is no significant association between the type of chemotherapy received by the patient and clinical response at the end of three months. The p-value is 0.837, indicating that both carboplatin and cisplatin had similar outcomes and did not cause any significant alteration in the outcome.</w:t>
            </w:r>
            <w:r>
              <w:rPr>
                <w:sz w:val="20"/>
              </w:rPr>
              <w:t>”</w:t>
            </w:r>
          </w:p>
          <w:p w14:paraId="12FCEB29" w14:textId="21C7D17E" w:rsidR="006E7F02" w:rsidRPr="006149D3" w:rsidRDefault="006E7F02" w:rsidP="00A01205">
            <w:pPr>
              <w:tabs>
                <w:tab w:val="left" w:pos="5400"/>
              </w:tabs>
              <w:rPr>
                <w:sz w:val="20"/>
              </w:rPr>
            </w:pPr>
            <w:r>
              <w:rPr>
                <w:sz w:val="20"/>
              </w:rPr>
              <w:t>Figure 2, Figure 3</w:t>
            </w:r>
          </w:p>
        </w:tc>
      </w:tr>
      <w:tr w:rsidR="00AD3658" w:rsidRPr="0022554A" w14:paraId="4267AFCE" w14:textId="77777777" w:rsidTr="00A01205">
        <w:tc>
          <w:tcPr>
            <w:tcW w:w="0" w:type="auto"/>
            <w:vMerge/>
            <w:tcBorders>
              <w:bottom w:val="single" w:sz="4" w:space="0" w:color="auto"/>
            </w:tcBorders>
          </w:tcPr>
          <w:p w14:paraId="3644B018" w14:textId="77777777" w:rsidR="00AD3658" w:rsidRPr="0022554A" w:rsidRDefault="00AD3658" w:rsidP="00A01205">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04246842" w14:textId="77777777" w:rsidR="00AD3658" w:rsidRPr="0022554A" w:rsidRDefault="00AD3658" w:rsidP="00A01205">
            <w:pPr>
              <w:tabs>
                <w:tab w:val="left" w:pos="5400"/>
              </w:tabs>
              <w:jc w:val="center"/>
              <w:rPr>
                <w:sz w:val="20"/>
              </w:rPr>
            </w:pPr>
          </w:p>
        </w:tc>
        <w:tc>
          <w:tcPr>
            <w:tcW w:w="0" w:type="auto"/>
            <w:tcBorders>
              <w:bottom w:val="single" w:sz="4" w:space="0" w:color="auto"/>
            </w:tcBorders>
          </w:tcPr>
          <w:p w14:paraId="03C04FCC" w14:textId="6972AB75" w:rsidR="00AD3658" w:rsidRDefault="00AD3658" w:rsidP="00A01205">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p w14:paraId="6F28969F" w14:textId="0D81C592" w:rsidR="00C65EA7" w:rsidRDefault="00C65EA7" w:rsidP="00A01205">
            <w:pPr>
              <w:tabs>
                <w:tab w:val="left" w:pos="5400"/>
              </w:tabs>
              <w:rPr>
                <w:sz w:val="20"/>
              </w:rPr>
            </w:pPr>
            <w:r>
              <w:rPr>
                <w:sz w:val="20"/>
              </w:rPr>
              <w:t xml:space="preserve">Result </w:t>
            </w:r>
            <w:proofErr w:type="gramStart"/>
            <w:r>
              <w:rPr>
                <w:sz w:val="20"/>
              </w:rPr>
              <w:t>section ,</w:t>
            </w:r>
            <w:proofErr w:type="gramEnd"/>
            <w:r>
              <w:rPr>
                <w:sz w:val="20"/>
              </w:rPr>
              <w:t xml:space="preserve"> Page 5</w:t>
            </w:r>
          </w:p>
          <w:p w14:paraId="03C1F1D8" w14:textId="17F5F4E8" w:rsidR="00AD3658" w:rsidRPr="006149D3" w:rsidRDefault="00C65EA7" w:rsidP="00A01205">
            <w:pPr>
              <w:tabs>
                <w:tab w:val="left" w:pos="5400"/>
              </w:tabs>
              <w:jc w:val="both"/>
              <w:rPr>
                <w:sz w:val="20"/>
              </w:rPr>
            </w:pPr>
            <w:r>
              <w:rPr>
                <w:sz w:val="20"/>
              </w:rPr>
              <w:t>“</w:t>
            </w:r>
            <w:r w:rsidR="00AD3658" w:rsidRPr="005B3042">
              <w:rPr>
                <w:sz w:val="20"/>
              </w:rPr>
              <w:t xml:space="preserve">Lymph nodal status in the initial MRI was compared with the radiological response (MRI) at the end of three months. Patients without significant regional lymphadenopathy had 79.6% complete response, patients with pelvic lymphadenopathy had </w:t>
            </w:r>
            <w:proofErr w:type="gramStart"/>
            <w:r w:rsidR="00AD3658" w:rsidRPr="005B3042">
              <w:rPr>
                <w:sz w:val="20"/>
              </w:rPr>
              <w:t>a</w:t>
            </w:r>
            <w:proofErr w:type="gramEnd"/>
            <w:r w:rsidR="00AD3658" w:rsidRPr="005B3042">
              <w:rPr>
                <w:sz w:val="20"/>
              </w:rPr>
              <w:t xml:space="preserve"> 80% complete response and patients with paraaortic lymphadenopathy had a 100% complete response at the end of 3 months in the current study. Patients with pelvic lymphadenopathy also showed a higher percentage of progressive disease (12.5% versus 10.2%) when compared to patients with no significant </w:t>
            </w:r>
            <w:proofErr w:type="spellStart"/>
            <w:r w:rsidR="00AD3658" w:rsidRPr="005B3042">
              <w:rPr>
                <w:sz w:val="20"/>
              </w:rPr>
              <w:t>lympadenopathy</w:t>
            </w:r>
            <w:proofErr w:type="spellEnd"/>
            <w:r w:rsidR="00AD3658" w:rsidRPr="005B3042">
              <w:rPr>
                <w:sz w:val="20"/>
              </w:rPr>
              <w:t xml:space="preserve">. </w:t>
            </w:r>
            <w:r>
              <w:rPr>
                <w:sz w:val="20"/>
              </w:rPr>
              <w:t>“</w:t>
            </w:r>
          </w:p>
        </w:tc>
      </w:tr>
      <w:tr w:rsidR="00AD3658" w:rsidRPr="0022554A" w14:paraId="0C60A0FF" w14:textId="77777777" w:rsidTr="00A01205">
        <w:tc>
          <w:tcPr>
            <w:tcW w:w="0" w:type="auto"/>
            <w:tcBorders>
              <w:top w:val="single" w:sz="4" w:space="0" w:color="auto"/>
              <w:bottom w:val="single" w:sz="4" w:space="0" w:color="auto"/>
            </w:tcBorders>
          </w:tcPr>
          <w:p w14:paraId="1ED03E7D" w14:textId="6DBD0797" w:rsidR="00AD3658" w:rsidRPr="0022554A" w:rsidRDefault="00AD3658" w:rsidP="00A01205">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35FA1448" w14:textId="77777777" w:rsidR="00AD3658" w:rsidRPr="0022554A" w:rsidRDefault="00AD3658" w:rsidP="00A01205">
            <w:pPr>
              <w:tabs>
                <w:tab w:val="left" w:pos="5400"/>
              </w:tabs>
              <w:jc w:val="center"/>
              <w:rPr>
                <w:sz w:val="20"/>
              </w:rPr>
            </w:pPr>
            <w:r w:rsidRPr="0022554A">
              <w:rPr>
                <w:sz w:val="20"/>
              </w:rPr>
              <w:t>17</w:t>
            </w:r>
          </w:p>
        </w:tc>
        <w:tc>
          <w:tcPr>
            <w:tcW w:w="0" w:type="auto"/>
            <w:tcBorders>
              <w:top w:val="single" w:sz="4" w:space="0" w:color="auto"/>
              <w:bottom w:val="single" w:sz="4" w:space="0" w:color="auto"/>
            </w:tcBorders>
          </w:tcPr>
          <w:p w14:paraId="55E8E3F3" w14:textId="77777777" w:rsidR="00AD3658" w:rsidRDefault="00AD3658" w:rsidP="00A01205">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p w14:paraId="627DBA4A" w14:textId="77777777" w:rsidR="00AD3658" w:rsidRPr="0022554A" w:rsidRDefault="00AD3658" w:rsidP="00A01205">
            <w:pPr>
              <w:tabs>
                <w:tab w:val="left" w:pos="5400"/>
              </w:tabs>
              <w:rPr>
                <w:sz w:val="20"/>
              </w:rPr>
            </w:pPr>
            <w:r>
              <w:rPr>
                <w:sz w:val="20"/>
              </w:rPr>
              <w:t>Not applicable</w:t>
            </w:r>
          </w:p>
        </w:tc>
      </w:tr>
      <w:tr w:rsidR="00AD3658" w:rsidRPr="0022554A" w14:paraId="7A43E0F4" w14:textId="77777777" w:rsidTr="00A01205">
        <w:tc>
          <w:tcPr>
            <w:tcW w:w="0" w:type="auto"/>
            <w:gridSpan w:val="3"/>
            <w:tcBorders>
              <w:top w:val="single" w:sz="4" w:space="0" w:color="auto"/>
            </w:tcBorders>
          </w:tcPr>
          <w:p w14:paraId="720D10A1" w14:textId="1FD26A60" w:rsidR="00AD3658" w:rsidRPr="0022554A" w:rsidRDefault="00AD3658" w:rsidP="00A01205">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AD3658" w:rsidRPr="0022554A" w14:paraId="225C0A17" w14:textId="77777777" w:rsidTr="00A01205">
        <w:tc>
          <w:tcPr>
            <w:tcW w:w="0" w:type="auto"/>
          </w:tcPr>
          <w:p w14:paraId="1919E335" w14:textId="77777777" w:rsidR="00AD3658" w:rsidRPr="0022554A" w:rsidRDefault="00AD3658" w:rsidP="00A01205">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112E37C2" w14:textId="77777777" w:rsidR="00AD3658" w:rsidRPr="0022554A" w:rsidRDefault="00AD3658" w:rsidP="00A01205">
            <w:pPr>
              <w:tabs>
                <w:tab w:val="left" w:pos="5400"/>
              </w:tabs>
              <w:jc w:val="center"/>
              <w:rPr>
                <w:sz w:val="20"/>
              </w:rPr>
            </w:pPr>
            <w:r w:rsidRPr="0022554A">
              <w:rPr>
                <w:sz w:val="20"/>
              </w:rPr>
              <w:t>18</w:t>
            </w:r>
          </w:p>
        </w:tc>
        <w:tc>
          <w:tcPr>
            <w:tcW w:w="0" w:type="auto"/>
          </w:tcPr>
          <w:p w14:paraId="351DB63D" w14:textId="2C1CB2E8" w:rsidR="00AD3658" w:rsidRDefault="00AD3658" w:rsidP="00A01205">
            <w:pPr>
              <w:tabs>
                <w:tab w:val="left" w:pos="5400"/>
              </w:tabs>
              <w:rPr>
                <w:sz w:val="20"/>
              </w:rPr>
            </w:pPr>
            <w:r w:rsidRPr="0022554A">
              <w:rPr>
                <w:sz w:val="20"/>
              </w:rPr>
              <w:t>Summarise key results with reference to study objectives</w:t>
            </w:r>
          </w:p>
          <w:p w14:paraId="64083CF4" w14:textId="0ABBB7C8" w:rsidR="00C02A2E" w:rsidRPr="00C02A2E" w:rsidRDefault="00C02A2E" w:rsidP="00A01205">
            <w:pPr>
              <w:tabs>
                <w:tab w:val="left" w:pos="5400"/>
              </w:tabs>
              <w:rPr>
                <w:sz w:val="20"/>
              </w:rPr>
            </w:pPr>
            <w:r w:rsidRPr="00C02A2E">
              <w:rPr>
                <w:sz w:val="20"/>
                <w:shd w:val="clear" w:color="auto" w:fill="FFFFFF"/>
              </w:rPr>
              <w:t>Key results are described at the beginning of discussion section</w:t>
            </w:r>
            <w:r>
              <w:rPr>
                <w:sz w:val="20"/>
                <w:shd w:val="clear" w:color="auto" w:fill="FFFFFF"/>
              </w:rPr>
              <w:t xml:space="preserve"> </w:t>
            </w:r>
            <w:r w:rsidRPr="00C02A2E">
              <w:rPr>
                <w:sz w:val="20"/>
                <w:shd w:val="clear" w:color="auto" w:fill="FFFFFF"/>
              </w:rPr>
              <w:t xml:space="preserve">(page </w:t>
            </w:r>
            <w:r>
              <w:rPr>
                <w:sz w:val="20"/>
                <w:shd w:val="clear" w:color="auto" w:fill="FFFFFF"/>
              </w:rPr>
              <w:t>7</w:t>
            </w:r>
            <w:proofErr w:type="gramStart"/>
            <w:r w:rsidRPr="00C02A2E">
              <w:rPr>
                <w:sz w:val="20"/>
                <w:shd w:val="clear" w:color="auto" w:fill="FFFFFF"/>
              </w:rPr>
              <w:t>),.</w:t>
            </w:r>
            <w:proofErr w:type="gramEnd"/>
            <w:r w:rsidRPr="00C02A2E">
              <w:rPr>
                <w:sz w:val="20"/>
                <w:shd w:val="clear" w:color="auto" w:fill="FFFFFF"/>
              </w:rPr>
              <w:t xml:space="preserve"> They also are summarized in the</w:t>
            </w:r>
            <w:r>
              <w:rPr>
                <w:sz w:val="20"/>
                <w:shd w:val="clear" w:color="auto" w:fill="FFFFFF"/>
              </w:rPr>
              <w:t xml:space="preserve"> </w:t>
            </w:r>
            <w:r w:rsidRPr="00C02A2E">
              <w:rPr>
                <w:sz w:val="20"/>
                <w:shd w:val="clear" w:color="auto" w:fill="FFFFFF"/>
              </w:rPr>
              <w:t>conclusion</w:t>
            </w:r>
            <w:r>
              <w:rPr>
                <w:sz w:val="20"/>
                <w:shd w:val="clear" w:color="auto" w:fill="FFFFFF"/>
              </w:rPr>
              <w:t xml:space="preserve"> section </w:t>
            </w:r>
            <w:proofErr w:type="gramStart"/>
            <w:r>
              <w:rPr>
                <w:sz w:val="20"/>
                <w:shd w:val="clear" w:color="auto" w:fill="FFFFFF"/>
              </w:rPr>
              <w:t>( page</w:t>
            </w:r>
            <w:proofErr w:type="gramEnd"/>
            <w:r>
              <w:rPr>
                <w:sz w:val="20"/>
                <w:shd w:val="clear" w:color="auto" w:fill="FFFFFF"/>
              </w:rPr>
              <w:t xml:space="preserve"> 13)</w:t>
            </w:r>
          </w:p>
          <w:p w14:paraId="4FE514CE" w14:textId="7C29F8BE" w:rsidR="00AD3658" w:rsidRPr="0022554A" w:rsidRDefault="00C02A2E" w:rsidP="00A01205">
            <w:pPr>
              <w:tabs>
                <w:tab w:val="left" w:pos="5400"/>
              </w:tabs>
              <w:rPr>
                <w:sz w:val="20"/>
              </w:rPr>
            </w:pPr>
            <w:r>
              <w:rPr>
                <w:sz w:val="20"/>
              </w:rPr>
              <w:t>“</w:t>
            </w:r>
            <w:r w:rsidR="00AD3658" w:rsidRPr="005B3042">
              <w:rPr>
                <w:sz w:val="20"/>
              </w:rPr>
              <w:t>The outcome of ICBT/ISBT depends on many factors - individual expertise, quality and timing of implantation, anatomy of treatment site, extent of vaginal packing, and type of source. This can lead to an excess of toxicity if the source is placed too close to a critical structure</w:t>
            </w:r>
            <w:r>
              <w:rPr>
                <w:sz w:val="20"/>
              </w:rPr>
              <w:t>”</w:t>
            </w:r>
          </w:p>
        </w:tc>
      </w:tr>
      <w:tr w:rsidR="00AD3658" w:rsidRPr="0022554A" w14:paraId="042AB56C" w14:textId="77777777" w:rsidTr="00A01205">
        <w:tc>
          <w:tcPr>
            <w:tcW w:w="0" w:type="auto"/>
          </w:tcPr>
          <w:p w14:paraId="3FFBD35F" w14:textId="77777777" w:rsidR="00AD3658" w:rsidRPr="0022554A" w:rsidRDefault="00AD3658" w:rsidP="00A01205">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3AE8B423" w14:textId="77777777" w:rsidR="00AD3658" w:rsidRPr="0022554A" w:rsidRDefault="00AD3658" w:rsidP="00A01205">
            <w:pPr>
              <w:tabs>
                <w:tab w:val="left" w:pos="5400"/>
              </w:tabs>
              <w:jc w:val="center"/>
              <w:rPr>
                <w:sz w:val="20"/>
              </w:rPr>
            </w:pPr>
            <w:r w:rsidRPr="0022554A">
              <w:rPr>
                <w:sz w:val="20"/>
              </w:rPr>
              <w:t>19</w:t>
            </w:r>
          </w:p>
        </w:tc>
        <w:tc>
          <w:tcPr>
            <w:tcW w:w="0" w:type="auto"/>
          </w:tcPr>
          <w:p w14:paraId="0C536747" w14:textId="2535E7AF" w:rsidR="00AD3658" w:rsidRPr="00EC7B01" w:rsidRDefault="00AD3658" w:rsidP="00EC7B01">
            <w:pPr>
              <w:tabs>
                <w:tab w:val="left" w:pos="5400"/>
              </w:tabs>
              <w:spacing w:line="276" w:lineRule="auto"/>
              <w:rPr>
                <w:sz w:val="20"/>
              </w:rPr>
            </w:pPr>
            <w:r w:rsidRPr="00EC7B01">
              <w:rPr>
                <w:sz w:val="20"/>
              </w:rPr>
              <w:t xml:space="preserve">Discuss limitations of the study, </w:t>
            </w:r>
            <w:proofErr w:type="gramStart"/>
            <w:r w:rsidRPr="00EC7B01">
              <w:rPr>
                <w:sz w:val="20"/>
              </w:rPr>
              <w:t>taking into account</w:t>
            </w:r>
            <w:proofErr w:type="gramEnd"/>
            <w:r w:rsidRPr="00EC7B01">
              <w:rPr>
                <w:sz w:val="20"/>
              </w:rPr>
              <w:t xml:space="preserve"> sources of potential bias or imprecision. Discuss both direction and magnitude of any potential bias</w:t>
            </w:r>
          </w:p>
          <w:p w14:paraId="2005D98D" w14:textId="1276D3AC" w:rsidR="00EC7B01" w:rsidRPr="00EC7B01" w:rsidRDefault="00EC7B01" w:rsidP="00EC7B01">
            <w:pPr>
              <w:tabs>
                <w:tab w:val="left" w:pos="5400"/>
              </w:tabs>
              <w:spacing w:line="276" w:lineRule="auto"/>
              <w:rPr>
                <w:sz w:val="20"/>
              </w:rPr>
            </w:pPr>
            <w:r w:rsidRPr="00EC7B01">
              <w:rPr>
                <w:sz w:val="20"/>
              </w:rPr>
              <w:t>Page 13</w:t>
            </w:r>
            <w:r>
              <w:rPr>
                <w:sz w:val="20"/>
              </w:rPr>
              <w:t>, Conclusion section</w:t>
            </w:r>
          </w:p>
          <w:p w14:paraId="13EF7A27" w14:textId="77777777" w:rsidR="00EC7B01" w:rsidRPr="00EC7B01" w:rsidRDefault="00EC7B01" w:rsidP="00EC7B01">
            <w:pPr>
              <w:spacing w:line="276" w:lineRule="auto"/>
              <w:jc w:val="both"/>
              <w:rPr>
                <w:sz w:val="20"/>
                <w:lang w:val="en-US"/>
              </w:rPr>
            </w:pPr>
            <w:r w:rsidRPr="00EC7B01">
              <w:rPr>
                <w:sz w:val="20"/>
              </w:rPr>
              <w:lastRenderedPageBreak/>
              <w:t>Long follow-up periods are necessary for the evaluation of response, long-term or late toxicity, and survival outcomes, which could be a limitation of our study.</w:t>
            </w:r>
            <w:r w:rsidRPr="00EC7B01">
              <w:rPr>
                <w:color w:val="252525"/>
                <w:sz w:val="20"/>
                <w:shd w:val="clear" w:color="auto" w:fill="FFFFFF"/>
              </w:rPr>
              <w:t xml:space="preserve"> We also did not have </w:t>
            </w:r>
            <w:proofErr w:type="gramStart"/>
            <w:r w:rsidRPr="00EC7B01">
              <w:rPr>
                <w:color w:val="252525"/>
                <w:sz w:val="20"/>
                <w:shd w:val="clear" w:color="auto" w:fill="FFFFFF"/>
              </w:rPr>
              <w:t>an</w:t>
            </w:r>
            <w:proofErr w:type="gramEnd"/>
            <w:r w:rsidRPr="00EC7B01">
              <w:rPr>
                <w:color w:val="252525"/>
                <w:sz w:val="20"/>
                <w:shd w:val="clear" w:color="auto" w:fill="FFFFFF"/>
              </w:rPr>
              <w:t xml:space="preserve"> uniform pattern of scheduling between EBRT and brachytherapy in patients referred from several other </w:t>
            </w:r>
            <w:proofErr w:type="spellStart"/>
            <w:r w:rsidRPr="00EC7B01">
              <w:rPr>
                <w:color w:val="252525"/>
                <w:sz w:val="20"/>
                <w:shd w:val="clear" w:color="auto" w:fill="FFFFFF"/>
              </w:rPr>
              <w:t>centers</w:t>
            </w:r>
            <w:proofErr w:type="spellEnd"/>
            <w:r w:rsidRPr="00EC7B01">
              <w:rPr>
                <w:color w:val="252525"/>
                <w:sz w:val="20"/>
                <w:shd w:val="clear" w:color="auto" w:fill="FFFFFF"/>
              </w:rPr>
              <w:t xml:space="preserve"> in the city for brachytherapy at our </w:t>
            </w:r>
            <w:proofErr w:type="spellStart"/>
            <w:r w:rsidRPr="00EC7B01">
              <w:rPr>
                <w:color w:val="252525"/>
                <w:sz w:val="20"/>
                <w:shd w:val="clear" w:color="auto" w:fill="FFFFFF"/>
              </w:rPr>
              <w:t>center</w:t>
            </w:r>
            <w:proofErr w:type="spellEnd"/>
            <w:r w:rsidRPr="00EC7B01">
              <w:rPr>
                <w:sz w:val="20"/>
              </w:rPr>
              <w:t>.</w:t>
            </w:r>
          </w:p>
          <w:p w14:paraId="76ADC9FC" w14:textId="77777777" w:rsidR="00AD3658" w:rsidRPr="00EC7B01" w:rsidRDefault="00AD3658" w:rsidP="00EC7B01">
            <w:pPr>
              <w:tabs>
                <w:tab w:val="left" w:pos="5400"/>
              </w:tabs>
              <w:spacing w:line="276" w:lineRule="auto"/>
              <w:rPr>
                <w:sz w:val="20"/>
              </w:rPr>
            </w:pPr>
          </w:p>
        </w:tc>
      </w:tr>
      <w:tr w:rsidR="00AD3658" w:rsidRPr="0022554A" w14:paraId="66763843" w14:textId="77777777" w:rsidTr="00A01205">
        <w:tc>
          <w:tcPr>
            <w:tcW w:w="0" w:type="auto"/>
          </w:tcPr>
          <w:p w14:paraId="757EA0DC" w14:textId="77777777" w:rsidR="00AD3658" w:rsidRPr="0022554A" w:rsidRDefault="00AD3658" w:rsidP="00A01205">
            <w:pPr>
              <w:tabs>
                <w:tab w:val="left" w:pos="5400"/>
              </w:tabs>
              <w:rPr>
                <w:bCs/>
                <w:sz w:val="20"/>
              </w:rPr>
            </w:pPr>
            <w:bookmarkStart w:id="86" w:name="italic47" w:colFirst="0" w:colLast="0"/>
            <w:bookmarkStart w:id="87" w:name="bold48" w:colFirst="0" w:colLast="0"/>
            <w:bookmarkEnd w:id="84"/>
            <w:bookmarkEnd w:id="85"/>
            <w:r w:rsidRPr="0022554A">
              <w:rPr>
                <w:bCs/>
                <w:sz w:val="20"/>
              </w:rPr>
              <w:lastRenderedPageBreak/>
              <w:t>Interpretation</w:t>
            </w:r>
          </w:p>
        </w:tc>
        <w:tc>
          <w:tcPr>
            <w:tcW w:w="0" w:type="auto"/>
          </w:tcPr>
          <w:p w14:paraId="15EE13B5" w14:textId="77777777" w:rsidR="00AD3658" w:rsidRPr="0022554A" w:rsidRDefault="00AD3658" w:rsidP="00A01205">
            <w:pPr>
              <w:tabs>
                <w:tab w:val="left" w:pos="5400"/>
              </w:tabs>
              <w:jc w:val="center"/>
              <w:rPr>
                <w:sz w:val="20"/>
              </w:rPr>
            </w:pPr>
            <w:r w:rsidRPr="0022554A">
              <w:rPr>
                <w:sz w:val="20"/>
              </w:rPr>
              <w:t>20</w:t>
            </w:r>
          </w:p>
        </w:tc>
        <w:tc>
          <w:tcPr>
            <w:tcW w:w="0" w:type="auto"/>
          </w:tcPr>
          <w:p w14:paraId="49AB5720" w14:textId="77777777" w:rsidR="00940EF7" w:rsidRDefault="00AD3658" w:rsidP="00A01205">
            <w:pPr>
              <w:tabs>
                <w:tab w:val="left" w:pos="5400"/>
              </w:tabs>
              <w:jc w:val="both"/>
            </w:pPr>
            <w:r w:rsidRPr="0022554A">
              <w:rPr>
                <w:sz w:val="20"/>
              </w:rPr>
              <w:t>Give a cautious overall interpretation of results considering objectives, limitations, multiplicity of analyses, results from similar studies, and other relevant evidence</w:t>
            </w:r>
            <w:r>
              <w:t xml:space="preserve"> </w:t>
            </w:r>
          </w:p>
          <w:p w14:paraId="357894A8" w14:textId="0F0DEC1D" w:rsidR="00E5708E" w:rsidRDefault="00E5708E" w:rsidP="00A01205">
            <w:pPr>
              <w:tabs>
                <w:tab w:val="left" w:pos="5400"/>
              </w:tabs>
              <w:jc w:val="both"/>
              <w:rPr>
                <w:sz w:val="20"/>
              </w:rPr>
            </w:pPr>
            <w:r>
              <w:rPr>
                <w:sz w:val="20"/>
              </w:rPr>
              <w:t>Page 13</w:t>
            </w:r>
          </w:p>
          <w:p w14:paraId="2427C0D2" w14:textId="2BFEF1DD" w:rsidR="00E5708E" w:rsidRPr="00E5708E" w:rsidRDefault="00E5708E" w:rsidP="00A01205">
            <w:pPr>
              <w:tabs>
                <w:tab w:val="left" w:pos="5400"/>
              </w:tabs>
              <w:jc w:val="both"/>
              <w:rPr>
                <w:sz w:val="20"/>
              </w:rPr>
            </w:pPr>
            <w:r w:rsidRPr="00E5708E">
              <w:rPr>
                <w:sz w:val="20"/>
                <w:shd w:val="clear" w:color="auto" w:fill="FFFFFF"/>
              </w:rPr>
              <w:t>References were added where possible, and discussed. Limitations</w:t>
            </w:r>
            <w:r w:rsidRPr="00E5708E">
              <w:rPr>
                <w:rFonts w:ascii="Arial" w:hAnsi="Arial" w:cs="Arial"/>
                <w:color w:val="252525"/>
                <w:sz w:val="20"/>
              </w:rPr>
              <w:br/>
            </w:r>
            <w:r w:rsidRPr="00E5708E">
              <w:rPr>
                <w:sz w:val="20"/>
                <w:shd w:val="clear" w:color="auto" w:fill="FFFFFF"/>
              </w:rPr>
              <w:t xml:space="preserve">were </w:t>
            </w:r>
            <w:proofErr w:type="gramStart"/>
            <w:r w:rsidRPr="00E5708E">
              <w:rPr>
                <w:sz w:val="20"/>
                <w:shd w:val="clear" w:color="auto" w:fill="FFFFFF"/>
              </w:rPr>
              <w:t>taken into account</w:t>
            </w:r>
            <w:proofErr w:type="gramEnd"/>
          </w:p>
          <w:p w14:paraId="0B3AB674" w14:textId="77777777" w:rsidR="00AD3658" w:rsidRPr="0022554A" w:rsidRDefault="00AD3658" w:rsidP="00E5708E">
            <w:pPr>
              <w:tabs>
                <w:tab w:val="left" w:pos="5400"/>
              </w:tabs>
              <w:jc w:val="both"/>
              <w:rPr>
                <w:sz w:val="20"/>
              </w:rPr>
            </w:pPr>
          </w:p>
        </w:tc>
      </w:tr>
      <w:tr w:rsidR="00AD3658" w:rsidRPr="0022554A" w14:paraId="42D9FA8D" w14:textId="77777777" w:rsidTr="00A01205">
        <w:tc>
          <w:tcPr>
            <w:tcW w:w="0" w:type="auto"/>
          </w:tcPr>
          <w:p w14:paraId="60593E0D" w14:textId="77777777" w:rsidR="00AD3658" w:rsidRPr="0022554A" w:rsidRDefault="00AD3658" w:rsidP="00A01205">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5AAE5F26" w14:textId="77777777" w:rsidR="00AD3658" w:rsidRPr="0022554A" w:rsidRDefault="00AD3658" w:rsidP="00A01205">
            <w:pPr>
              <w:tabs>
                <w:tab w:val="left" w:pos="5400"/>
              </w:tabs>
              <w:jc w:val="center"/>
              <w:rPr>
                <w:sz w:val="20"/>
              </w:rPr>
            </w:pPr>
            <w:r w:rsidRPr="0022554A">
              <w:rPr>
                <w:sz w:val="20"/>
              </w:rPr>
              <w:t>21</w:t>
            </w:r>
          </w:p>
        </w:tc>
        <w:tc>
          <w:tcPr>
            <w:tcW w:w="0" w:type="auto"/>
          </w:tcPr>
          <w:p w14:paraId="6E851A41" w14:textId="77777777" w:rsidR="00AD3658" w:rsidRDefault="00AD3658" w:rsidP="00A01205">
            <w:pPr>
              <w:tabs>
                <w:tab w:val="left" w:pos="5400"/>
              </w:tabs>
              <w:rPr>
                <w:sz w:val="20"/>
              </w:rPr>
            </w:pPr>
            <w:r w:rsidRPr="0022554A">
              <w:rPr>
                <w:sz w:val="20"/>
              </w:rPr>
              <w:t>Discuss the generalisability (external validity) of the study results</w:t>
            </w:r>
          </w:p>
          <w:p w14:paraId="034D2D92" w14:textId="77777777" w:rsidR="00AD3658" w:rsidRPr="0022554A" w:rsidRDefault="00AD3658" w:rsidP="00A01205">
            <w:pPr>
              <w:tabs>
                <w:tab w:val="left" w:pos="5400"/>
              </w:tabs>
              <w:rPr>
                <w:sz w:val="20"/>
              </w:rPr>
            </w:pPr>
            <w:r>
              <w:rPr>
                <w:sz w:val="20"/>
              </w:rPr>
              <w:t>Not applicable</w:t>
            </w:r>
            <w:bookmarkStart w:id="90" w:name="_GoBack"/>
            <w:bookmarkEnd w:id="90"/>
          </w:p>
        </w:tc>
      </w:tr>
      <w:tr w:rsidR="00AD3658" w:rsidRPr="0022554A" w14:paraId="74A28D7D" w14:textId="77777777" w:rsidTr="00A01205">
        <w:tc>
          <w:tcPr>
            <w:tcW w:w="0" w:type="auto"/>
            <w:gridSpan w:val="3"/>
            <w:tcBorders>
              <w:bottom w:val="single" w:sz="4" w:space="0" w:color="auto"/>
            </w:tcBorders>
          </w:tcPr>
          <w:p w14:paraId="3F6DDC20" w14:textId="2446D5A3" w:rsidR="00AD3658" w:rsidRPr="0022554A" w:rsidRDefault="00AD3658" w:rsidP="00A01205">
            <w:pPr>
              <w:pStyle w:val="TableSubHead"/>
              <w:tabs>
                <w:tab w:val="left" w:pos="5400"/>
              </w:tabs>
              <w:rPr>
                <w:sz w:val="20"/>
              </w:rPr>
            </w:pPr>
            <w:bookmarkStart w:id="91" w:name="italic49"/>
            <w:bookmarkStart w:id="92" w:name="bold50"/>
            <w:bookmarkEnd w:id="88"/>
            <w:bookmarkEnd w:id="89"/>
            <w:r w:rsidRPr="0022554A">
              <w:rPr>
                <w:sz w:val="20"/>
              </w:rPr>
              <w:t>Other information</w:t>
            </w:r>
            <w:bookmarkEnd w:id="91"/>
            <w:bookmarkEnd w:id="92"/>
          </w:p>
        </w:tc>
      </w:tr>
      <w:tr w:rsidR="00AD3658" w:rsidRPr="0022554A" w14:paraId="56B27A55" w14:textId="77777777" w:rsidTr="00A01205">
        <w:tc>
          <w:tcPr>
            <w:tcW w:w="0" w:type="auto"/>
            <w:tcBorders>
              <w:top w:val="single" w:sz="4" w:space="0" w:color="auto"/>
              <w:bottom w:val="single" w:sz="4" w:space="0" w:color="auto"/>
            </w:tcBorders>
          </w:tcPr>
          <w:p w14:paraId="1B1AFAC2" w14:textId="77777777" w:rsidR="00AD3658" w:rsidRPr="0022554A" w:rsidRDefault="00AD3658" w:rsidP="00A01205">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14:paraId="7512B22D" w14:textId="77777777" w:rsidR="00AD3658" w:rsidRPr="0022554A" w:rsidRDefault="00AD3658" w:rsidP="00A01205">
            <w:pPr>
              <w:tabs>
                <w:tab w:val="left" w:pos="5400"/>
              </w:tabs>
              <w:jc w:val="center"/>
              <w:rPr>
                <w:sz w:val="20"/>
              </w:rPr>
            </w:pPr>
            <w:r w:rsidRPr="0022554A">
              <w:rPr>
                <w:sz w:val="20"/>
              </w:rPr>
              <w:t>22</w:t>
            </w:r>
          </w:p>
        </w:tc>
        <w:tc>
          <w:tcPr>
            <w:tcW w:w="0" w:type="auto"/>
            <w:tcBorders>
              <w:top w:val="single" w:sz="4" w:space="0" w:color="auto"/>
              <w:bottom w:val="single" w:sz="4" w:space="0" w:color="auto"/>
            </w:tcBorders>
          </w:tcPr>
          <w:p w14:paraId="694A500C" w14:textId="77777777" w:rsidR="00AD3658" w:rsidRDefault="00AD3658" w:rsidP="00A01205">
            <w:pPr>
              <w:tabs>
                <w:tab w:val="left" w:pos="5400"/>
              </w:tabs>
              <w:rPr>
                <w:sz w:val="20"/>
              </w:rPr>
            </w:pPr>
            <w:r w:rsidRPr="0022554A">
              <w:rPr>
                <w:sz w:val="20"/>
              </w:rPr>
              <w:t>Give the source of funding and the role of the funders for the present study and, if applicable, for the original study on which the present article is based</w:t>
            </w:r>
          </w:p>
          <w:p w14:paraId="62EDC52F" w14:textId="77777777" w:rsidR="00AD3658" w:rsidRPr="0022554A" w:rsidRDefault="00AD3658" w:rsidP="00A01205">
            <w:pPr>
              <w:tabs>
                <w:tab w:val="left" w:pos="5400"/>
              </w:tabs>
              <w:rPr>
                <w:sz w:val="20"/>
              </w:rPr>
            </w:pPr>
            <w:r>
              <w:rPr>
                <w:sz w:val="20"/>
              </w:rPr>
              <w:t>Not applicable</w:t>
            </w:r>
          </w:p>
        </w:tc>
      </w:tr>
      <w:bookmarkEnd w:id="93"/>
      <w:bookmarkEnd w:id="94"/>
    </w:tbl>
    <w:p w14:paraId="180BFC0D" w14:textId="77777777" w:rsidR="00AD3658" w:rsidRDefault="00AD3658" w:rsidP="00AD3658">
      <w:pPr>
        <w:pStyle w:val="TableNote"/>
        <w:tabs>
          <w:tab w:val="left" w:pos="5400"/>
        </w:tabs>
        <w:rPr>
          <w:bCs/>
          <w:sz w:val="20"/>
        </w:rPr>
      </w:pPr>
    </w:p>
    <w:p w14:paraId="1ED14B27" w14:textId="77777777" w:rsidR="00AD3658" w:rsidRPr="0022554A" w:rsidRDefault="00AD3658" w:rsidP="00AD3658">
      <w:pPr>
        <w:pStyle w:val="TableNote"/>
        <w:tabs>
          <w:tab w:val="left" w:pos="5400"/>
        </w:tabs>
        <w:rPr>
          <w:sz w:val="20"/>
        </w:rPr>
      </w:pPr>
      <w:r w:rsidRPr="0022554A">
        <w:rPr>
          <w:bCs/>
          <w:sz w:val="20"/>
        </w:rPr>
        <w:t>*</w:t>
      </w:r>
      <w:r w:rsidRPr="0022554A">
        <w:rPr>
          <w:sz w:val="20"/>
        </w:rPr>
        <w:t>Give information separately for exposed and unexposed groups.</w:t>
      </w:r>
    </w:p>
    <w:p w14:paraId="5E3CD522" w14:textId="77777777" w:rsidR="00AD3658" w:rsidRDefault="00AD3658" w:rsidP="00AD3658">
      <w:pPr>
        <w:pStyle w:val="TableNote"/>
        <w:tabs>
          <w:tab w:val="left" w:pos="5400"/>
        </w:tabs>
        <w:rPr>
          <w:sz w:val="20"/>
        </w:rPr>
      </w:pPr>
    </w:p>
    <w:p w14:paraId="5EC95B82" w14:textId="77777777" w:rsidR="00AD3658" w:rsidRPr="002602FB" w:rsidRDefault="00AD3658" w:rsidP="00AD3658">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p w14:paraId="56DB6FBD" w14:textId="77777777" w:rsidR="00B8521F" w:rsidRDefault="00B8521F"/>
    <w:sectPr w:rsidR="00B8521F" w:rsidSect="002602FB">
      <w:footerReference w:type="even" r:id="rId4"/>
      <w:footerReference w:type="default" r:id="rId5"/>
      <w:pgSz w:w="11909" w:h="16834"/>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621D" w14:textId="77777777" w:rsidR="006D651C" w:rsidRDefault="008F2A95"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8F536" w14:textId="77777777" w:rsidR="006D651C" w:rsidRDefault="008F2A95"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52A8" w14:textId="77777777" w:rsidR="006D651C" w:rsidRDefault="008F2A95"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7AF7FB" w14:textId="77777777" w:rsidR="006D651C" w:rsidRDefault="008F2A95" w:rsidP="005D0CF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D6"/>
    <w:rsid w:val="00154B94"/>
    <w:rsid w:val="00247A40"/>
    <w:rsid w:val="0032242C"/>
    <w:rsid w:val="004E21C9"/>
    <w:rsid w:val="005062C5"/>
    <w:rsid w:val="005A1CD6"/>
    <w:rsid w:val="00653A05"/>
    <w:rsid w:val="006E7F02"/>
    <w:rsid w:val="00731173"/>
    <w:rsid w:val="008F144B"/>
    <w:rsid w:val="008F2A95"/>
    <w:rsid w:val="0091186C"/>
    <w:rsid w:val="00940EF7"/>
    <w:rsid w:val="009A04E5"/>
    <w:rsid w:val="00A60C3D"/>
    <w:rsid w:val="00AD3658"/>
    <w:rsid w:val="00B234A1"/>
    <w:rsid w:val="00B8284F"/>
    <w:rsid w:val="00B8521F"/>
    <w:rsid w:val="00C02A2E"/>
    <w:rsid w:val="00C540E2"/>
    <w:rsid w:val="00C65EA7"/>
    <w:rsid w:val="00D27F09"/>
    <w:rsid w:val="00D5225A"/>
    <w:rsid w:val="00DB0B5A"/>
    <w:rsid w:val="00E108CA"/>
    <w:rsid w:val="00E328D0"/>
    <w:rsid w:val="00E5708E"/>
    <w:rsid w:val="00EC7B01"/>
    <w:rsid w:val="00F543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6EF9C3"/>
  <w15:chartTrackingRefBased/>
  <w15:docId w15:val="{DA08F23A-1FB8-4AF0-9449-E43DB1F6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58"/>
    <w:pPr>
      <w:spacing w:after="0" w:line="300" w:lineRule="exact"/>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3658"/>
    <w:pPr>
      <w:tabs>
        <w:tab w:val="center" w:pos="4153"/>
        <w:tab w:val="right" w:pos="8306"/>
      </w:tabs>
      <w:spacing w:line="240" w:lineRule="auto"/>
    </w:pPr>
    <w:rPr>
      <w:rFonts w:ascii="Arial" w:hAnsi="Arial"/>
      <w:sz w:val="20"/>
    </w:rPr>
  </w:style>
  <w:style w:type="character" w:customStyle="1" w:styleId="FooterChar">
    <w:name w:val="Footer Char"/>
    <w:basedOn w:val="DefaultParagraphFont"/>
    <w:link w:val="Footer"/>
    <w:rsid w:val="00AD3658"/>
    <w:rPr>
      <w:rFonts w:ascii="Arial" w:eastAsia="Times New Roman" w:hAnsi="Arial" w:cs="Times New Roman"/>
      <w:sz w:val="20"/>
      <w:szCs w:val="20"/>
      <w:lang w:val="en-GB"/>
    </w:rPr>
  </w:style>
  <w:style w:type="character" w:styleId="PageNumber">
    <w:name w:val="page number"/>
    <w:basedOn w:val="DefaultParagraphFont"/>
    <w:rsid w:val="00AD3658"/>
  </w:style>
  <w:style w:type="paragraph" w:customStyle="1" w:styleId="TableNote">
    <w:name w:val="TableNote"/>
    <w:basedOn w:val="Normal"/>
    <w:rsid w:val="00AD3658"/>
  </w:style>
  <w:style w:type="paragraph" w:customStyle="1" w:styleId="TableTitle">
    <w:name w:val="TableTitle"/>
    <w:basedOn w:val="Normal"/>
    <w:rsid w:val="00AD3658"/>
  </w:style>
  <w:style w:type="paragraph" w:customStyle="1" w:styleId="TableHeader">
    <w:name w:val="TableHeader"/>
    <w:basedOn w:val="Normal"/>
    <w:rsid w:val="00AD3658"/>
    <w:pPr>
      <w:spacing w:before="120" w:line="240" w:lineRule="auto"/>
    </w:pPr>
    <w:rPr>
      <w:b/>
    </w:rPr>
  </w:style>
  <w:style w:type="paragraph" w:customStyle="1" w:styleId="TableSubHead">
    <w:name w:val="TableSubHead"/>
    <w:basedOn w:val="TableHeader"/>
    <w:rsid w:val="00AD3658"/>
  </w:style>
  <w:style w:type="paragraph" w:styleId="ListParagraph">
    <w:name w:val="List Paragraph"/>
    <w:basedOn w:val="Normal"/>
    <w:uiPriority w:val="34"/>
    <w:qFormat/>
    <w:rsid w:val="00D52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11340">
      <w:bodyDiv w:val="1"/>
      <w:marLeft w:val="0"/>
      <w:marRight w:val="0"/>
      <w:marTop w:val="0"/>
      <w:marBottom w:val="0"/>
      <w:divBdr>
        <w:top w:val="none" w:sz="0" w:space="0" w:color="auto"/>
        <w:left w:val="none" w:sz="0" w:space="0" w:color="auto"/>
        <w:bottom w:val="none" w:sz="0" w:space="0" w:color="auto"/>
        <w:right w:val="none" w:sz="0" w:space="0" w:color="auto"/>
      </w:divBdr>
    </w:div>
    <w:div w:id="651177178">
      <w:bodyDiv w:val="1"/>
      <w:marLeft w:val="0"/>
      <w:marRight w:val="0"/>
      <w:marTop w:val="0"/>
      <w:marBottom w:val="0"/>
      <w:divBdr>
        <w:top w:val="none" w:sz="0" w:space="0" w:color="auto"/>
        <w:left w:val="none" w:sz="0" w:space="0" w:color="auto"/>
        <w:bottom w:val="none" w:sz="0" w:space="0" w:color="auto"/>
        <w:right w:val="none" w:sz="0" w:space="0" w:color="auto"/>
      </w:divBdr>
      <w:divsChild>
        <w:div w:id="516846087">
          <w:marLeft w:val="0"/>
          <w:marRight w:val="0"/>
          <w:marTop w:val="0"/>
          <w:marBottom w:val="100"/>
          <w:divBdr>
            <w:top w:val="none" w:sz="0" w:space="0" w:color="auto"/>
            <w:left w:val="none" w:sz="0" w:space="0" w:color="auto"/>
            <w:bottom w:val="none" w:sz="0" w:space="0" w:color="auto"/>
            <w:right w:val="none" w:sz="0" w:space="0" w:color="auto"/>
          </w:divBdr>
          <w:divsChild>
            <w:div w:id="2047639225">
              <w:marLeft w:val="0"/>
              <w:marRight w:val="0"/>
              <w:marTop w:val="0"/>
              <w:marBottom w:val="0"/>
              <w:divBdr>
                <w:top w:val="none" w:sz="0" w:space="0" w:color="auto"/>
                <w:left w:val="none" w:sz="0" w:space="0" w:color="auto"/>
                <w:bottom w:val="none" w:sz="0" w:space="0" w:color="auto"/>
                <w:right w:val="none" w:sz="0" w:space="0" w:color="auto"/>
              </w:divBdr>
            </w:div>
          </w:divsChild>
        </w:div>
        <w:div w:id="1571236558">
          <w:marLeft w:val="0"/>
          <w:marRight w:val="0"/>
          <w:marTop w:val="0"/>
          <w:marBottom w:val="100"/>
          <w:divBdr>
            <w:top w:val="none" w:sz="0" w:space="0" w:color="auto"/>
            <w:left w:val="none" w:sz="0" w:space="0" w:color="auto"/>
            <w:bottom w:val="none" w:sz="0" w:space="0" w:color="auto"/>
            <w:right w:val="none" w:sz="0" w:space="0" w:color="auto"/>
          </w:divBdr>
          <w:divsChild>
            <w:div w:id="7703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KMCHAT</dc:creator>
  <cp:keywords/>
  <dc:description/>
  <cp:lastModifiedBy>KMCHAT</cp:lastModifiedBy>
  <cp:revision>2</cp:revision>
  <dcterms:created xsi:type="dcterms:W3CDTF">2024-03-07T05:04:00Z</dcterms:created>
  <dcterms:modified xsi:type="dcterms:W3CDTF">2024-03-07T05:04:00Z</dcterms:modified>
</cp:coreProperties>
</file>