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9575" w14:textId="77777777" w:rsidR="000226CE" w:rsidRDefault="000226CE" w:rsidP="000226CE">
      <w:pPr>
        <w:pStyle w:val="Normal1"/>
        <w:contextualSpacing w:val="0"/>
        <w:rPr>
          <w:b/>
          <w:sz w:val="28"/>
          <w:lang w:val="en-GB"/>
        </w:rPr>
      </w:pPr>
      <w:r>
        <w:rPr>
          <w:b/>
          <w:sz w:val="28"/>
          <w:lang w:val="en-GB"/>
        </w:rPr>
        <w:t>Appendix</w:t>
      </w:r>
    </w:p>
    <w:p w14:paraId="2B916D04" w14:textId="77777777" w:rsidR="000226CE" w:rsidRDefault="000226CE" w:rsidP="000226CE">
      <w:pPr>
        <w:pStyle w:val="Normal1"/>
        <w:contextualSpacing w:val="0"/>
        <w:rPr>
          <w:b/>
          <w:sz w:val="28"/>
          <w:lang w:val="en-GB"/>
        </w:rPr>
      </w:pPr>
    </w:p>
    <w:p w14:paraId="050FFF2F" w14:textId="77777777" w:rsidR="000226CE" w:rsidRPr="00F41C93" w:rsidRDefault="000226CE" w:rsidP="000226CE">
      <w:pPr>
        <w:pStyle w:val="Normal1"/>
        <w:contextualSpacing w:val="0"/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>Appendix A.1.</w:t>
      </w:r>
      <w:r w:rsidRPr="00F41C93">
        <w:rPr>
          <w:rFonts w:ascii="Times" w:hAnsi="Times"/>
          <w:sz w:val="24"/>
          <w:lang w:val="en-GB"/>
        </w:rPr>
        <w:t xml:space="preserve"> Search string used in Medline.</w:t>
      </w:r>
    </w:p>
    <w:p w14:paraId="51BD618D" w14:textId="77777777" w:rsidR="000226CE" w:rsidRDefault="000226CE" w:rsidP="000226CE">
      <w:pPr>
        <w:pStyle w:val="Normal1"/>
        <w:contextualSpacing w:val="0"/>
        <w:rPr>
          <w:rFonts w:ascii="Times" w:hAnsi="Times"/>
          <w:sz w:val="24"/>
          <w:lang w:val="en-GB"/>
        </w:rPr>
      </w:pPr>
    </w:p>
    <w:p w14:paraId="69542FE4" w14:textId="77777777" w:rsidR="000226CE" w:rsidRPr="00C2153F" w:rsidRDefault="000226CE" w:rsidP="000226CE">
      <w:pPr>
        <w:pStyle w:val="paragraph"/>
        <w:spacing w:before="0" w:beforeAutospacing="0" w:after="0" w:afterAutospacing="0"/>
        <w:textAlignment w:val="baseline"/>
        <w:rPr>
          <w:rFonts w:ascii="Times" w:hAnsi="Times" w:cs="Times"/>
          <w:sz w:val="18"/>
          <w:szCs w:val="18"/>
          <w:lang w:val="en-GB"/>
        </w:rPr>
      </w:pPr>
      <w:r w:rsidRPr="00C2153F">
        <w:rPr>
          <w:rStyle w:val="normaltextrun"/>
          <w:rFonts w:ascii="Times" w:hAnsi="Times" w:cs="Times"/>
          <w:lang w:val="en-GB"/>
        </w:rPr>
        <w:t># Search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1 randomized controlled trial.pt.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2 controlled clinical trial.pt.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 xml:space="preserve">3 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randomized.ab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 xml:space="preserve">4 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placebo.ab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 xml:space="preserve">5 drug 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therapy.fs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 xml:space="preserve">6 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randomly.ab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 xml:space="preserve">7 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trial.ab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 xml:space="preserve">8 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groups.ab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9 1 or 2 or 3 or 4 or 5 or 6 or 7 or 8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10 sport*.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 or exp Sports/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11 adult*.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12 exp Athletes/ or athlete*.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13 novice*.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14 expert*.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15 player*.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 or exp Sports/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16 healthy.mp.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17 beginner*.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 [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=title, book title, abstract, original title, name of substance word,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subject heading word, floating sub-heading word, keyword heading word, organism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supplementary concept word, protocol supplementary concept word, rare disease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supplementary concept word, unique identifier, synonyms]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18 learner.mp.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19 participant*.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20 10 or 11 or 12 or 13 or 14 or 15 or 16 or 17 or 18 or 19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21 acquisition.mp.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22 accuracy.mp.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23 speed.mp.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24 velocity.mp.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25 "skill acquisition".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26 "skill learning".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27 performance*.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28 exp Motor Skills/ or "motor performance".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29 complexity.mp.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30 "movement quality".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31 "movement kinematics".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32 exp Kinetics/ or kinetic*.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lastRenderedPageBreak/>
        <w:t>33 "lower extremity kinematics".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34 power.mp.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35 score*.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36 balance.mp.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37 height*.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38 retention*.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39 transfer*.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 xml:space="preserve">40 dynamic </w:t>
      </w:r>
      <w:proofErr w:type="gramStart"/>
      <w:r w:rsidRPr="00C2153F">
        <w:rPr>
          <w:rStyle w:val="normaltextrun"/>
          <w:rFonts w:ascii="Times" w:hAnsi="Times" w:cs="Times"/>
          <w:lang w:val="en-GB"/>
        </w:rPr>
        <w:t>balance</w:t>
      </w:r>
      <w:proofErr w:type="gramEnd"/>
      <w:r w:rsidRPr="00C2153F">
        <w:rPr>
          <w:rStyle w:val="normaltextrun"/>
          <w:rFonts w:ascii="Times" w:hAnsi="Times" w:cs="Times"/>
          <w:lang w:val="en-GB"/>
        </w:rPr>
        <w:t xml:space="preserve"> task.mp.</w:t>
      </w:r>
      <w:r w:rsidRPr="00C2153F">
        <w:rPr>
          <w:rStyle w:val="eop"/>
          <w:rFonts w:ascii="Times" w:hAnsi="Times" w:cs="Times"/>
          <w:lang w:val="en-GB"/>
        </w:rPr>
        <w:t> </w:t>
      </w:r>
    </w:p>
    <w:p w14:paraId="5DBE3D94" w14:textId="77777777" w:rsidR="000226CE" w:rsidRPr="00C2153F" w:rsidRDefault="000226CE" w:rsidP="000226CE">
      <w:pPr>
        <w:pStyle w:val="paragraph"/>
        <w:spacing w:before="0" w:beforeAutospacing="0" w:after="0" w:afterAutospacing="0"/>
        <w:textAlignment w:val="baseline"/>
        <w:rPr>
          <w:rFonts w:ascii="Times" w:hAnsi="Times" w:cs="Times"/>
          <w:sz w:val="18"/>
          <w:szCs w:val="18"/>
          <w:lang w:val="en-GB"/>
        </w:rPr>
      </w:pPr>
      <w:r w:rsidRPr="00C2153F">
        <w:rPr>
          <w:rStyle w:val="normaltextrun"/>
          <w:rFonts w:ascii="Times" w:hAnsi="Times" w:cs="Times"/>
          <w:lang w:val="en-GB"/>
        </w:rPr>
        <w:t>41 landing forces.mp.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42 landing mechanics.mp.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43 movement preparation.mp.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44 movement execution.mp.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 xml:space="preserve">45 </w:t>
      </w:r>
      <w:proofErr w:type="gramStart"/>
      <w:r w:rsidRPr="00C2153F">
        <w:rPr>
          <w:rStyle w:val="normaltextrun"/>
          <w:rFonts w:ascii="Times" w:hAnsi="Times" w:cs="Times"/>
          <w:lang w:val="en-GB"/>
        </w:rPr>
        <w:t>skill</w:t>
      </w:r>
      <w:proofErr w:type="gramEnd"/>
      <w:r w:rsidRPr="00C2153F">
        <w:rPr>
          <w:rStyle w:val="normaltextrun"/>
          <w:rFonts w:ascii="Times" w:hAnsi="Times" w:cs="Times"/>
          <w:lang w:val="en-GB"/>
        </w:rPr>
        <w:t xml:space="preserve"> execution.mp.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 xml:space="preserve">46 </w:t>
      </w:r>
      <w:proofErr w:type="gramStart"/>
      <w:r w:rsidRPr="00C2153F">
        <w:rPr>
          <w:rStyle w:val="normaltextrun"/>
          <w:rFonts w:ascii="Times" w:hAnsi="Times" w:cs="Times"/>
          <w:lang w:val="en-GB"/>
        </w:rPr>
        <w:t>task</w:t>
      </w:r>
      <w:proofErr w:type="gramEnd"/>
      <w:r w:rsidRPr="00C2153F">
        <w:rPr>
          <w:rStyle w:val="normaltextrun"/>
          <w:rFonts w:ascii="Times" w:hAnsi="Times" w:cs="Times"/>
          <w:lang w:val="en-GB"/>
        </w:rPr>
        <w:t xml:space="preserve"> execution.mp.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47 golf.mp.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48 21 or 22 or 23 or 24 or 25 or 26 or 27 or 28 or 29 or 30 or 31 or 32 or 33 or 34 or 35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or 36 or 37 or 38 or 39 or 40 or 41 or 42 or 43 or 44 or 45 or 46 or 47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49 "attentional focus".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50 "focus of attention".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51 "attentional foci".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52 "external focus".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53 "internal focus".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54 "combined focus".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55 "holistic focus".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56 "imagined external focus".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57 "switching focus".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58 "external foci".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. [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=title, book title, abstract, original title, name of substance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word, subject heading word, floating sub-heading word, keyword heading word, organism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supplementary concept word, protocol supplementary concept word, rare disease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supplementary concept word, unique identifier, synonyms]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59 internal foci.mp. [</w:t>
      </w:r>
      <w:proofErr w:type="spellStart"/>
      <w:r w:rsidRPr="00C2153F">
        <w:rPr>
          <w:rStyle w:val="normaltextrun"/>
          <w:rFonts w:ascii="Times" w:hAnsi="Times" w:cs="Times"/>
          <w:lang w:val="en-GB"/>
        </w:rPr>
        <w:t>mp</w:t>
      </w:r>
      <w:proofErr w:type="spellEnd"/>
      <w:r w:rsidRPr="00C2153F">
        <w:rPr>
          <w:rStyle w:val="normaltextrun"/>
          <w:rFonts w:ascii="Times" w:hAnsi="Times" w:cs="Times"/>
          <w:lang w:val="en-GB"/>
        </w:rPr>
        <w:t>=title, book title, abstract, original title, name of substance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word, subject heading word, floating sub-heading word, keyword heading word, organism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supplementary concept word, protocol supplementary concept word, rare disease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supplementary concept word, unique identifier, synonyms]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60 increased focus.mp.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 xml:space="preserve">61 attentional </w:t>
      </w:r>
      <w:proofErr w:type="gramStart"/>
      <w:r w:rsidRPr="00C2153F">
        <w:rPr>
          <w:rStyle w:val="normaltextrun"/>
          <w:rFonts w:ascii="Times" w:hAnsi="Times" w:cs="Times"/>
          <w:lang w:val="en-GB"/>
        </w:rPr>
        <w:t>focus</w:t>
      </w:r>
      <w:proofErr w:type="gramEnd"/>
      <w:r w:rsidRPr="00C2153F">
        <w:rPr>
          <w:rStyle w:val="normaltextrun"/>
          <w:rFonts w:ascii="Times" w:hAnsi="Times" w:cs="Times"/>
          <w:lang w:val="en-GB"/>
        </w:rPr>
        <w:t xml:space="preserve"> strategies.mp.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62 combined strategy.mp.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63 attentional switching.mp.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64 OPTIMAL theory.mp.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65 49 or 50 or 51 or 52 or 53 or 54 or 55 or 56 or 57 or 58 or 59 or 60 or 61 or 62 or 63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lastRenderedPageBreak/>
        <w:t>or 64</w:t>
      </w:r>
      <w:r w:rsidRPr="00C2153F">
        <w:rPr>
          <w:rStyle w:val="scxw106185713"/>
          <w:rFonts w:ascii="Times" w:hAnsi="Times" w:cs="Times"/>
          <w:lang w:val="en-GB"/>
        </w:rPr>
        <w:t> </w:t>
      </w:r>
      <w:r w:rsidRPr="00C2153F">
        <w:rPr>
          <w:rFonts w:ascii="Times" w:hAnsi="Times" w:cs="Times"/>
          <w:lang w:val="en-GB"/>
        </w:rPr>
        <w:br/>
      </w:r>
      <w:r w:rsidRPr="00C2153F">
        <w:rPr>
          <w:rStyle w:val="normaltextrun"/>
          <w:rFonts w:ascii="Times" w:hAnsi="Times" w:cs="Times"/>
          <w:lang w:val="en-GB"/>
        </w:rPr>
        <w:t>66 9 and 20 and 48 and</w:t>
      </w:r>
      <w:r>
        <w:rPr>
          <w:rStyle w:val="normaltextrun"/>
          <w:rFonts w:ascii="Times" w:hAnsi="Times" w:cs="Times"/>
          <w:lang w:val="en-GB"/>
        </w:rPr>
        <w:t xml:space="preserve"> 65</w:t>
      </w:r>
      <w:r w:rsidRPr="00C2153F">
        <w:rPr>
          <w:rStyle w:val="normaltextrun"/>
          <w:rFonts w:ascii="Times" w:hAnsi="Times" w:cs="Times"/>
          <w:lang w:val="en-GB"/>
        </w:rPr>
        <w:t> </w:t>
      </w:r>
      <w:r w:rsidRPr="00C2153F">
        <w:rPr>
          <w:rStyle w:val="eop"/>
          <w:rFonts w:ascii="Times" w:hAnsi="Times" w:cs="Times"/>
          <w:lang w:val="en-GB"/>
        </w:rPr>
        <w:t> </w:t>
      </w:r>
    </w:p>
    <w:p w14:paraId="664D4B5A" w14:textId="77777777" w:rsidR="000226CE" w:rsidRDefault="000226CE" w:rsidP="000226CE">
      <w:pPr>
        <w:pStyle w:val="Normal1"/>
        <w:contextualSpacing w:val="0"/>
        <w:rPr>
          <w:rFonts w:ascii="Times" w:hAnsi="Times"/>
          <w:sz w:val="24"/>
          <w:lang w:val="en-GB"/>
        </w:rPr>
      </w:pPr>
    </w:p>
    <w:p w14:paraId="3E50ADD0" w14:textId="77777777" w:rsidR="000226CE" w:rsidRDefault="000226CE" w:rsidP="000226CE">
      <w:pPr>
        <w:pStyle w:val="Normal1"/>
        <w:contextualSpacing w:val="0"/>
        <w:rPr>
          <w:rFonts w:ascii="Times" w:hAnsi="Times"/>
          <w:sz w:val="24"/>
          <w:lang w:val="en-GB"/>
        </w:rPr>
      </w:pPr>
    </w:p>
    <w:p w14:paraId="3828D08A" w14:textId="77777777" w:rsidR="000226CE" w:rsidRDefault="000226CE" w:rsidP="000226CE">
      <w:pPr>
        <w:spacing w:line="276" w:lineRule="auto"/>
        <w:contextualSpacing/>
        <w:rPr>
          <w:rFonts w:ascii="Times" w:eastAsia="Arial" w:hAnsi="Times" w:cs="Arial"/>
          <w:szCs w:val="22"/>
          <w:lang w:val="en-GB" w:eastAsia="en-US"/>
        </w:rPr>
      </w:pPr>
      <w:r>
        <w:rPr>
          <w:rFonts w:ascii="Times" w:hAnsi="Times"/>
          <w:lang w:val="en-GB"/>
        </w:rPr>
        <w:br w:type="page"/>
      </w:r>
    </w:p>
    <w:p w14:paraId="10D51F05" w14:textId="77777777" w:rsidR="000226CE" w:rsidRPr="00F41C93" w:rsidRDefault="000226CE" w:rsidP="000226CE">
      <w:pPr>
        <w:pStyle w:val="Normal1"/>
        <w:rPr>
          <w:rFonts w:ascii="Times" w:hAnsi="Times"/>
          <w:sz w:val="24"/>
          <w:szCs w:val="24"/>
          <w:lang w:val="fr-CH"/>
        </w:rPr>
      </w:pPr>
      <w:r w:rsidRPr="000F6442">
        <w:rPr>
          <w:rFonts w:ascii="Times" w:hAnsi="Times"/>
          <w:sz w:val="24"/>
          <w:lang w:val="fr-CH"/>
        </w:rPr>
        <w:lastRenderedPageBreak/>
        <w:t>Appendix A.2</w:t>
      </w:r>
      <w:r w:rsidRPr="2124B4B8">
        <w:rPr>
          <w:rFonts w:ascii="Times" w:hAnsi="Times"/>
          <w:sz w:val="24"/>
          <w:szCs w:val="24"/>
          <w:lang w:val="fr-CH"/>
        </w:rPr>
        <w:t xml:space="preserve">. P-Scores post-acquisition </w:t>
      </w:r>
      <w:proofErr w:type="spellStart"/>
      <w:r w:rsidRPr="2124B4B8">
        <w:rPr>
          <w:rFonts w:ascii="Times" w:hAnsi="Times"/>
          <w:sz w:val="24"/>
          <w:szCs w:val="24"/>
          <w:lang w:val="fr-CH"/>
        </w:rPr>
        <w:t>testing</w:t>
      </w:r>
      <w:proofErr w:type="spellEnd"/>
    </w:p>
    <w:p w14:paraId="5B13B0F9" w14:textId="77777777" w:rsidR="000226CE" w:rsidRPr="00F41C93" w:rsidRDefault="000226CE" w:rsidP="000226CE">
      <w:pPr>
        <w:pStyle w:val="Normal1"/>
        <w:contextualSpacing w:val="0"/>
        <w:rPr>
          <w:rFonts w:ascii="Times" w:hAnsi="Times"/>
          <w:sz w:val="24"/>
          <w:lang w:val="fr-CH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938"/>
      </w:tblGrid>
      <w:tr w:rsidR="009E6B46" w:rsidRPr="009E6B46" w14:paraId="76358462" w14:textId="77777777" w:rsidTr="009E6B46">
        <w:trPr>
          <w:trHeight w:val="166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C710B" w14:textId="77777777" w:rsidR="009E6B46" w:rsidRPr="009E6B46" w:rsidRDefault="009E6B46" w:rsidP="009E6B46">
            <w:pPr>
              <w:spacing w:line="240" w:lineRule="auto"/>
              <w:rPr>
                <w:rFonts w:ascii="Helvetica" w:hAnsi="Helvetica"/>
                <w:sz w:val="18"/>
                <w:szCs w:val="18"/>
                <w:lang w:val="en-CH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399C80" w14:textId="1A335705" w:rsidR="009E6B46" w:rsidRPr="009E6B46" w:rsidRDefault="00721AEE" w:rsidP="009E6B46">
            <w:pPr>
              <w:spacing w:line="240" w:lineRule="auto"/>
              <w:rPr>
                <w:lang w:val="en-CH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  <w:lang w:val="en-CH"/>
              </w:rPr>
              <w:t>P-</w:t>
            </w:r>
            <w:r w:rsidR="009E6B46" w:rsidRPr="00721AE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  <w:lang w:val="en-CH"/>
              </w:rPr>
              <w:t>Score</w:t>
            </w:r>
          </w:p>
        </w:tc>
      </w:tr>
      <w:tr w:rsidR="009E6B46" w:rsidRPr="009E6B46" w14:paraId="130A379B" w14:textId="77777777" w:rsidTr="009E6B46">
        <w:trPr>
          <w:trHeight w:val="181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4920B" w14:textId="77777777" w:rsidR="009E6B46" w:rsidRPr="009E6B46" w:rsidRDefault="009E6B46" w:rsidP="009E6B46">
            <w:pPr>
              <w:spacing w:line="240" w:lineRule="auto"/>
              <w:rPr>
                <w:lang w:val="en-CH"/>
              </w:rPr>
            </w:pPr>
            <w:r w:rsidRPr="009E6B4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  <w:lang w:val="en-CH"/>
              </w:rPr>
              <w:t>Control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3A628" w14:textId="77777777" w:rsidR="009E6B46" w:rsidRPr="009E6B46" w:rsidRDefault="009E6B46" w:rsidP="009E6B46">
            <w:pPr>
              <w:spacing w:line="240" w:lineRule="auto"/>
              <w:rPr>
                <w:lang w:val="en-CH"/>
              </w:rPr>
            </w:pPr>
            <w:r w:rsidRPr="009E6B46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0.13</w:t>
            </w:r>
          </w:p>
        </w:tc>
      </w:tr>
      <w:tr w:rsidR="009E6B46" w:rsidRPr="009E6B46" w14:paraId="2E374218" w14:textId="77777777" w:rsidTr="009E6B46">
        <w:trPr>
          <w:trHeight w:val="166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3FE71" w14:textId="77777777" w:rsidR="009E6B46" w:rsidRPr="009E6B46" w:rsidRDefault="009E6B46" w:rsidP="009E6B46">
            <w:pPr>
              <w:spacing w:line="240" w:lineRule="auto"/>
              <w:rPr>
                <w:lang w:val="en-CH"/>
              </w:rPr>
            </w:pPr>
            <w:r w:rsidRPr="009E6B4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  <w:lang w:val="en-CH"/>
              </w:rPr>
              <w:t>Internal focus of attention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4F351" w14:textId="77777777" w:rsidR="009E6B46" w:rsidRPr="009E6B46" w:rsidRDefault="009E6B46" w:rsidP="009E6B46">
            <w:pPr>
              <w:spacing w:line="240" w:lineRule="auto"/>
              <w:rPr>
                <w:lang w:val="en-CH"/>
              </w:rPr>
            </w:pPr>
            <w:r w:rsidRPr="009E6B46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0.21</w:t>
            </w:r>
          </w:p>
        </w:tc>
      </w:tr>
      <w:tr w:rsidR="009E6B46" w:rsidRPr="009E6B46" w14:paraId="7EFD9B0B" w14:textId="77777777" w:rsidTr="009E6B46">
        <w:trPr>
          <w:trHeight w:val="166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F5A21" w14:textId="77777777" w:rsidR="009E6B46" w:rsidRPr="009E6B46" w:rsidRDefault="009E6B46" w:rsidP="009E6B46">
            <w:pPr>
              <w:spacing w:line="240" w:lineRule="auto"/>
              <w:rPr>
                <w:lang w:val="en-CH"/>
              </w:rPr>
            </w:pPr>
            <w:r w:rsidRPr="009E6B4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  <w:lang w:val="en-CH"/>
              </w:rPr>
              <w:t>Holistic focus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15B70" w14:textId="77777777" w:rsidR="009E6B46" w:rsidRPr="009E6B46" w:rsidRDefault="009E6B46" w:rsidP="009E6B46">
            <w:pPr>
              <w:spacing w:line="240" w:lineRule="auto"/>
              <w:rPr>
                <w:lang w:val="en-CH"/>
              </w:rPr>
            </w:pPr>
            <w:r w:rsidRPr="009E6B46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0.67</w:t>
            </w:r>
          </w:p>
        </w:tc>
      </w:tr>
      <w:tr w:rsidR="009E6B46" w:rsidRPr="009E6B46" w14:paraId="4CAA2E68" w14:textId="77777777" w:rsidTr="009E6B46">
        <w:trPr>
          <w:trHeight w:val="166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320083" w14:textId="77777777" w:rsidR="009E6B46" w:rsidRPr="009E6B46" w:rsidRDefault="009E6B46" w:rsidP="009E6B46">
            <w:pPr>
              <w:spacing w:line="240" w:lineRule="auto"/>
              <w:rPr>
                <w:lang w:val="en-CH"/>
              </w:rPr>
            </w:pPr>
            <w:r w:rsidRPr="009E6B4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  <w:lang w:val="en-CH"/>
              </w:rPr>
              <w:t>Switching focus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A83AC" w14:textId="77777777" w:rsidR="009E6B46" w:rsidRPr="009E6B46" w:rsidRDefault="009E6B46" w:rsidP="009E6B46">
            <w:pPr>
              <w:spacing w:line="240" w:lineRule="auto"/>
              <w:rPr>
                <w:lang w:val="en-CH"/>
              </w:rPr>
            </w:pPr>
            <w:r w:rsidRPr="009E6B46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0.68</w:t>
            </w:r>
          </w:p>
        </w:tc>
      </w:tr>
      <w:tr w:rsidR="009E6B46" w:rsidRPr="009E6B46" w14:paraId="45A8E018" w14:textId="77777777" w:rsidTr="009E6B46">
        <w:trPr>
          <w:trHeight w:val="166"/>
        </w:trPr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32C37" w14:textId="77777777" w:rsidR="009E6B46" w:rsidRPr="009E6B46" w:rsidRDefault="009E6B46" w:rsidP="009E6B46">
            <w:pPr>
              <w:spacing w:line="240" w:lineRule="auto"/>
              <w:rPr>
                <w:lang w:val="en-CH"/>
              </w:rPr>
            </w:pPr>
            <w:r w:rsidRPr="009E6B4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  <w:lang w:val="en-CH"/>
              </w:rPr>
              <w:t>External focus of attention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40B0D" w14:textId="77777777" w:rsidR="009E6B46" w:rsidRPr="009E6B46" w:rsidRDefault="009E6B46" w:rsidP="009E6B46">
            <w:pPr>
              <w:spacing w:line="240" w:lineRule="auto"/>
              <w:rPr>
                <w:lang w:val="en-CH"/>
              </w:rPr>
            </w:pPr>
            <w:r w:rsidRPr="009E6B46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0.81</w:t>
            </w:r>
          </w:p>
        </w:tc>
      </w:tr>
    </w:tbl>
    <w:p w14:paraId="3BFC37A1" w14:textId="77777777" w:rsidR="000226CE" w:rsidRPr="009E6B46" w:rsidRDefault="000226CE" w:rsidP="000226CE">
      <w:pPr>
        <w:pStyle w:val="Normal1"/>
        <w:contextualSpacing w:val="0"/>
        <w:rPr>
          <w:rFonts w:ascii="Times" w:hAnsi="Times"/>
          <w:sz w:val="24"/>
          <w:lang w:val="fr-CH"/>
        </w:rPr>
      </w:pPr>
    </w:p>
    <w:p w14:paraId="55EEE4C4" w14:textId="77777777" w:rsidR="000226CE" w:rsidRPr="009E6B46" w:rsidRDefault="000226CE" w:rsidP="000226CE">
      <w:pPr>
        <w:spacing w:line="276" w:lineRule="auto"/>
        <w:contextualSpacing/>
        <w:rPr>
          <w:rFonts w:ascii="Times" w:eastAsia="Arial" w:hAnsi="Times" w:cs="Arial"/>
          <w:szCs w:val="22"/>
          <w:lang w:val="fr-CH" w:eastAsia="en-US"/>
        </w:rPr>
      </w:pPr>
      <w:r w:rsidRPr="009E6B46">
        <w:rPr>
          <w:rFonts w:ascii="Times" w:hAnsi="Times"/>
          <w:lang w:val="fr-CH"/>
        </w:rPr>
        <w:br w:type="page"/>
      </w:r>
    </w:p>
    <w:p w14:paraId="48CB25C5" w14:textId="77777777" w:rsidR="000226CE" w:rsidRPr="00653DB1" w:rsidRDefault="000226CE" w:rsidP="000226CE">
      <w:pPr>
        <w:pStyle w:val="Normal1"/>
        <w:contextualSpacing w:val="0"/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lastRenderedPageBreak/>
        <w:t xml:space="preserve">Appendix A.3. </w:t>
      </w:r>
      <w:proofErr w:type="spellStart"/>
      <w:r w:rsidRPr="00653DB1">
        <w:rPr>
          <w:rFonts w:ascii="Times" w:hAnsi="Times"/>
          <w:sz w:val="24"/>
          <w:lang w:val="en-GB"/>
        </w:rPr>
        <w:t>Netleague</w:t>
      </w:r>
      <w:proofErr w:type="spellEnd"/>
      <w:r w:rsidRPr="00653DB1">
        <w:rPr>
          <w:rFonts w:ascii="Times" w:hAnsi="Times"/>
          <w:sz w:val="24"/>
          <w:lang w:val="en-GB"/>
        </w:rPr>
        <w:t xml:space="preserve"> table – post-acquisition testing</w:t>
      </w:r>
    </w:p>
    <w:p w14:paraId="284965C9" w14:textId="77777777" w:rsidR="000226CE" w:rsidRDefault="000226CE" w:rsidP="000226CE">
      <w:pPr>
        <w:pStyle w:val="Normal1"/>
        <w:contextualSpacing w:val="0"/>
        <w:rPr>
          <w:rFonts w:ascii="Times" w:hAnsi="Times"/>
          <w:sz w:val="24"/>
          <w:lang w:val="en-GB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1618"/>
        <w:gridCol w:w="2255"/>
        <w:gridCol w:w="1580"/>
        <w:gridCol w:w="2196"/>
        <w:gridCol w:w="1580"/>
      </w:tblGrid>
      <w:tr w:rsidR="002342B1" w:rsidRPr="002342B1" w14:paraId="29BE9DF0" w14:textId="77777777" w:rsidTr="002342B1">
        <w:trPr>
          <w:trHeight w:val="394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636C9" w14:textId="77777777" w:rsidR="002342B1" w:rsidRPr="002342B1" w:rsidRDefault="002342B1" w:rsidP="002342B1">
            <w:pPr>
              <w:spacing w:line="240" w:lineRule="auto"/>
              <w:rPr>
                <w:rFonts w:ascii="Helvetica" w:hAnsi="Helvetica"/>
                <w:sz w:val="18"/>
                <w:szCs w:val="18"/>
                <w:lang w:val="en-CH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082A2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  <w:lang w:val="en-CH"/>
              </w:rPr>
              <w:t>V1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02A84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  <w:lang w:val="en-CH"/>
              </w:rPr>
              <w:t>V2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BBD22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  <w:lang w:val="en-CH"/>
              </w:rPr>
              <w:t>V3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37726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  <w:lang w:val="en-CH"/>
              </w:rPr>
              <w:t>V4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3ED6AD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  <w:lang w:val="en-CH"/>
              </w:rPr>
              <w:t>V5</w:t>
            </w:r>
          </w:p>
        </w:tc>
      </w:tr>
      <w:tr w:rsidR="002342B1" w:rsidRPr="002342B1" w14:paraId="692602ED" w14:textId="77777777" w:rsidTr="002342B1">
        <w:trPr>
          <w:trHeight w:val="429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DDA08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  <w:lang w:val="en-CH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21037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Control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4E75E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-1.07 (-1.70; -0.44)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CF5BE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-0.92 (-2.22;  0.38)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C1F6A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0.03 (-0.68;  0.73)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DF17C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.</w:t>
            </w:r>
          </w:p>
        </w:tc>
      </w:tr>
      <w:tr w:rsidR="002342B1" w:rsidRPr="002342B1" w14:paraId="15AB3A2C" w14:textId="77777777" w:rsidTr="002342B1">
        <w:trPr>
          <w:trHeight w:val="394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B38FA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  <w:lang w:val="en-CH"/>
              </w:rPr>
              <w:t>2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5CAD4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-0.99 (-1.57; -0.40)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2F22C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External focus of attention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13C94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-0.08 (-1.36;  1.20)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DD540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0.85 ( 0.45;  1.26)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AF023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-0.09 (-1.27;  1.09)</w:t>
            </w:r>
          </w:p>
        </w:tc>
      </w:tr>
      <w:tr w:rsidR="002342B1" w:rsidRPr="002342B1" w14:paraId="54D92FF8" w14:textId="77777777" w:rsidTr="002342B1">
        <w:trPr>
          <w:trHeight w:val="394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35A16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  <w:lang w:val="en-CH"/>
              </w:rPr>
              <w:t>3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3EF5D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-0.81 (-1.93;  0.31)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26F72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0.18 (-0.90;  1.26)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A25C7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Holistic focus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845EE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0.33 (-0.95;  1.61)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F9CA6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.</w:t>
            </w:r>
          </w:p>
        </w:tc>
      </w:tr>
      <w:tr w:rsidR="002342B1" w:rsidRPr="002342B1" w14:paraId="1BEA009E" w14:textId="77777777" w:rsidTr="002342B1">
        <w:trPr>
          <w:trHeight w:val="394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12289E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  <w:lang w:val="en-CH"/>
              </w:rPr>
              <w:t>4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D0D70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-0.11 (-0.71;  0.49)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96BEF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0.87 ( 0.47;  1.27)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E9F64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0.70 (-0.39;  1.78)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5AB00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Internal focus of attention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DF983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-0.47 (-1.66;  0.72)</w:t>
            </w:r>
          </w:p>
        </w:tc>
      </w:tr>
      <w:tr w:rsidR="002342B1" w:rsidRPr="002342B1" w14:paraId="7AA17FF9" w14:textId="77777777" w:rsidTr="002342B1">
        <w:trPr>
          <w:trHeight w:val="394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661C5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  <w:lang w:val="en-CH"/>
              </w:rPr>
              <w:t>5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1C180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-0.83 (-2.00;  0.34)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8F370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0.15 (-0.89;  1.20)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FE269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-0.02 (-1.50;  1.46)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D9DFF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-0.72 (-1.76;  0.33)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34742" w14:textId="77777777" w:rsidR="002342B1" w:rsidRPr="002342B1" w:rsidRDefault="002342B1" w:rsidP="002342B1">
            <w:pPr>
              <w:spacing w:line="240" w:lineRule="auto"/>
              <w:rPr>
                <w:lang w:val="en-CH"/>
              </w:rPr>
            </w:pPr>
            <w:r w:rsidRPr="002342B1">
              <w:rPr>
                <w:rFonts w:ascii="Helvetica Neue" w:hAnsi="Helvetica Neue"/>
                <w:color w:val="000000"/>
                <w:sz w:val="15"/>
                <w:szCs w:val="15"/>
                <w:lang w:val="en-CH"/>
              </w:rPr>
              <w:t>Switching focus</w:t>
            </w:r>
          </w:p>
        </w:tc>
      </w:tr>
    </w:tbl>
    <w:p w14:paraId="1D2A8C58" w14:textId="77777777" w:rsidR="002342B1" w:rsidRDefault="002342B1" w:rsidP="000226CE">
      <w:pPr>
        <w:pStyle w:val="Normal1"/>
        <w:contextualSpacing w:val="0"/>
        <w:rPr>
          <w:rFonts w:ascii="Times" w:hAnsi="Times"/>
          <w:sz w:val="24"/>
          <w:lang w:val="en-GB"/>
        </w:rPr>
      </w:pPr>
    </w:p>
    <w:p w14:paraId="1BE2ADE4" w14:textId="0D5248DD" w:rsidR="004D13D5" w:rsidRPr="00653DB1" w:rsidRDefault="004D13D5" w:rsidP="000226CE">
      <w:pPr>
        <w:pStyle w:val="Normal1"/>
        <w:contextualSpacing w:val="0"/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>NB: Effect estimates and 95%CI from pair-wise comparisons are presented in the upper right triangle. Network effect estimates are presented int the lower left triangle.</w:t>
      </w:r>
    </w:p>
    <w:p w14:paraId="22D2A0B8" w14:textId="77777777" w:rsidR="000226CE" w:rsidRDefault="000226CE" w:rsidP="000226CE">
      <w:pPr>
        <w:spacing w:line="276" w:lineRule="auto"/>
        <w:contextualSpacing/>
        <w:rPr>
          <w:rFonts w:ascii="Times" w:eastAsia="Arial" w:hAnsi="Times" w:cs="Arial"/>
          <w:szCs w:val="22"/>
          <w:lang w:val="en-GB" w:eastAsia="en-US"/>
        </w:rPr>
      </w:pPr>
      <w:r>
        <w:rPr>
          <w:rFonts w:ascii="Times" w:hAnsi="Times"/>
          <w:lang w:val="en-GB"/>
        </w:rPr>
        <w:br w:type="page"/>
      </w:r>
    </w:p>
    <w:p w14:paraId="056C7E60" w14:textId="77777777" w:rsidR="000226CE" w:rsidRPr="00653DB1" w:rsidRDefault="000226CE" w:rsidP="000226CE">
      <w:pPr>
        <w:pStyle w:val="Normal1"/>
        <w:contextualSpacing w:val="0"/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lastRenderedPageBreak/>
        <w:t>Appendix A.4</w:t>
      </w:r>
      <w:r w:rsidRPr="00653DB1">
        <w:rPr>
          <w:rFonts w:ascii="Times" w:hAnsi="Times"/>
          <w:sz w:val="24"/>
          <w:lang w:val="en-GB"/>
        </w:rPr>
        <w:t>. Heat plot – post-acquisition testing</w:t>
      </w:r>
    </w:p>
    <w:p w14:paraId="7181DC49" w14:textId="77777777" w:rsidR="000226CE" w:rsidRDefault="000226CE" w:rsidP="000226CE">
      <w:pPr>
        <w:pStyle w:val="Normal1"/>
        <w:contextualSpacing w:val="0"/>
        <w:rPr>
          <w:rFonts w:ascii="Times" w:hAnsi="Times"/>
          <w:sz w:val="24"/>
          <w:lang w:val="en-GB"/>
        </w:rPr>
      </w:pPr>
    </w:p>
    <w:p w14:paraId="5E2B56FF" w14:textId="695A87D0" w:rsidR="00B848E8" w:rsidRDefault="00B848E8" w:rsidP="000226CE">
      <w:pPr>
        <w:pStyle w:val="Normal1"/>
        <w:contextualSpacing w:val="0"/>
        <w:rPr>
          <w:rFonts w:ascii="Times" w:hAnsi="Times"/>
          <w:sz w:val="24"/>
          <w:lang w:val="en-GB"/>
        </w:rPr>
      </w:pPr>
      <w:r>
        <w:rPr>
          <w:rFonts w:ascii="Times" w:hAnsi="Times"/>
          <w:noProof/>
          <w:sz w:val="24"/>
          <w:lang w:val="en-GB"/>
        </w:rPr>
        <w:drawing>
          <wp:inline distT="0" distB="0" distL="0" distR="0" wp14:anchorId="51192036" wp14:editId="0F5A02D4">
            <wp:extent cx="5943600" cy="4245610"/>
            <wp:effectExtent l="0" t="0" r="0" b="0"/>
            <wp:docPr id="1149778003" name="Picture 1" descr="A white and yellow squar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78003" name="Picture 1" descr="A white and yellow squares with black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52BB1" w14:textId="77777777" w:rsidR="00B848E8" w:rsidRPr="00653DB1" w:rsidRDefault="00B848E8" w:rsidP="000226CE">
      <w:pPr>
        <w:pStyle w:val="Normal1"/>
        <w:contextualSpacing w:val="0"/>
        <w:rPr>
          <w:rFonts w:ascii="Times" w:hAnsi="Times"/>
          <w:sz w:val="24"/>
          <w:lang w:val="en-GB"/>
        </w:rPr>
      </w:pPr>
    </w:p>
    <w:p w14:paraId="1DECE318" w14:textId="7E9DCF0E" w:rsidR="000226CE" w:rsidRPr="00653DB1" w:rsidRDefault="000226CE" w:rsidP="000226CE">
      <w:pPr>
        <w:pStyle w:val="Normal1"/>
        <w:rPr>
          <w:rFonts w:ascii="Times" w:hAnsi="Times"/>
          <w:sz w:val="24"/>
          <w:szCs w:val="24"/>
          <w:lang w:val="en-GB"/>
        </w:rPr>
      </w:pPr>
      <w:r w:rsidRPr="08E0A412">
        <w:rPr>
          <w:rFonts w:ascii="Times" w:hAnsi="Times"/>
          <w:sz w:val="24"/>
          <w:szCs w:val="24"/>
          <w:lang w:val="en-GB"/>
        </w:rPr>
        <w:t>N</w:t>
      </w:r>
      <w:r w:rsidR="00B848E8">
        <w:rPr>
          <w:rFonts w:ascii="Times" w:hAnsi="Times"/>
          <w:sz w:val="24"/>
          <w:szCs w:val="24"/>
          <w:lang w:val="en-GB"/>
        </w:rPr>
        <w:t>B</w:t>
      </w:r>
      <w:r w:rsidRPr="08E0A412">
        <w:rPr>
          <w:rFonts w:ascii="Times" w:hAnsi="Times"/>
          <w:sz w:val="24"/>
          <w:szCs w:val="24"/>
          <w:lang w:val="en-GB"/>
        </w:rPr>
        <w:t>. Size of the boxes indicate the importance of a treatment comparison for the estimation of another treatment comparison. The colours indicate network inconsistency. Range is from blue (low inconsistency) to red (large inconsistency)</w:t>
      </w:r>
    </w:p>
    <w:p w14:paraId="23D0CBE3" w14:textId="77777777" w:rsidR="000226CE" w:rsidRDefault="000226CE" w:rsidP="000226CE">
      <w:pPr>
        <w:pStyle w:val="Normal1"/>
        <w:rPr>
          <w:rFonts w:ascii="Times" w:hAnsi="Times"/>
          <w:sz w:val="24"/>
          <w:szCs w:val="24"/>
          <w:lang w:val="en-GB"/>
        </w:rPr>
      </w:pPr>
    </w:p>
    <w:p w14:paraId="1C2A97D6" w14:textId="77777777" w:rsidR="000226CE" w:rsidRDefault="000226CE" w:rsidP="000226CE">
      <w:pPr>
        <w:spacing w:line="276" w:lineRule="auto"/>
        <w:contextualSpacing/>
        <w:rPr>
          <w:rFonts w:ascii="Times" w:eastAsia="Arial" w:hAnsi="Times" w:cs="Arial"/>
          <w:lang w:val="en-GB" w:eastAsia="en-US"/>
        </w:rPr>
      </w:pPr>
      <w:r>
        <w:rPr>
          <w:rFonts w:ascii="Times" w:hAnsi="Times"/>
          <w:lang w:val="en-GB"/>
        </w:rPr>
        <w:br w:type="page"/>
      </w:r>
    </w:p>
    <w:p w14:paraId="5A8A7319" w14:textId="262ABB1A" w:rsidR="000226CE" w:rsidRPr="00653DB1" w:rsidRDefault="000226CE" w:rsidP="000226CE">
      <w:pPr>
        <w:pStyle w:val="Normal1"/>
        <w:rPr>
          <w:rFonts w:ascii="Times" w:hAnsi="Times"/>
          <w:sz w:val="24"/>
          <w:szCs w:val="24"/>
          <w:lang w:val="en-GB"/>
        </w:rPr>
      </w:pPr>
      <w:r>
        <w:rPr>
          <w:rFonts w:ascii="Times" w:hAnsi="Times"/>
          <w:sz w:val="24"/>
          <w:lang w:val="en-GB"/>
        </w:rPr>
        <w:lastRenderedPageBreak/>
        <w:t>Appendix A.5</w:t>
      </w:r>
      <w:r w:rsidRPr="08E0A412">
        <w:rPr>
          <w:rFonts w:ascii="Times" w:hAnsi="Times"/>
          <w:sz w:val="24"/>
          <w:szCs w:val="24"/>
          <w:lang w:val="en-GB"/>
        </w:rPr>
        <w:t>. Funnel plot – post acquisition testing</w:t>
      </w:r>
    </w:p>
    <w:p w14:paraId="0C6E5F53" w14:textId="09AA100D" w:rsidR="000226CE" w:rsidRDefault="00B848E8" w:rsidP="000226CE">
      <w:pPr>
        <w:pStyle w:val="Normal1"/>
        <w:rPr>
          <w:rFonts w:ascii="Times" w:hAnsi="Times"/>
          <w:sz w:val="24"/>
          <w:szCs w:val="24"/>
          <w:lang w:val="en-GB"/>
        </w:rPr>
      </w:pPr>
      <w:r>
        <w:rPr>
          <w:rFonts w:ascii="Times" w:hAnsi="Times"/>
          <w:noProof/>
          <w:sz w:val="24"/>
          <w:szCs w:val="24"/>
          <w:lang w:val="en-GB"/>
        </w:rPr>
        <w:drawing>
          <wp:inline distT="0" distB="0" distL="0" distR="0" wp14:anchorId="5C366723" wp14:editId="522C7A3B">
            <wp:extent cx="5943600" cy="5943600"/>
            <wp:effectExtent l="0" t="0" r="0" b="0"/>
            <wp:docPr id="984395307" name="Picture 2" descr="A graph with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395307" name="Picture 2" descr="A graph with black and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BB372" w14:textId="77777777" w:rsidR="000226CE" w:rsidRDefault="000226CE" w:rsidP="000226CE">
      <w:pPr>
        <w:spacing w:line="276" w:lineRule="auto"/>
        <w:contextualSpacing/>
        <w:rPr>
          <w:rFonts w:ascii="Times" w:eastAsia="Arial" w:hAnsi="Times" w:cs="Arial"/>
          <w:szCs w:val="22"/>
          <w:lang w:val="en-GB" w:eastAsia="en-US"/>
        </w:rPr>
      </w:pPr>
      <w:r>
        <w:rPr>
          <w:rFonts w:ascii="Times" w:hAnsi="Times"/>
          <w:lang w:val="en-GB"/>
        </w:rPr>
        <w:br w:type="page"/>
      </w:r>
    </w:p>
    <w:p w14:paraId="502FCA0B" w14:textId="77777777" w:rsidR="000226CE" w:rsidRPr="00653DB1" w:rsidRDefault="000226CE" w:rsidP="000226CE">
      <w:pPr>
        <w:pStyle w:val="Normal1"/>
        <w:rPr>
          <w:rFonts w:ascii="Times" w:hAnsi="Times"/>
          <w:sz w:val="24"/>
          <w:szCs w:val="24"/>
          <w:lang w:val="en-GB"/>
        </w:rPr>
      </w:pPr>
      <w:r>
        <w:rPr>
          <w:rFonts w:ascii="Times" w:hAnsi="Times"/>
          <w:sz w:val="24"/>
          <w:lang w:val="en-GB"/>
        </w:rPr>
        <w:lastRenderedPageBreak/>
        <w:t>Appendix A.6</w:t>
      </w:r>
      <w:r w:rsidRPr="08E0A412">
        <w:rPr>
          <w:rFonts w:ascii="Times" w:hAnsi="Times"/>
          <w:sz w:val="24"/>
          <w:szCs w:val="24"/>
          <w:lang w:val="en-GB"/>
        </w:rPr>
        <w:t xml:space="preserve">. </w:t>
      </w:r>
      <w:proofErr w:type="spellStart"/>
      <w:r w:rsidRPr="08E0A412">
        <w:rPr>
          <w:rFonts w:ascii="Times" w:hAnsi="Times"/>
          <w:sz w:val="24"/>
          <w:szCs w:val="24"/>
          <w:lang w:val="en-GB"/>
        </w:rPr>
        <w:t>Netleague</w:t>
      </w:r>
      <w:proofErr w:type="spellEnd"/>
      <w:r w:rsidRPr="08E0A412">
        <w:rPr>
          <w:rFonts w:ascii="Times" w:hAnsi="Times"/>
          <w:sz w:val="24"/>
          <w:szCs w:val="24"/>
          <w:lang w:val="en-GB"/>
        </w:rPr>
        <w:t xml:space="preserve"> table – retention testing</w:t>
      </w:r>
    </w:p>
    <w:p w14:paraId="5466F996" w14:textId="77777777" w:rsidR="000226CE" w:rsidRPr="00653DB1" w:rsidRDefault="000226CE" w:rsidP="000226CE">
      <w:pPr>
        <w:pStyle w:val="Normal1"/>
        <w:rPr>
          <w:rFonts w:ascii="Times" w:hAnsi="Times"/>
          <w:sz w:val="24"/>
          <w:szCs w:val="24"/>
          <w:lang w:val="en-GB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40"/>
        <w:gridCol w:w="1245"/>
        <w:gridCol w:w="1755"/>
        <w:gridCol w:w="1230"/>
        <w:gridCol w:w="1710"/>
        <w:gridCol w:w="1230"/>
      </w:tblGrid>
      <w:tr w:rsidR="000226CE" w14:paraId="38E1B638" w14:textId="77777777" w:rsidTr="006C3285">
        <w:trPr>
          <w:trHeight w:val="165"/>
        </w:trPr>
        <w:tc>
          <w:tcPr>
            <w:tcW w:w="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1E2E3" w14:textId="77777777" w:rsidR="000226CE" w:rsidRDefault="000226CE" w:rsidP="006C3285">
            <w:r>
              <w:br/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E9C773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5"/>
                <w:szCs w:val="15"/>
              </w:rPr>
              <w:t>V1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956E55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5"/>
                <w:szCs w:val="15"/>
              </w:rPr>
              <w:t>V2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B66767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5"/>
                <w:szCs w:val="15"/>
              </w:rPr>
              <w:t>V3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9C0ED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5"/>
                <w:szCs w:val="15"/>
              </w:rPr>
              <w:t>V4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5AE3CC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5"/>
                <w:szCs w:val="15"/>
              </w:rPr>
              <w:t>V5</w:t>
            </w:r>
          </w:p>
        </w:tc>
      </w:tr>
      <w:tr w:rsidR="000226CE" w14:paraId="0396DE6A" w14:textId="77777777" w:rsidTr="006C3285">
        <w:trPr>
          <w:trHeight w:val="180"/>
        </w:trPr>
        <w:tc>
          <w:tcPr>
            <w:tcW w:w="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184EA8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8E7021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Control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706772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-0.20 (-1.</w:t>
            </w:r>
            <w:proofErr w:type="gramStart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00;  0.60</w:t>
            </w:r>
            <w:proofErr w:type="gramEnd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68DE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CC811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0.52 (-0.</w:t>
            </w:r>
            <w:proofErr w:type="gramStart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29;  1.33</w:t>
            </w:r>
            <w:proofErr w:type="gramEnd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C40F97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.</w:t>
            </w:r>
          </w:p>
        </w:tc>
      </w:tr>
      <w:tr w:rsidR="000226CE" w14:paraId="31743896" w14:textId="77777777" w:rsidTr="006C3285">
        <w:trPr>
          <w:trHeight w:val="165"/>
        </w:trPr>
        <w:tc>
          <w:tcPr>
            <w:tcW w:w="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DF31B8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335F1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-0.12 (-0.</w:t>
            </w:r>
            <w:proofErr w:type="gramStart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84;  0.60</w:t>
            </w:r>
            <w:proofErr w:type="gramEnd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906B6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External focus of attention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435BBE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-0.21 (-1.</w:t>
            </w:r>
            <w:proofErr w:type="gramStart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16;  0.74</w:t>
            </w:r>
            <w:proofErr w:type="gramEnd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2369F5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 xml:space="preserve">0.56 </w:t>
            </w:r>
            <w:proofErr w:type="gramStart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( 0.20</w:t>
            </w:r>
            <w:proofErr w:type="gramEnd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;  0.92)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A49EFD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-0.29 (-1.</w:t>
            </w:r>
            <w:proofErr w:type="gramStart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12;  0.53</w:t>
            </w:r>
            <w:proofErr w:type="gramEnd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)</w:t>
            </w:r>
          </w:p>
        </w:tc>
      </w:tr>
      <w:tr w:rsidR="000226CE" w14:paraId="6F7998ED" w14:textId="77777777" w:rsidTr="006C3285">
        <w:trPr>
          <w:trHeight w:val="165"/>
        </w:trPr>
        <w:tc>
          <w:tcPr>
            <w:tcW w:w="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ABA2D1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91FAFA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-0.30 (-1.</w:t>
            </w:r>
            <w:proofErr w:type="gramStart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39;  0.78</w:t>
            </w:r>
            <w:proofErr w:type="gramEnd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561480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-0.18 (-1.</w:t>
            </w:r>
            <w:proofErr w:type="gramStart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03;  0.66</w:t>
            </w:r>
            <w:proofErr w:type="gramEnd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D3782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Holistic focus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275B3C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0.71 (-0.</w:t>
            </w:r>
            <w:proofErr w:type="gramStart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25;  1.68</w:t>
            </w:r>
            <w:proofErr w:type="gramEnd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E3BA94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.</w:t>
            </w:r>
          </w:p>
        </w:tc>
      </w:tr>
      <w:tr w:rsidR="000226CE" w14:paraId="4AA9CAB8" w14:textId="77777777" w:rsidTr="006C3285">
        <w:trPr>
          <w:trHeight w:val="165"/>
        </w:trPr>
        <w:tc>
          <w:tcPr>
            <w:tcW w:w="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ECC225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E0DDA1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0.44 (-0.</w:t>
            </w:r>
            <w:proofErr w:type="gramStart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28;  1.16</w:t>
            </w:r>
            <w:proofErr w:type="gramEnd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A361AC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 xml:space="preserve">0.56 </w:t>
            </w:r>
            <w:proofErr w:type="gramStart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( 0.20</w:t>
            </w:r>
            <w:proofErr w:type="gramEnd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;  0.92)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E6EACF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0.75 (-0.</w:t>
            </w:r>
            <w:proofErr w:type="gramStart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10;  1.60</w:t>
            </w:r>
            <w:proofErr w:type="gramEnd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CAF38C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Internal focus of attention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EE0E5C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-0.20 (-1.</w:t>
            </w:r>
            <w:proofErr w:type="gramStart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02;  0.63</w:t>
            </w:r>
            <w:proofErr w:type="gramEnd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)</w:t>
            </w:r>
          </w:p>
        </w:tc>
      </w:tr>
      <w:tr w:rsidR="000226CE" w14:paraId="07CF4FEF" w14:textId="77777777" w:rsidTr="006C3285">
        <w:trPr>
          <w:trHeight w:val="165"/>
        </w:trPr>
        <w:tc>
          <w:tcPr>
            <w:tcW w:w="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D2D2E0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0DA01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-0.09 (-1.</w:t>
            </w:r>
            <w:proofErr w:type="gramStart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08;  0.91</w:t>
            </w:r>
            <w:proofErr w:type="gramEnd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E83127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0.04 (-0.</w:t>
            </w:r>
            <w:proofErr w:type="gramStart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70;  0.77</w:t>
            </w:r>
            <w:proofErr w:type="gramEnd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2885F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0.22 (-0.</w:t>
            </w:r>
            <w:proofErr w:type="gramStart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88;  1.32</w:t>
            </w:r>
            <w:proofErr w:type="gramEnd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26913B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-0.53 (-1.</w:t>
            </w:r>
            <w:proofErr w:type="gramStart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27;  0.21</w:t>
            </w:r>
            <w:proofErr w:type="gramEnd"/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9E73DB" w14:textId="77777777" w:rsidR="000226CE" w:rsidRDefault="000226CE" w:rsidP="006C3285">
            <w:r w:rsidRPr="08E0A412">
              <w:rPr>
                <w:rFonts w:ascii="Helvetica Neue" w:eastAsia="Helvetica Neue" w:hAnsi="Helvetica Neue" w:cs="Helvetica Neue"/>
                <w:color w:val="000000" w:themeColor="text1"/>
                <w:sz w:val="15"/>
                <w:szCs w:val="15"/>
              </w:rPr>
              <w:t>Switching focus</w:t>
            </w:r>
          </w:p>
        </w:tc>
      </w:tr>
    </w:tbl>
    <w:p w14:paraId="373A4038" w14:textId="77777777" w:rsidR="000226CE" w:rsidRDefault="000226CE" w:rsidP="000226CE">
      <w:pPr>
        <w:pStyle w:val="Normal1"/>
        <w:rPr>
          <w:rFonts w:ascii="Times" w:hAnsi="Times"/>
          <w:sz w:val="24"/>
          <w:szCs w:val="24"/>
          <w:lang w:val="en-GB"/>
        </w:rPr>
      </w:pPr>
    </w:p>
    <w:p w14:paraId="64D18405" w14:textId="2A93BAC3" w:rsidR="004D13D5" w:rsidRPr="004D13D5" w:rsidRDefault="004D13D5" w:rsidP="000226CE">
      <w:pPr>
        <w:pStyle w:val="Normal1"/>
        <w:contextualSpacing w:val="0"/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>NB: Effect estimates and 95%CI from pair-wise comparisons are presented in the upper right triangle. Network effect estimates are presented int the lower left triangle.</w:t>
      </w:r>
    </w:p>
    <w:p w14:paraId="50BE6741" w14:textId="77777777" w:rsidR="000226CE" w:rsidRDefault="000226CE" w:rsidP="000226CE">
      <w:pPr>
        <w:spacing w:line="276" w:lineRule="auto"/>
        <w:contextualSpacing/>
        <w:rPr>
          <w:rFonts w:ascii="Times" w:eastAsia="Arial" w:hAnsi="Times" w:cs="Arial"/>
          <w:szCs w:val="22"/>
          <w:lang w:val="en-GB" w:eastAsia="en-US"/>
        </w:rPr>
      </w:pPr>
      <w:r>
        <w:rPr>
          <w:rFonts w:ascii="Times" w:hAnsi="Times"/>
          <w:lang w:val="en-GB"/>
        </w:rPr>
        <w:br w:type="page"/>
      </w:r>
    </w:p>
    <w:p w14:paraId="338C0A52" w14:textId="77777777" w:rsidR="000226CE" w:rsidRPr="00653DB1" w:rsidRDefault="000226CE" w:rsidP="000226CE">
      <w:pPr>
        <w:pStyle w:val="Normal1"/>
        <w:rPr>
          <w:rFonts w:ascii="Times" w:hAnsi="Times"/>
          <w:sz w:val="24"/>
          <w:szCs w:val="24"/>
          <w:lang w:val="en-GB"/>
        </w:rPr>
      </w:pPr>
      <w:r>
        <w:rPr>
          <w:rFonts w:ascii="Times" w:hAnsi="Times"/>
          <w:sz w:val="24"/>
          <w:lang w:val="en-GB"/>
        </w:rPr>
        <w:lastRenderedPageBreak/>
        <w:t>Appendix A.7</w:t>
      </w:r>
      <w:r w:rsidRPr="08E0A412">
        <w:rPr>
          <w:rFonts w:ascii="Times" w:hAnsi="Times"/>
          <w:sz w:val="24"/>
          <w:szCs w:val="24"/>
          <w:lang w:val="en-GB"/>
        </w:rPr>
        <w:t>. Net splitting – retention testing</w:t>
      </w:r>
    </w:p>
    <w:p w14:paraId="1E74C03C" w14:textId="77777777" w:rsidR="000226CE" w:rsidRPr="00653DB1" w:rsidRDefault="000226CE" w:rsidP="000226CE">
      <w:pPr>
        <w:pStyle w:val="Normal1"/>
        <w:rPr>
          <w:rFonts w:ascii="Times" w:hAnsi="Times"/>
          <w:sz w:val="24"/>
          <w:szCs w:val="24"/>
          <w:lang w:val="en-GB"/>
        </w:rPr>
      </w:pPr>
      <w:r>
        <w:rPr>
          <w:rFonts w:ascii="Times" w:hAnsi="Times"/>
          <w:noProof/>
          <w:sz w:val="24"/>
          <w:szCs w:val="24"/>
          <w:lang w:val="en-GB"/>
        </w:rPr>
        <w:drawing>
          <wp:inline distT="0" distB="0" distL="0" distR="0" wp14:anchorId="35671487" wp14:editId="4E8B47A6">
            <wp:extent cx="5943600" cy="5943600"/>
            <wp:effectExtent l="0" t="0" r="0" b="0"/>
            <wp:docPr id="65764973" name="Grafik 65764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4973" name="Picture 657649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F8C78" w14:textId="77777777" w:rsidR="000226CE" w:rsidRDefault="000226CE" w:rsidP="000226CE">
      <w:pPr>
        <w:pStyle w:val="Normal1"/>
        <w:rPr>
          <w:rFonts w:ascii="Times" w:hAnsi="Times"/>
          <w:sz w:val="24"/>
          <w:lang w:val="en-GB"/>
        </w:rPr>
      </w:pPr>
    </w:p>
    <w:p w14:paraId="09BCCD29" w14:textId="77777777" w:rsidR="000226CE" w:rsidRDefault="000226CE" w:rsidP="000226CE">
      <w:pPr>
        <w:spacing w:line="276" w:lineRule="auto"/>
        <w:contextualSpacing/>
        <w:rPr>
          <w:rFonts w:ascii="Times" w:eastAsia="Arial" w:hAnsi="Times" w:cs="Arial"/>
          <w:szCs w:val="22"/>
          <w:lang w:val="en-GB" w:eastAsia="en-US"/>
        </w:rPr>
      </w:pPr>
      <w:r>
        <w:rPr>
          <w:rFonts w:ascii="Times" w:hAnsi="Times"/>
          <w:lang w:val="en-GB"/>
        </w:rPr>
        <w:br w:type="page"/>
      </w:r>
    </w:p>
    <w:p w14:paraId="2B175139" w14:textId="77777777" w:rsidR="000226CE" w:rsidRDefault="000226CE" w:rsidP="000226CE">
      <w:pPr>
        <w:pStyle w:val="Normal1"/>
        <w:rPr>
          <w:rFonts w:ascii="Times" w:hAnsi="Times"/>
          <w:sz w:val="24"/>
          <w:szCs w:val="24"/>
          <w:lang w:val="en-GB"/>
        </w:rPr>
      </w:pPr>
      <w:r>
        <w:rPr>
          <w:rFonts w:ascii="Times" w:hAnsi="Times"/>
          <w:sz w:val="24"/>
          <w:lang w:val="en-GB"/>
        </w:rPr>
        <w:lastRenderedPageBreak/>
        <w:t>Appendix A.</w:t>
      </w:r>
      <w:r>
        <w:rPr>
          <w:rFonts w:ascii="Times" w:hAnsi="Times"/>
          <w:sz w:val="24"/>
          <w:szCs w:val="24"/>
          <w:lang w:val="en-GB"/>
        </w:rPr>
        <w:t>8. Comparison adjusted funnel plot – retention testing</w:t>
      </w:r>
    </w:p>
    <w:p w14:paraId="3893BB71" w14:textId="77777777" w:rsidR="000226CE" w:rsidRDefault="000226CE" w:rsidP="000226CE">
      <w:pPr>
        <w:pStyle w:val="Normal1"/>
        <w:rPr>
          <w:rFonts w:ascii="Times" w:hAnsi="Times"/>
          <w:sz w:val="24"/>
          <w:szCs w:val="24"/>
          <w:lang w:val="en-GB"/>
        </w:rPr>
      </w:pPr>
      <w:r>
        <w:rPr>
          <w:rFonts w:ascii="Times" w:hAnsi="Times"/>
          <w:noProof/>
          <w:sz w:val="24"/>
          <w:szCs w:val="24"/>
          <w:lang w:val="en-GB"/>
        </w:rPr>
        <w:drawing>
          <wp:inline distT="0" distB="0" distL="0" distR="0" wp14:anchorId="50488585" wp14:editId="09370D78">
            <wp:extent cx="5943600" cy="5943600"/>
            <wp:effectExtent l="0" t="0" r="0" b="0"/>
            <wp:docPr id="2069575380" name="Grafik 206957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575380" name="Picture 20695753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ABFAF" w14:textId="77777777" w:rsidR="000226CE" w:rsidRDefault="000226CE" w:rsidP="000226CE">
      <w:pPr>
        <w:pStyle w:val="Normal1"/>
        <w:rPr>
          <w:rFonts w:ascii="Times" w:hAnsi="Times"/>
          <w:sz w:val="24"/>
          <w:szCs w:val="24"/>
          <w:lang w:val="en-GB"/>
        </w:rPr>
      </w:pPr>
    </w:p>
    <w:p w14:paraId="63E86A0C" w14:textId="77777777" w:rsidR="000226CE" w:rsidRPr="00A14D00" w:rsidRDefault="000226CE" w:rsidP="000226CE">
      <w:pPr>
        <w:spacing w:line="276" w:lineRule="auto"/>
        <w:contextualSpacing/>
        <w:rPr>
          <w:rFonts w:ascii="Times" w:eastAsia="Arial" w:hAnsi="Times" w:cs="Arial"/>
          <w:lang w:val="en-GB" w:eastAsia="en-US"/>
        </w:rPr>
      </w:pPr>
      <w:r>
        <w:rPr>
          <w:rFonts w:ascii="Times" w:hAnsi="Times"/>
          <w:lang w:val="en-GB"/>
        </w:rPr>
        <w:br w:type="page"/>
      </w:r>
    </w:p>
    <w:p w14:paraId="66394784" w14:textId="77777777" w:rsidR="000226CE" w:rsidRDefault="000226CE" w:rsidP="000226CE">
      <w:pPr>
        <w:pStyle w:val="Normal1"/>
        <w:rPr>
          <w:rFonts w:ascii="Times" w:hAnsi="Times"/>
          <w:sz w:val="24"/>
          <w:szCs w:val="24"/>
          <w:lang w:val="en-GB"/>
        </w:rPr>
      </w:pPr>
      <w:r>
        <w:rPr>
          <w:rFonts w:ascii="Times" w:hAnsi="Times"/>
          <w:sz w:val="24"/>
          <w:lang w:val="en-GB"/>
        </w:rPr>
        <w:lastRenderedPageBreak/>
        <w:t>Appendix A.</w:t>
      </w:r>
      <w:r>
        <w:rPr>
          <w:rFonts w:ascii="Times" w:hAnsi="Times"/>
          <w:sz w:val="24"/>
          <w:szCs w:val="24"/>
          <w:lang w:val="en-GB"/>
        </w:rPr>
        <w:t>9</w:t>
      </w:r>
      <w:r w:rsidRPr="08E0A412">
        <w:rPr>
          <w:rFonts w:ascii="Times" w:hAnsi="Times"/>
          <w:sz w:val="24"/>
          <w:szCs w:val="24"/>
          <w:lang w:val="en-GB"/>
        </w:rPr>
        <w:t xml:space="preserve">. </w:t>
      </w:r>
      <w:proofErr w:type="spellStart"/>
      <w:r w:rsidRPr="08E0A412">
        <w:rPr>
          <w:rFonts w:ascii="Times" w:hAnsi="Times"/>
          <w:sz w:val="24"/>
          <w:szCs w:val="24"/>
          <w:lang w:val="en-GB"/>
        </w:rPr>
        <w:t>Netleague</w:t>
      </w:r>
      <w:proofErr w:type="spellEnd"/>
      <w:r w:rsidRPr="08E0A412">
        <w:rPr>
          <w:rFonts w:ascii="Times" w:hAnsi="Times"/>
          <w:sz w:val="24"/>
          <w:szCs w:val="24"/>
          <w:lang w:val="en-GB"/>
        </w:rPr>
        <w:t xml:space="preserve"> table – </w:t>
      </w:r>
      <w:r>
        <w:rPr>
          <w:rFonts w:ascii="Times" w:hAnsi="Times"/>
          <w:sz w:val="24"/>
          <w:szCs w:val="24"/>
          <w:lang w:val="en-GB"/>
        </w:rPr>
        <w:t>transfer</w:t>
      </w:r>
      <w:r w:rsidRPr="08E0A412">
        <w:rPr>
          <w:rFonts w:ascii="Times" w:hAnsi="Times"/>
          <w:sz w:val="24"/>
          <w:szCs w:val="24"/>
          <w:lang w:val="en-GB"/>
        </w:rPr>
        <w:t xml:space="preserve"> testing</w:t>
      </w:r>
    </w:p>
    <w:p w14:paraId="3E798824" w14:textId="77777777" w:rsidR="000226CE" w:rsidRDefault="000226CE" w:rsidP="000226CE">
      <w:pPr>
        <w:pStyle w:val="Normal1"/>
        <w:rPr>
          <w:rFonts w:ascii="Times" w:hAnsi="Times"/>
          <w:sz w:val="24"/>
          <w:szCs w:val="24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"/>
        <w:gridCol w:w="1755"/>
        <w:gridCol w:w="1245"/>
        <w:gridCol w:w="1710"/>
        <w:gridCol w:w="1230"/>
      </w:tblGrid>
      <w:tr w:rsidR="000226CE" w:rsidRPr="006E6D55" w14:paraId="34209086" w14:textId="77777777" w:rsidTr="004D13D5">
        <w:trPr>
          <w:trHeight w:val="165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8AA36" w14:textId="77777777" w:rsidR="000226CE" w:rsidRPr="006E6D55" w:rsidRDefault="000226CE" w:rsidP="006C3285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56D15A" w14:textId="77777777" w:rsidR="000226CE" w:rsidRPr="006E6D55" w:rsidRDefault="000226CE" w:rsidP="006C3285">
            <w:r w:rsidRPr="006E6D55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V1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A4D93" w14:textId="77777777" w:rsidR="000226CE" w:rsidRPr="006E6D55" w:rsidRDefault="000226CE" w:rsidP="006C3285">
            <w:r w:rsidRPr="006E6D55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V2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EDF1C" w14:textId="77777777" w:rsidR="000226CE" w:rsidRPr="006E6D55" w:rsidRDefault="000226CE" w:rsidP="006C3285">
            <w:r w:rsidRPr="006E6D55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V3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225CB" w14:textId="77777777" w:rsidR="000226CE" w:rsidRPr="006E6D55" w:rsidRDefault="000226CE" w:rsidP="006C3285">
            <w:r w:rsidRPr="006E6D55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V4</w:t>
            </w:r>
          </w:p>
        </w:tc>
      </w:tr>
      <w:tr w:rsidR="000226CE" w:rsidRPr="006E6D55" w14:paraId="7E1F6E6D" w14:textId="77777777" w:rsidTr="004D13D5">
        <w:trPr>
          <w:trHeight w:val="180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52BDC" w14:textId="77777777" w:rsidR="000226CE" w:rsidRPr="006E6D55" w:rsidRDefault="000226CE" w:rsidP="006C3285">
            <w:r w:rsidRPr="006E6D55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08631" w14:textId="77777777" w:rsidR="000226CE" w:rsidRPr="006E6D55" w:rsidRDefault="000226CE" w:rsidP="006C3285"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External focus of attention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8D586" w14:textId="77777777" w:rsidR="000226CE" w:rsidRPr="006E6D55" w:rsidRDefault="000226CE" w:rsidP="006C3285"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-0.91 (-1.66; -0.15)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459B5" w14:textId="77777777" w:rsidR="000226CE" w:rsidRPr="006E6D55" w:rsidRDefault="000226CE" w:rsidP="006C3285"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 xml:space="preserve">0.37 </w:t>
            </w:r>
            <w:proofErr w:type="gramStart"/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( 0.03</w:t>
            </w:r>
            <w:proofErr w:type="gramEnd"/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;  0.70)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26167" w14:textId="77777777" w:rsidR="000226CE" w:rsidRPr="006E6D55" w:rsidRDefault="000226CE" w:rsidP="006C3285"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0.04 (-0.</w:t>
            </w:r>
            <w:proofErr w:type="gramStart"/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50;  0.57</w:t>
            </w:r>
            <w:proofErr w:type="gramEnd"/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)</w:t>
            </w:r>
          </w:p>
        </w:tc>
      </w:tr>
      <w:tr w:rsidR="000226CE" w:rsidRPr="006E6D55" w14:paraId="0E801394" w14:textId="77777777" w:rsidTr="004D13D5">
        <w:trPr>
          <w:trHeight w:val="165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C4CC7" w14:textId="77777777" w:rsidR="000226CE" w:rsidRPr="006E6D55" w:rsidRDefault="000226CE" w:rsidP="006C3285">
            <w:r w:rsidRPr="006E6D55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A2777" w14:textId="77777777" w:rsidR="000226CE" w:rsidRPr="006E6D55" w:rsidRDefault="000226CE" w:rsidP="006C3285"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-0.82 (-1.51; -0.12)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8CA6A" w14:textId="77777777" w:rsidR="000226CE" w:rsidRPr="006E6D55" w:rsidRDefault="000226CE" w:rsidP="006C3285"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Holistic focus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9F13E" w14:textId="77777777" w:rsidR="000226CE" w:rsidRPr="006E6D55" w:rsidRDefault="000226CE" w:rsidP="006C3285"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 xml:space="preserve">1.06 </w:t>
            </w:r>
            <w:proofErr w:type="gramStart"/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( 0.29</w:t>
            </w:r>
            <w:proofErr w:type="gramEnd"/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;  1.84)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89BDB" w14:textId="77777777" w:rsidR="000226CE" w:rsidRPr="006E6D55" w:rsidRDefault="000226CE" w:rsidP="006C3285"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.</w:t>
            </w:r>
          </w:p>
        </w:tc>
      </w:tr>
      <w:tr w:rsidR="000226CE" w:rsidRPr="006E6D55" w14:paraId="7BFF901A" w14:textId="77777777" w:rsidTr="004D13D5">
        <w:trPr>
          <w:trHeight w:val="165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BC145" w14:textId="77777777" w:rsidR="000226CE" w:rsidRPr="006E6D55" w:rsidRDefault="000226CE" w:rsidP="006C3285">
            <w:r w:rsidRPr="006E6D55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27039" w14:textId="77777777" w:rsidR="000226CE" w:rsidRPr="006E6D55" w:rsidRDefault="000226CE" w:rsidP="006C3285"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 xml:space="preserve">0.35 </w:t>
            </w:r>
            <w:proofErr w:type="gramStart"/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( 0.02</w:t>
            </w:r>
            <w:proofErr w:type="gramEnd"/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;  0.68)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8813B9" w14:textId="77777777" w:rsidR="000226CE" w:rsidRPr="006E6D55" w:rsidRDefault="000226CE" w:rsidP="006C3285"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 xml:space="preserve">1.16 </w:t>
            </w:r>
            <w:proofErr w:type="gramStart"/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( 0.47</w:t>
            </w:r>
            <w:proofErr w:type="gramEnd"/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;  1.86)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971F4" w14:textId="77777777" w:rsidR="000226CE" w:rsidRPr="006E6D55" w:rsidRDefault="000226CE" w:rsidP="006C3285"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Internal focus of attention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457DFF" w14:textId="77777777" w:rsidR="000226CE" w:rsidRPr="006E6D55" w:rsidRDefault="000226CE" w:rsidP="006C3285"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-0.07 (-0.</w:t>
            </w:r>
            <w:proofErr w:type="gramStart"/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61;  0.48</w:t>
            </w:r>
            <w:proofErr w:type="gramEnd"/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)</w:t>
            </w:r>
          </w:p>
        </w:tc>
      </w:tr>
      <w:tr w:rsidR="000226CE" w:rsidRPr="006E6D55" w14:paraId="6155B3CE" w14:textId="77777777" w:rsidTr="004D13D5">
        <w:trPr>
          <w:trHeight w:val="165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827F0" w14:textId="77777777" w:rsidR="000226CE" w:rsidRPr="006E6D55" w:rsidRDefault="000226CE" w:rsidP="006C3285">
            <w:r w:rsidRPr="006E6D55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0EAA4" w14:textId="77777777" w:rsidR="000226CE" w:rsidRPr="006E6D55" w:rsidRDefault="000226CE" w:rsidP="006C3285"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0.16 (-0.</w:t>
            </w:r>
            <w:proofErr w:type="gramStart"/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34;  0.65</w:t>
            </w:r>
            <w:proofErr w:type="gramEnd"/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68839" w14:textId="77777777" w:rsidR="000226CE" w:rsidRPr="006E6D55" w:rsidRDefault="000226CE" w:rsidP="006C3285"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 xml:space="preserve">0.97 </w:t>
            </w:r>
            <w:proofErr w:type="gramStart"/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( 0.15</w:t>
            </w:r>
            <w:proofErr w:type="gramEnd"/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;  1.79)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4A2BC" w14:textId="77777777" w:rsidR="000226CE" w:rsidRPr="006E6D55" w:rsidRDefault="000226CE" w:rsidP="006C3285"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-0.19 (-0.</w:t>
            </w:r>
            <w:proofErr w:type="gramStart"/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69;  0.31</w:t>
            </w:r>
            <w:proofErr w:type="gramEnd"/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3F0B2" w14:textId="77777777" w:rsidR="000226CE" w:rsidRPr="006E6D55" w:rsidRDefault="000226CE" w:rsidP="006C3285">
            <w:r w:rsidRPr="006E6D55">
              <w:rPr>
                <w:rFonts w:ascii="Helvetica Neue" w:hAnsi="Helvetica Neue"/>
                <w:color w:val="000000"/>
                <w:sz w:val="15"/>
                <w:szCs w:val="15"/>
              </w:rPr>
              <w:t>Switching focus</w:t>
            </w:r>
          </w:p>
        </w:tc>
      </w:tr>
    </w:tbl>
    <w:p w14:paraId="3A033A29" w14:textId="77777777" w:rsidR="004D13D5" w:rsidRDefault="004D13D5" w:rsidP="004D13D5">
      <w:pPr>
        <w:pStyle w:val="Normal1"/>
        <w:contextualSpacing w:val="0"/>
        <w:rPr>
          <w:rFonts w:ascii="Times" w:hAnsi="Times"/>
          <w:sz w:val="24"/>
          <w:lang w:val="en-GB"/>
        </w:rPr>
      </w:pPr>
    </w:p>
    <w:p w14:paraId="37363119" w14:textId="66B18DE2" w:rsidR="000226CE" w:rsidRPr="004D13D5" w:rsidRDefault="004D13D5" w:rsidP="000226CE">
      <w:pPr>
        <w:pStyle w:val="Normal1"/>
        <w:contextualSpacing w:val="0"/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>NB: Effect estimates and 95%CI from pair-wise comparisons are presented in the upper right triangle. Network effect estimates are presented int the lower left triangle.</w:t>
      </w:r>
    </w:p>
    <w:p w14:paraId="35064CD2" w14:textId="77777777" w:rsidR="000226CE" w:rsidRDefault="000226CE" w:rsidP="000226CE">
      <w:pPr>
        <w:spacing w:line="276" w:lineRule="auto"/>
        <w:contextualSpacing/>
        <w:rPr>
          <w:rFonts w:ascii="Times" w:eastAsia="Arial" w:hAnsi="Times" w:cs="Arial"/>
          <w:szCs w:val="22"/>
          <w:lang w:val="en-GB" w:eastAsia="en-US"/>
        </w:rPr>
      </w:pPr>
      <w:r>
        <w:rPr>
          <w:rFonts w:ascii="Times" w:hAnsi="Times"/>
          <w:lang w:val="en-GB"/>
        </w:rPr>
        <w:br w:type="page"/>
      </w:r>
    </w:p>
    <w:p w14:paraId="4DBDEBBB" w14:textId="77777777" w:rsidR="000226CE" w:rsidRDefault="000226CE" w:rsidP="000226CE">
      <w:pPr>
        <w:pStyle w:val="Normal1"/>
        <w:contextualSpacing w:val="0"/>
        <w:rPr>
          <w:rFonts w:ascii="Times" w:hAnsi="Times"/>
          <w:sz w:val="24"/>
          <w:szCs w:val="24"/>
          <w:lang w:val="en-GB"/>
        </w:rPr>
      </w:pPr>
      <w:r>
        <w:rPr>
          <w:rFonts w:ascii="Times" w:hAnsi="Times"/>
          <w:sz w:val="24"/>
          <w:lang w:val="en-GB"/>
        </w:rPr>
        <w:lastRenderedPageBreak/>
        <w:t xml:space="preserve">Appendix A.10. </w:t>
      </w:r>
      <w:r w:rsidRPr="08E0A412">
        <w:rPr>
          <w:rFonts w:ascii="Times" w:hAnsi="Times"/>
          <w:sz w:val="24"/>
          <w:szCs w:val="24"/>
          <w:lang w:val="en-GB"/>
        </w:rPr>
        <w:t xml:space="preserve">Net splitting </w:t>
      </w:r>
      <w:proofErr w:type="gramStart"/>
      <w:r w:rsidRPr="08E0A412">
        <w:rPr>
          <w:rFonts w:ascii="Times" w:hAnsi="Times"/>
          <w:sz w:val="24"/>
          <w:szCs w:val="24"/>
          <w:lang w:val="en-GB"/>
        </w:rPr>
        <w:t xml:space="preserve">– </w:t>
      </w:r>
      <w:r>
        <w:rPr>
          <w:rFonts w:ascii="Times" w:hAnsi="Times"/>
          <w:sz w:val="24"/>
          <w:szCs w:val="24"/>
          <w:lang w:val="en-GB"/>
        </w:rPr>
        <w:t xml:space="preserve"> transfer</w:t>
      </w:r>
      <w:proofErr w:type="gramEnd"/>
      <w:r>
        <w:rPr>
          <w:rFonts w:ascii="Times" w:hAnsi="Times"/>
          <w:sz w:val="24"/>
          <w:szCs w:val="24"/>
          <w:lang w:val="en-GB"/>
        </w:rPr>
        <w:t xml:space="preserve"> testing</w:t>
      </w:r>
    </w:p>
    <w:p w14:paraId="0A093DCD" w14:textId="77777777" w:rsidR="000226CE" w:rsidRPr="00A14D00" w:rsidRDefault="000226CE" w:rsidP="000226CE">
      <w:pPr>
        <w:pStyle w:val="Normal1"/>
        <w:rPr>
          <w:rFonts w:ascii="Times" w:hAnsi="Times"/>
          <w:sz w:val="24"/>
          <w:szCs w:val="24"/>
          <w:lang w:val="en-GB"/>
        </w:rPr>
      </w:pPr>
      <w:r>
        <w:rPr>
          <w:rFonts w:ascii="Times" w:hAnsi="Times"/>
          <w:noProof/>
          <w:sz w:val="24"/>
          <w:szCs w:val="24"/>
          <w:lang w:val="en-GB"/>
        </w:rPr>
        <w:drawing>
          <wp:inline distT="0" distB="0" distL="0" distR="0" wp14:anchorId="200C7961" wp14:editId="19994E57">
            <wp:extent cx="5943600" cy="5943600"/>
            <wp:effectExtent l="0" t="0" r="0" b="0"/>
            <wp:docPr id="1636767251" name="Grafik 1636767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67251" name="Picture 16367672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D4599" w14:textId="1C5B07BB" w:rsidR="0008010F" w:rsidRDefault="0008010F">
      <w:pPr>
        <w:spacing w:line="240" w:lineRule="auto"/>
      </w:pPr>
      <w:r>
        <w:br w:type="page"/>
      </w:r>
    </w:p>
    <w:p w14:paraId="6B44472E" w14:textId="13255AE6" w:rsidR="0008010F" w:rsidRDefault="0008010F">
      <w:r>
        <w:lastRenderedPageBreak/>
        <w:t>Appendix A.11. Sensitivity analysis post-acquisition</w:t>
      </w:r>
    </w:p>
    <w:p w14:paraId="06026B19" w14:textId="77777777" w:rsidR="000E29BF" w:rsidRDefault="000E29BF"/>
    <w:p w14:paraId="212B1BA1" w14:textId="025531E2" w:rsidR="000E29BF" w:rsidRDefault="000E29BF">
      <w:r>
        <w:t xml:space="preserve">In this analysis we excluded the study of Wulf et al (1999) </w:t>
      </w:r>
      <w:proofErr w:type="gramStart"/>
      <w:r>
        <w:t>in order to</w:t>
      </w:r>
      <w:proofErr w:type="gramEnd"/>
      <w:r>
        <w:t xml:space="preserve"> investigate the influence on inconsistency of this study.</w:t>
      </w:r>
    </w:p>
    <w:p w14:paraId="7ED05AFB" w14:textId="77777777" w:rsidR="000E29BF" w:rsidRDefault="000E29BF"/>
    <w:p w14:paraId="32C5A836" w14:textId="1CDD63D6" w:rsidR="006754D0" w:rsidRDefault="006754D0">
      <w:r w:rsidRPr="006754D0">
        <w:drawing>
          <wp:inline distT="0" distB="0" distL="0" distR="0" wp14:anchorId="5EF4C444" wp14:editId="7E48D60C">
            <wp:extent cx="5943600" cy="4187825"/>
            <wp:effectExtent l="0" t="0" r="0" b="3175"/>
            <wp:docPr id="14033380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338097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4D0" w:rsidSect="000226CE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CE"/>
    <w:rsid w:val="000226CE"/>
    <w:rsid w:val="00034E9A"/>
    <w:rsid w:val="0008010F"/>
    <w:rsid w:val="000E29BF"/>
    <w:rsid w:val="002342B1"/>
    <w:rsid w:val="00392017"/>
    <w:rsid w:val="003A4F1A"/>
    <w:rsid w:val="00441B06"/>
    <w:rsid w:val="004D13D5"/>
    <w:rsid w:val="006754D0"/>
    <w:rsid w:val="00721AEE"/>
    <w:rsid w:val="007A7D69"/>
    <w:rsid w:val="00976000"/>
    <w:rsid w:val="009E6B46"/>
    <w:rsid w:val="00A42D51"/>
    <w:rsid w:val="00A95B55"/>
    <w:rsid w:val="00B848E8"/>
    <w:rsid w:val="00BB655F"/>
    <w:rsid w:val="00C85E25"/>
    <w:rsid w:val="00E206B0"/>
    <w:rsid w:val="00F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1847F"/>
  <w15:chartTrackingRefBased/>
  <w15:docId w15:val="{0DA1669D-B025-8347-8C0A-83F9BF08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6CE"/>
    <w:pPr>
      <w:spacing w:line="360" w:lineRule="auto"/>
    </w:pPr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226CE"/>
    <w:pPr>
      <w:spacing w:line="276" w:lineRule="auto"/>
      <w:contextualSpacing/>
    </w:pPr>
    <w:rPr>
      <w:rFonts w:ascii="Arial" w:eastAsia="Arial" w:hAnsi="Arial" w:cs="Arial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0226CE"/>
    <w:rPr>
      <w:sz w:val="16"/>
      <w:szCs w:val="16"/>
    </w:rPr>
  </w:style>
  <w:style w:type="paragraph" w:customStyle="1" w:styleId="paragraph">
    <w:name w:val="paragraph"/>
    <w:basedOn w:val="Normal"/>
    <w:rsid w:val="000226CE"/>
    <w:pPr>
      <w:spacing w:before="100" w:beforeAutospacing="1" w:after="100" w:afterAutospacing="1" w:line="240" w:lineRule="auto"/>
    </w:pPr>
    <w:rPr>
      <w:lang w:val="en-CH"/>
    </w:rPr>
  </w:style>
  <w:style w:type="character" w:customStyle="1" w:styleId="normaltextrun">
    <w:name w:val="normaltextrun"/>
    <w:basedOn w:val="DefaultParagraphFont"/>
    <w:rsid w:val="000226CE"/>
  </w:style>
  <w:style w:type="character" w:customStyle="1" w:styleId="eop">
    <w:name w:val="eop"/>
    <w:basedOn w:val="DefaultParagraphFont"/>
    <w:rsid w:val="000226CE"/>
  </w:style>
  <w:style w:type="character" w:customStyle="1" w:styleId="scxw106185713">
    <w:name w:val="scxw106185713"/>
    <w:basedOn w:val="DefaultParagraphFont"/>
    <w:rsid w:val="000226CE"/>
  </w:style>
  <w:style w:type="character" w:styleId="LineNumber">
    <w:name w:val="line number"/>
    <w:basedOn w:val="DefaultParagraphFont"/>
    <w:uiPriority w:val="99"/>
    <w:semiHidden/>
    <w:unhideWhenUsed/>
    <w:rsid w:val="000226CE"/>
  </w:style>
  <w:style w:type="paragraph" w:styleId="NormalWeb">
    <w:name w:val="Normal (Web)"/>
    <w:basedOn w:val="Normal"/>
    <w:uiPriority w:val="99"/>
    <w:semiHidden/>
    <w:unhideWhenUsed/>
    <w:rsid w:val="009E6B46"/>
    <w:pPr>
      <w:spacing w:before="100" w:beforeAutospacing="1" w:after="100" w:afterAutospacing="1" w:line="240" w:lineRule="auto"/>
    </w:pPr>
    <w:rPr>
      <w:lang w:val="en-CH"/>
    </w:rPr>
  </w:style>
  <w:style w:type="character" w:customStyle="1" w:styleId="apple-converted-space">
    <w:name w:val="apple-converted-space"/>
    <w:basedOn w:val="DefaultParagraphFont"/>
    <w:rsid w:val="0023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tinsattelmayer/Library/Group%20Containers/UBF8T346G9.Office/User%20Content.localized/Templates.localized/Research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Research 2022.dotx</Template>
  <TotalTime>15</TotalTime>
  <Pages>13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Sattelmayer Martin</cp:lastModifiedBy>
  <cp:revision>4</cp:revision>
  <dcterms:created xsi:type="dcterms:W3CDTF">2024-06-13T06:29:00Z</dcterms:created>
  <dcterms:modified xsi:type="dcterms:W3CDTF">2024-06-13T07:25:00Z</dcterms:modified>
</cp:coreProperties>
</file>