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lang w:val="en-US" w:eastAsia="zh-CN"/>
        </w:rPr>
        <w:br w:type="page"/>
      </w:r>
      <w:r>
        <w:rPr>
          <w:rFonts w:hint="eastAsia" w:ascii="Times New Roman" w:hAnsi="Times New Roman" w:cs="Times New Roman"/>
          <w:b/>
          <w:bCs/>
          <w:i w:val="0"/>
          <w:iCs w:val="0"/>
          <w:lang w:val="en-US" w:eastAsia="zh-CN"/>
        </w:rPr>
        <w:t>Table S1 D</w:t>
      </w:r>
      <w:r>
        <w:rPr>
          <w:rFonts w:hint="eastAsia" w:ascii="Times New Roman" w:hAnsi="Times New Roman" w:cs="Times New Roman"/>
          <w:b/>
          <w:bCs/>
          <w:i w:val="0"/>
          <w:iCs w:val="0"/>
          <w:vertAlign w:val="baseline"/>
          <w:lang w:val="en-US" w:eastAsia="zh-CN"/>
        </w:rPr>
        <w:t xml:space="preserve">efinition of Expert or amateur group.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2684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  <w:t>Professional level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  <w:t>Expert group definition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vertAlign w:val="baseline"/>
                <w:lang w:val="en-US" w:eastAsia="zh-CN"/>
              </w:rPr>
              <w:t>Amateur group definition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lang w:val="en-US" w:eastAsia="zh-CN"/>
              </w:rPr>
              <w:t>professionals vs. Amateurs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Experts were either registered professional players, part of an organized team (Regardless of their ranking).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Non-professional players, ranked below the top 1%.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lang w:val="en-US" w:eastAsia="zh-CN"/>
              </w:rPr>
              <w:t>high-ranked vs.Amateurs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high-ranked non-professional players (top 1%).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Non-professional players, ranked below the top 1%.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S2 </w:t>
      </w:r>
      <w:r>
        <w:rPr>
          <w:rFonts w:ascii="Times New Roman" w:hAnsi="Times New Roman" w:cs="Times New Roman"/>
          <w:b/>
          <w:bCs/>
        </w:rPr>
        <w:t>Inclusion and exclusion criteria of meta-analysis.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364"/>
        <w:gridCol w:w="35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Inclusion criteria</w:t>
            </w:r>
          </w:p>
        </w:tc>
        <w:tc>
          <w:tcPr>
            <w:tcW w:w="3527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Exclusion criteria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1.Player Qualifications: experts</w:t>
            </w:r>
          </w:p>
        </w:tc>
        <w:tc>
          <w:tcPr>
            <w:tcW w:w="33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Experts were either registered professional players, part of an organized team, or high-ranked non-professional players. </w:t>
            </w:r>
            <w:r>
              <w:rPr>
                <w:rFonts w:hint="eastAsia"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</w:rPr>
              <w:t>top 1%.</w:t>
            </w:r>
          </w:p>
        </w:tc>
        <w:tc>
          <w:tcPr>
            <w:tcW w:w="3527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Experts were only defined without ranking information or professional qualifications</w:t>
            </w:r>
            <w:r>
              <w:rPr>
                <w:rFonts w:hint="eastAsia"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e.g. self-created questions or game experience.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2.Player Qualifications: amateurs</w:t>
            </w:r>
          </w:p>
        </w:tc>
        <w:tc>
          <w:tcPr>
            <w:tcW w:w="336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Amateurs had never played in tournaments and possessed lower  rankings than experts.</w:t>
            </w:r>
          </w:p>
        </w:tc>
        <w:tc>
          <w:tcPr>
            <w:tcW w:w="35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Novice with no game experience.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3.Game genre</w:t>
            </w:r>
          </w:p>
        </w:tc>
        <w:tc>
          <w:tcPr>
            <w:tcW w:w="336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competitive video game with open tournaments, including FPS, TPS, RTS, Fight games, Sports games,  MOBA, Mobile, or other game genre</w:t>
            </w:r>
            <w:r>
              <w:rPr>
                <w:rFonts w:hint="eastAsia"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e.g. Hearthstone </w:t>
            </w:r>
          </w:p>
        </w:tc>
        <w:tc>
          <w:tcPr>
            <w:tcW w:w="3527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Casual games or gams have no open tournaments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4.Cognitive indicators</w:t>
            </w:r>
          </w:p>
        </w:tc>
        <w:tc>
          <w:tcPr>
            <w:tcW w:w="336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Employed at least one paradiam to assess cognitive abilities, also including simple reaction time or motor control.</w:t>
            </w:r>
          </w:p>
        </w:tc>
        <w:tc>
          <w:tcPr>
            <w:tcW w:w="35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investigated vision or gaze behavior.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5.Research topics</w:t>
            </w:r>
          </w:p>
        </w:tc>
        <w:tc>
          <w:tcPr>
            <w:tcW w:w="336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Compared the experts’ cognitive abilities with amateurs.</w:t>
            </w:r>
          </w:p>
        </w:tc>
        <w:tc>
          <w:tcPr>
            <w:tcW w:w="35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Compared experts solely with novices. Game intervention studies.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6.Other</w:t>
            </w:r>
          </w:p>
        </w:tc>
        <w:tc>
          <w:tcPr>
            <w:tcW w:w="336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Full-text articles with versions available English or other languages.</w:t>
            </w:r>
          </w:p>
        </w:tc>
        <w:tc>
          <w:tcPr>
            <w:tcW w:w="35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Statistics are incomplete. No response from emails.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15" w:lineRule="atLeast"/>
        <w:ind w:left="0" w:right="0"/>
        <w:textAlignment w:val="auto"/>
        <w:outlineLvl w:val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Table S3 Esports games classification</w:t>
      </w:r>
      <w:bookmarkStart w:id="0" w:name="_GoBack"/>
      <w:bookmarkEnd w:id="0"/>
    </w:p>
    <w:tbl>
      <w:tblPr>
        <w:tblStyle w:val="3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16"/>
        <w:gridCol w:w="560"/>
        <w:gridCol w:w="2894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Game genre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hooting games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Benoit et al., 2020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OW, CS, COD,Rainbow 6, PUBG, Battlefield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Cretenoud et al., 2021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trategy games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Ding et al., 2018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Gao, 2018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 et al., 2023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 et al., 2020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Röhlcke et al., 2018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DOTA2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Valls-Serrano et al.,2022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 games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Wang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LOL,PUBG, PUBG: Mobile, Aritifact,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Popkart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Bickmann et al., 2021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MOBA, FPS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Ferm &amp; Galle, 2013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LOL; CSGO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Kang et al., 2020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LOL, OW,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Pluss et al., 2020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LOL,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 games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Tanaka et al., 2013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Guilty Gear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Phillips &amp; Green, 2023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Fighting; Rhythm Games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outlineLvl w:val="9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Notes: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OW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Overwatch,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CS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Counter-Strike,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CSGO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Counter-Strike: Global Offensive, COD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Call of Duty,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PUBG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: PlayerUnknown's Battlegrounds,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LOL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League of Legends, HOS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  <w:t>Heroes of the Storm,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Popkart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  <w:t>Crazyracing Kartrider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outlineLvl w:val="9"/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Table </w:t>
      </w: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 xml:space="preserve">S4 </w:t>
      </w:r>
      <w:r>
        <w:rPr>
          <w:rFonts w:ascii="Times New Roman" w:hAnsi="Times New Roman" w:cs="Times New Roman"/>
          <w:b/>
          <w:bCs/>
          <w:highlight w:val="none"/>
        </w:rPr>
        <w:t>Cognitive Test Categories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5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classification</w:t>
            </w:r>
          </w:p>
        </w:tc>
        <w:tc>
          <w:tcPr>
            <w:tcW w:w="5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Paradigm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1.perception</w:t>
            </w:r>
          </w:p>
        </w:tc>
        <w:tc>
          <w:tcPr>
            <w:tcW w:w="57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Freiburg visual acuity, Time perception...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2.bottom-up attention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Simple reaction time, visual search, Sustained attention...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3.top-down attention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Antisaccade task, Attention blind task, Multiple-object tracking...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4.spatial cognition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Visual Working Memory Task, Mental Rotation...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5.task-switching/multitasking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Number-Letter Task, D-KEFS Color-Word Switching...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6.inhibition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Stop Signal Task, Flanker, Go/No-go...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7.problem solving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Tower of London, WAIS-IV Visual Puzzles...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8.verbal cognition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verbal cognition,WAIS-IV Digit Span...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9.motor control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 dexterity, Pursuit Rotor...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S5 </w:t>
      </w:r>
      <w:r>
        <w:rPr>
          <w:rFonts w:ascii="Times New Roman" w:hAnsi="Times New Roman" w:cs="Times New Roman"/>
          <w:b/>
          <w:bCs/>
        </w:rPr>
        <w:t>Boolean expression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</w:t>
            </w:r>
          </w:p>
        </w:tc>
        <w:tc>
          <w:tcPr>
            <w:tcW w:w="6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Boolean expression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Experts participants</w:t>
            </w:r>
          </w:p>
        </w:tc>
        <w:tc>
          <w:tcPr>
            <w:tcW w:w="652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experts OR professional players OR top players OR elite players OR gamers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abilities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cognition OR cognitive OR perception OR perceptual OR attention OR attentional OR working memory OR executive function OR executive control OR inhibition OR task switching OR multitasking OR Multiple-Object Tracking OR processing speed OR reasoning OR planning OR problem solving OR decision making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Games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game OR esports OR computer game OR Mobile game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i w:val="0"/>
          <w:iCs w:val="0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Data from getdata</w:t>
      </w:r>
    </w:p>
    <w:tbl>
      <w:tblPr>
        <w:tblStyle w:val="3"/>
        <w:tblW w:w="793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760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 from getdata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Data in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Benoit et al., 2020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Bickmann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Cretenoud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Ding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Ferm &amp; Galle,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Gao,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 et al.,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Phillips &amp; Green,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Pluss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Röhlcke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Tanaka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Valls-Serrano et al.,2022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Wang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11.97%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7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Leave one out analysis.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45"/>
        <w:gridCol w:w="1752"/>
        <w:gridCol w:w="20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ID</w:t>
            </w:r>
          </w:p>
        </w:tc>
        <w:tc>
          <w:tcPr>
            <w:tcW w:w="2345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Study</w:t>
            </w:r>
          </w:p>
        </w:tc>
        <w:tc>
          <w:tcPr>
            <w:tcW w:w="1752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Effect size change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Benoit et al., 2020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0.017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Bickmann et al., 2021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0.030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.889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Cretenoud et al.,2021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0.048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.819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Ding et al., 2018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0.019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Ferm &amp; Galle., 2013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0.027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Gao, 2018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0.054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.796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Kang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et al., 2020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0.006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Kim et al., 2022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0.007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 et al., 2020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0.003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Pluss et al., 2020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0.008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Phillips &amp; Green, 2023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0.046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.829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hlcke et al., 2018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0.022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Tanaka et al., 2013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0.126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.469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Wang et al., 2022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0.006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Valls-Serrano et al., 2022</w:t>
            </w:r>
          </w:p>
        </w:tc>
        <w:tc>
          <w:tcPr>
            <w:tcW w:w="1752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0.010</w:t>
            </w:r>
          </w:p>
        </w:tc>
        <w:tc>
          <w:tcPr>
            <w:tcW w:w="2037" w:type="dxa"/>
            <w:vAlign w:val="center"/>
          </w:tcPr>
          <w:p>
            <w:pPr>
              <w:ind w:firstLine="420"/>
              <w:jc w:val="left"/>
              <w:outlineLvl w:val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  <w:lang w:bidi="ar"/>
              </w:rPr>
              <w:t>.963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S8 </w:t>
      </w:r>
      <w:r>
        <w:rPr>
          <w:rFonts w:ascii="Times New Roman" w:hAnsi="Times New Roman" w:cs="Times New Roman"/>
          <w:b/>
          <w:bCs/>
        </w:rPr>
        <w:t>Risk of bias.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196"/>
        <w:gridCol w:w="1294"/>
        <w:gridCol w:w="1296"/>
        <w:gridCol w:w="1161"/>
        <w:gridCol w:w="1045"/>
        <w:gridCol w:w="13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Risk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of bias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Selection of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participants</w:t>
            </w:r>
          </w:p>
        </w:tc>
        <w:tc>
          <w:tcPr>
            <w:tcW w:w="1294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Measurement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of exposure</w:t>
            </w:r>
          </w:p>
        </w:tc>
        <w:tc>
          <w:tcPr>
            <w:tcW w:w="1296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Blinding of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outcome assessments</w:t>
            </w:r>
          </w:p>
        </w:tc>
        <w:tc>
          <w:tcPr>
            <w:tcW w:w="1161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Incomplete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outcome data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Selective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outcome reporting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Confounding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</w:t>
            </w:r>
          </w:p>
        </w:tc>
        <w:tc>
          <w:tcPr>
            <w:tcW w:w="11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32%</w:t>
            </w:r>
          </w:p>
        </w:tc>
        <w:tc>
          <w:tcPr>
            <w:tcW w:w="1294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2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161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9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19%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15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32%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8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Unclear</w:t>
            </w:r>
          </w:p>
        </w:tc>
        <w:tc>
          <w:tcPr>
            <w:tcW w:w="11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294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15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41%</w:t>
            </w:r>
          </w:p>
        </w:tc>
        <w:tc>
          <w:tcPr>
            <w:tcW w:w="12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11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30%</w:t>
            </w:r>
          </w:p>
        </w:tc>
        <w:tc>
          <w:tcPr>
            <w:tcW w:w="1161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6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16%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14%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</w:t>
            </w:r>
          </w:p>
        </w:tc>
        <w:tc>
          <w:tcPr>
            <w:tcW w:w="11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294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296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67%</w:t>
            </w:r>
          </w:p>
        </w:tc>
        <w:tc>
          <w:tcPr>
            <w:tcW w:w="1161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0%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  <w:lang w:eastAsia="zh-CN" w:bidi="ar"/>
              </w:rPr>
              <w:t>: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  <w:lang w:bidi="ar"/>
              </w:rPr>
              <w:t>33%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15" w:lineRule="atLeast"/>
        <w:ind w:left="0" w:right="0"/>
        <w:jc w:val="center"/>
        <w:outlineLvl w:val="9"/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  <w:drawing>
          <wp:inline distT="0" distB="0" distL="114300" distR="114300">
            <wp:extent cx="3627120" cy="4349750"/>
            <wp:effectExtent l="0" t="0" r="5080" b="6350"/>
            <wp:docPr id="1" name="图片 1" descr="reg_age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g_age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15" w:lineRule="atLeast"/>
        <w:ind w:left="0" w:right="0"/>
        <w:textAlignment w:val="auto"/>
        <w:outlineLvl w:val="0"/>
        <w:rPr>
          <w:rFonts w:hint="default" w:ascii="Times New Roman" w:hAnsi="Times New Roman" w:cs="Times New Roman"/>
          <w:b w:val="0"/>
          <w:bCs w:val="0"/>
          <w:i w:val="0"/>
          <w:i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lang w:val="en-US" w:eastAsia="zh-CN"/>
        </w:rPr>
        <w:t>Fig.S1.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lang w:val="en-US" w:eastAsia="zh-CN"/>
        </w:rPr>
        <w:t xml:space="preserve"> Regression analysis of the age of experts and amateurs on cognitive expertise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k5MTE2OTk2NjkxNTMwMDJlYWEzNDI3ZGNmZDIifQ=="/>
  </w:docVars>
  <w:rsids>
    <w:rsidRoot w:val="00000000"/>
    <w:rsid w:val="0887371F"/>
    <w:rsid w:val="0D523741"/>
    <w:rsid w:val="12DF2E68"/>
    <w:rsid w:val="231063F4"/>
    <w:rsid w:val="23834981"/>
    <w:rsid w:val="28071C95"/>
    <w:rsid w:val="2B8653D7"/>
    <w:rsid w:val="2E143D75"/>
    <w:rsid w:val="31FF0426"/>
    <w:rsid w:val="34C0570C"/>
    <w:rsid w:val="43DE6DD5"/>
    <w:rsid w:val="44D41C26"/>
    <w:rsid w:val="46C36B78"/>
    <w:rsid w:val="4855572C"/>
    <w:rsid w:val="4B245A0A"/>
    <w:rsid w:val="53195917"/>
    <w:rsid w:val="579D734D"/>
    <w:rsid w:val="5DA547A2"/>
    <w:rsid w:val="6EBD42A3"/>
    <w:rsid w:val="702754DC"/>
    <w:rsid w:val="74A54C22"/>
    <w:rsid w:val="750A39A9"/>
    <w:rsid w:val="7BE009BA"/>
    <w:rsid w:val="7CAF4890"/>
    <w:rsid w:val="7F7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三线表"/>
    <w:basedOn w:val="3"/>
    <w:autoRedefine/>
    <w:qFormat/>
    <w:uiPriority w:val="99"/>
    <w:rPr>
      <w:rFonts w:asciiTheme="minorHAnsi" w:hAnsiTheme="minorHAnsi" w:cstheme="minorBidi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728</Words>
  <Characters>3921</Characters>
  <Lines>0</Lines>
  <Paragraphs>0</Paragraphs>
  <TotalTime>3</TotalTime>
  <ScaleCrop>false</ScaleCrop>
  <LinksUpToDate>false</LinksUpToDate>
  <CharactersWithSpaces>4401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2024-01-25T12:31:00Z</dcterms:created>
  <dc:creator>psymh</dc:creator>
  <cp:lastModifiedBy>Leo</cp:lastModifiedBy>
  <dcterms:modified xsi:type="dcterms:W3CDTF">2024-06-27T09:05:46Z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50F0C1C50A3B4CC2AA9E3573724A55E6_12</vt:lpwstr>
  </property>
</Properties>
</file>