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DD98" w14:textId="548ED4CE" w:rsidR="00D24F07" w:rsidRPr="00D24F07" w:rsidRDefault="00D24F07" w:rsidP="00E33501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D24F07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14F42E15" w14:textId="0686B5C9" w:rsidR="00D24F07" w:rsidRDefault="00E33501" w:rsidP="00E33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4F07">
        <w:rPr>
          <w:rFonts w:ascii="Times New Roman" w:hAnsi="Times New Roman" w:cs="Times New Roman"/>
          <w:b/>
          <w:bCs/>
          <w:sz w:val="24"/>
          <w:szCs w:val="24"/>
        </w:rPr>
        <w:t>Keywords in document retrieval</w:t>
      </w:r>
    </w:p>
    <w:p w14:paraId="78F8966A" w14:textId="77777777" w:rsidR="00D24F07" w:rsidRPr="00D24F07" w:rsidRDefault="00D24F07" w:rsidP="00E33501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tbl>
      <w:tblPr>
        <w:tblStyle w:val="a7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E33501" w:rsidRPr="00D24F07" w14:paraId="41D106ED" w14:textId="77777777" w:rsidTr="00D24F07">
        <w:tc>
          <w:tcPr>
            <w:tcW w:w="3964" w:type="dxa"/>
            <w:vAlign w:val="center"/>
          </w:tcPr>
          <w:p w14:paraId="4B2BAC25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cancer treatment</w:t>
            </w:r>
          </w:p>
        </w:tc>
        <w:tc>
          <w:tcPr>
            <w:tcW w:w="4253" w:type="dxa"/>
            <w:vAlign w:val="center"/>
          </w:tcPr>
          <w:p w14:paraId="6577D91C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</w:p>
        </w:tc>
      </w:tr>
      <w:tr w:rsidR="00E33501" w:rsidRPr="00D24F07" w14:paraId="6D5B7F42" w14:textId="77777777" w:rsidTr="00D24F07">
        <w:tc>
          <w:tcPr>
            <w:tcW w:w="3964" w:type="dxa"/>
            <w:vAlign w:val="center"/>
          </w:tcPr>
          <w:p w14:paraId="0B038054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thermal effects</w:t>
            </w:r>
          </w:p>
        </w:tc>
        <w:tc>
          <w:tcPr>
            <w:tcW w:w="4253" w:type="dxa"/>
            <w:vAlign w:val="center"/>
          </w:tcPr>
          <w:p w14:paraId="205EBBE8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mechanical effect</w:t>
            </w:r>
          </w:p>
        </w:tc>
      </w:tr>
      <w:tr w:rsidR="00E33501" w:rsidRPr="00D24F07" w14:paraId="61A11F90" w14:textId="77777777" w:rsidTr="00D24F07">
        <w:tc>
          <w:tcPr>
            <w:tcW w:w="3964" w:type="dxa"/>
            <w:vAlign w:val="center"/>
          </w:tcPr>
          <w:p w14:paraId="6A2DE7DB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Apoptosis</w:t>
            </w:r>
          </w:p>
        </w:tc>
        <w:tc>
          <w:tcPr>
            <w:tcW w:w="4253" w:type="dxa"/>
            <w:vAlign w:val="center"/>
          </w:tcPr>
          <w:p w14:paraId="7E24B783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Death receptor pathway</w:t>
            </w:r>
          </w:p>
        </w:tc>
      </w:tr>
      <w:tr w:rsidR="00E33501" w:rsidRPr="00D24F07" w14:paraId="5629FB37" w14:textId="77777777" w:rsidTr="00D24F07">
        <w:tc>
          <w:tcPr>
            <w:tcW w:w="3964" w:type="dxa"/>
            <w:vAlign w:val="center"/>
          </w:tcPr>
          <w:p w14:paraId="7D44C4A1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Mitochondrial apoptosis pathway</w:t>
            </w:r>
          </w:p>
        </w:tc>
        <w:tc>
          <w:tcPr>
            <w:tcW w:w="4253" w:type="dxa"/>
            <w:vAlign w:val="center"/>
          </w:tcPr>
          <w:p w14:paraId="52385537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non-cumulative effect</w:t>
            </w:r>
          </w:p>
        </w:tc>
      </w:tr>
      <w:tr w:rsidR="00E33501" w:rsidRPr="00D24F07" w14:paraId="26032E31" w14:textId="77777777" w:rsidTr="00D24F07">
        <w:tc>
          <w:tcPr>
            <w:tcW w:w="3964" w:type="dxa"/>
            <w:vAlign w:val="center"/>
          </w:tcPr>
          <w:p w14:paraId="23975DD3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apoptosis regulators</w:t>
            </w:r>
          </w:p>
        </w:tc>
        <w:tc>
          <w:tcPr>
            <w:tcW w:w="4253" w:type="dxa"/>
            <w:vAlign w:val="center"/>
          </w:tcPr>
          <w:p w14:paraId="00F73043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 xml:space="preserve">high-intensity focused </w:t>
            </w:r>
            <w:proofErr w:type="gramStart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ultrasound(</w:t>
            </w:r>
            <w:proofErr w:type="gramEnd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HIFU)</w:t>
            </w:r>
          </w:p>
        </w:tc>
      </w:tr>
      <w:tr w:rsidR="00E33501" w:rsidRPr="00D24F07" w14:paraId="318235CF" w14:textId="77777777" w:rsidTr="00D24F07">
        <w:tc>
          <w:tcPr>
            <w:tcW w:w="3964" w:type="dxa"/>
            <w:vAlign w:val="center"/>
          </w:tcPr>
          <w:p w14:paraId="630FDBF3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necrosis</w:t>
            </w:r>
          </w:p>
        </w:tc>
        <w:tc>
          <w:tcPr>
            <w:tcW w:w="4253" w:type="dxa"/>
            <w:vAlign w:val="center"/>
          </w:tcPr>
          <w:p w14:paraId="7275EFEC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CD95</w:t>
            </w:r>
          </w:p>
        </w:tc>
      </w:tr>
      <w:tr w:rsidR="00E33501" w:rsidRPr="00D24F07" w14:paraId="70240D9D" w14:textId="77777777" w:rsidTr="00D24F07">
        <w:tc>
          <w:tcPr>
            <w:tcW w:w="3964" w:type="dxa"/>
            <w:vAlign w:val="center"/>
          </w:tcPr>
          <w:p w14:paraId="6B571073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TNF</w:t>
            </w:r>
          </w:p>
        </w:tc>
        <w:tc>
          <w:tcPr>
            <w:tcW w:w="4253" w:type="dxa"/>
            <w:vAlign w:val="center"/>
          </w:tcPr>
          <w:p w14:paraId="061F0C35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NF-</w:t>
            </w:r>
            <w:proofErr w:type="spellStart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κB</w:t>
            </w:r>
            <w:proofErr w:type="spellEnd"/>
          </w:p>
        </w:tc>
      </w:tr>
      <w:tr w:rsidR="00E33501" w:rsidRPr="00D24F07" w14:paraId="3CDFF9DF" w14:textId="77777777" w:rsidTr="00D24F07">
        <w:tc>
          <w:tcPr>
            <w:tcW w:w="3964" w:type="dxa"/>
            <w:vAlign w:val="center"/>
          </w:tcPr>
          <w:p w14:paraId="322B415D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 xml:space="preserve">mitochondrial membrane </w:t>
            </w:r>
            <w:proofErr w:type="gramStart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potential(</w:t>
            </w:r>
            <w:proofErr w:type="gramEnd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MMP)</w:t>
            </w:r>
          </w:p>
        </w:tc>
        <w:tc>
          <w:tcPr>
            <w:tcW w:w="4253" w:type="dxa"/>
            <w:vAlign w:val="center"/>
          </w:tcPr>
          <w:p w14:paraId="4077540B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mitochondrial outer membrane (MOMP)</w:t>
            </w:r>
          </w:p>
        </w:tc>
      </w:tr>
      <w:tr w:rsidR="00E33501" w:rsidRPr="00D24F07" w14:paraId="0448D3D1" w14:textId="77777777" w:rsidTr="00D24F07">
        <w:tc>
          <w:tcPr>
            <w:tcW w:w="3964" w:type="dxa"/>
            <w:vAlign w:val="center"/>
          </w:tcPr>
          <w:p w14:paraId="7781AB9C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Endoplasmic reticulum stress</w:t>
            </w: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ERS</w:t>
            </w: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253" w:type="dxa"/>
            <w:vAlign w:val="center"/>
          </w:tcPr>
          <w:p w14:paraId="44A18A70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CHOP</w:t>
            </w:r>
          </w:p>
        </w:tc>
      </w:tr>
      <w:tr w:rsidR="00E33501" w:rsidRPr="00D24F07" w14:paraId="353773AD" w14:textId="77777777" w:rsidTr="00D24F07">
        <w:tc>
          <w:tcPr>
            <w:tcW w:w="3964" w:type="dxa"/>
            <w:vAlign w:val="center"/>
          </w:tcPr>
          <w:p w14:paraId="78F2A654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phosphatidylserine (</w:t>
            </w:r>
            <w:proofErr w:type="spellStart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PtdSer</w:t>
            </w:r>
            <w:proofErr w:type="spellEnd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0FE3E792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ROS</w:t>
            </w:r>
          </w:p>
        </w:tc>
      </w:tr>
      <w:tr w:rsidR="00E33501" w:rsidRPr="00D24F07" w14:paraId="7C945923" w14:textId="77777777" w:rsidTr="00D24F07">
        <w:tc>
          <w:tcPr>
            <w:tcW w:w="3964" w:type="dxa"/>
            <w:vAlign w:val="center"/>
          </w:tcPr>
          <w:p w14:paraId="2B5D910F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Focused ultrasound</w:t>
            </w: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FUS</w:t>
            </w: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253" w:type="dxa"/>
            <w:vAlign w:val="center"/>
          </w:tcPr>
          <w:p w14:paraId="3F92C4CA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UTMD</w:t>
            </w:r>
          </w:p>
        </w:tc>
      </w:tr>
      <w:tr w:rsidR="00E33501" w:rsidRPr="00D24F07" w14:paraId="6EA2039A" w14:textId="77777777" w:rsidTr="00D24F07">
        <w:tc>
          <w:tcPr>
            <w:tcW w:w="3964" w:type="dxa"/>
            <w:vAlign w:val="center"/>
          </w:tcPr>
          <w:p w14:paraId="622C9929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Microbubble</w:t>
            </w:r>
          </w:p>
        </w:tc>
        <w:tc>
          <w:tcPr>
            <w:tcW w:w="4253" w:type="dxa"/>
            <w:vAlign w:val="center"/>
          </w:tcPr>
          <w:p w14:paraId="63FCA710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Therapical</w:t>
            </w:r>
            <w:proofErr w:type="spellEnd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</w:p>
        </w:tc>
      </w:tr>
      <w:tr w:rsidR="00E33501" w:rsidRPr="00D24F07" w14:paraId="04957C42" w14:textId="77777777" w:rsidTr="00D24F07">
        <w:tc>
          <w:tcPr>
            <w:tcW w:w="3964" w:type="dxa"/>
            <w:vAlign w:val="center"/>
          </w:tcPr>
          <w:p w14:paraId="58710F46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Endoplasmic reticulum stress signaling pathway</w:t>
            </w:r>
          </w:p>
        </w:tc>
        <w:tc>
          <w:tcPr>
            <w:tcW w:w="4253" w:type="dxa"/>
            <w:vAlign w:val="center"/>
          </w:tcPr>
          <w:p w14:paraId="0463D2AA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</w:tc>
      </w:tr>
      <w:tr w:rsidR="00E33501" w:rsidRPr="00D24F07" w14:paraId="25AC6D5C" w14:textId="77777777" w:rsidTr="00D24F07">
        <w:tc>
          <w:tcPr>
            <w:tcW w:w="3964" w:type="dxa"/>
            <w:vAlign w:val="center"/>
          </w:tcPr>
          <w:p w14:paraId="75CCA1CD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programmed cell death</w:t>
            </w:r>
          </w:p>
        </w:tc>
        <w:tc>
          <w:tcPr>
            <w:tcW w:w="4253" w:type="dxa"/>
            <w:vAlign w:val="center"/>
          </w:tcPr>
          <w:p w14:paraId="46682DA8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chemotherapy</w:t>
            </w:r>
          </w:p>
        </w:tc>
      </w:tr>
      <w:tr w:rsidR="00E33501" w:rsidRPr="00D24F07" w14:paraId="07E6B775" w14:textId="77777777" w:rsidTr="00D24F07">
        <w:tc>
          <w:tcPr>
            <w:tcW w:w="3964" w:type="dxa"/>
            <w:vAlign w:val="center"/>
          </w:tcPr>
          <w:p w14:paraId="62EC2867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 xml:space="preserve">low-intensity focused </w:t>
            </w:r>
            <w:proofErr w:type="gramStart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ultrasound(</w:t>
            </w:r>
            <w:proofErr w:type="gramEnd"/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LIFU)</w:t>
            </w:r>
          </w:p>
        </w:tc>
        <w:tc>
          <w:tcPr>
            <w:tcW w:w="4253" w:type="dxa"/>
            <w:vAlign w:val="center"/>
          </w:tcPr>
          <w:p w14:paraId="18D6EA49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clearance of apoptotic cells</w:t>
            </w:r>
          </w:p>
        </w:tc>
      </w:tr>
      <w:tr w:rsidR="00E33501" w:rsidRPr="00D24F07" w14:paraId="74FFB0D3" w14:textId="77777777" w:rsidTr="00D24F07">
        <w:tc>
          <w:tcPr>
            <w:tcW w:w="3964" w:type="dxa"/>
            <w:vAlign w:val="center"/>
          </w:tcPr>
          <w:p w14:paraId="3918BB2D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TRAIL</w:t>
            </w:r>
          </w:p>
        </w:tc>
        <w:tc>
          <w:tcPr>
            <w:tcW w:w="4253" w:type="dxa"/>
            <w:vAlign w:val="center"/>
          </w:tcPr>
          <w:p w14:paraId="04D1859E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Macrophage</w:t>
            </w:r>
          </w:p>
        </w:tc>
      </w:tr>
      <w:tr w:rsidR="00E33501" w:rsidRPr="00D24F07" w14:paraId="4F965223" w14:textId="77777777" w:rsidTr="00D24F07">
        <w:tc>
          <w:tcPr>
            <w:tcW w:w="3964" w:type="dxa"/>
            <w:vAlign w:val="center"/>
          </w:tcPr>
          <w:p w14:paraId="102F71DC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Bcl-2 family proteins</w:t>
            </w:r>
          </w:p>
        </w:tc>
        <w:tc>
          <w:tcPr>
            <w:tcW w:w="4253" w:type="dxa"/>
            <w:vAlign w:val="center"/>
          </w:tcPr>
          <w:p w14:paraId="072FCB49" w14:textId="77777777" w:rsidR="00E33501" w:rsidRPr="00D24F07" w:rsidRDefault="00E33501" w:rsidP="00D2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07">
              <w:rPr>
                <w:rFonts w:ascii="Times New Roman" w:hAnsi="Times New Roman" w:cs="Times New Roman"/>
                <w:sz w:val="24"/>
                <w:szCs w:val="24"/>
              </w:rPr>
              <w:t>unfolded protein response (UPR)</w:t>
            </w:r>
          </w:p>
        </w:tc>
      </w:tr>
    </w:tbl>
    <w:p w14:paraId="54D9DF68" w14:textId="77777777" w:rsidR="00E33501" w:rsidRPr="00D24F07" w:rsidRDefault="00E33501" w:rsidP="00E33501">
      <w:pPr>
        <w:rPr>
          <w:rFonts w:ascii="Times New Roman" w:hAnsi="Times New Roman" w:cs="Times New Roman"/>
          <w:sz w:val="24"/>
          <w:szCs w:val="24"/>
        </w:rPr>
      </w:pPr>
    </w:p>
    <w:p w14:paraId="03B63203" w14:textId="45F105BF" w:rsidR="00EF3067" w:rsidRPr="00D24F07" w:rsidRDefault="00EF3067" w:rsidP="00E33501">
      <w:pPr>
        <w:rPr>
          <w:rFonts w:ascii="Times New Roman" w:hAnsi="Times New Roman" w:cs="Times New Roman"/>
          <w:sz w:val="24"/>
          <w:szCs w:val="24"/>
        </w:rPr>
      </w:pPr>
    </w:p>
    <w:sectPr w:rsidR="00EF3067" w:rsidRPr="00D24F07" w:rsidSect="00E3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B305" w14:textId="77777777" w:rsidR="00397B9F" w:rsidRDefault="00397B9F" w:rsidP="00FB6320">
      <w:r>
        <w:separator/>
      </w:r>
    </w:p>
  </w:endnote>
  <w:endnote w:type="continuationSeparator" w:id="0">
    <w:p w14:paraId="41F896F2" w14:textId="77777777" w:rsidR="00397B9F" w:rsidRDefault="00397B9F" w:rsidP="00FB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3C0B" w14:textId="77777777" w:rsidR="00397B9F" w:rsidRDefault="00397B9F" w:rsidP="00FB6320">
      <w:r>
        <w:separator/>
      </w:r>
    </w:p>
  </w:footnote>
  <w:footnote w:type="continuationSeparator" w:id="0">
    <w:p w14:paraId="3E71F1CA" w14:textId="77777777" w:rsidR="00397B9F" w:rsidRDefault="00397B9F" w:rsidP="00FB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28"/>
    <w:rsid w:val="000142DA"/>
    <w:rsid w:val="000B5104"/>
    <w:rsid w:val="00162281"/>
    <w:rsid w:val="001D2CEE"/>
    <w:rsid w:val="001E6D46"/>
    <w:rsid w:val="00397B9F"/>
    <w:rsid w:val="00445F84"/>
    <w:rsid w:val="004B2760"/>
    <w:rsid w:val="004F6F28"/>
    <w:rsid w:val="005B7CFD"/>
    <w:rsid w:val="0060227F"/>
    <w:rsid w:val="008A6EE2"/>
    <w:rsid w:val="00A81F28"/>
    <w:rsid w:val="00AA6FB1"/>
    <w:rsid w:val="00B81204"/>
    <w:rsid w:val="00D24F07"/>
    <w:rsid w:val="00DF00B8"/>
    <w:rsid w:val="00E33501"/>
    <w:rsid w:val="00E82F2D"/>
    <w:rsid w:val="00EF3067"/>
    <w:rsid w:val="00F12655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B8626"/>
  <w15:chartTrackingRefBased/>
  <w15:docId w15:val="{D8F44B4F-1344-48EC-B6CA-778EDD41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320"/>
    <w:rPr>
      <w:sz w:val="18"/>
      <w:szCs w:val="18"/>
    </w:rPr>
  </w:style>
  <w:style w:type="table" w:styleId="a7">
    <w:name w:val="Table Grid"/>
    <w:basedOn w:val="a1"/>
    <w:uiPriority w:val="39"/>
    <w:rsid w:val="00FB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633</Characters>
  <Application>Microsoft Office Word</Application>
  <DocSecurity>0</DocSecurity>
  <Lines>41</Lines>
  <Paragraphs>36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N</dc:creator>
  <cp:keywords/>
  <dc:description/>
  <cp:lastModifiedBy>W N</cp:lastModifiedBy>
  <cp:revision>12</cp:revision>
  <dcterms:created xsi:type="dcterms:W3CDTF">2024-05-14T02:49:00Z</dcterms:created>
  <dcterms:modified xsi:type="dcterms:W3CDTF">2024-07-11T00:25:00Z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03c40a9465ab9a28a4c45ff0f6894914a3e5b2bc98faa8841c498102b25a27c8</vt:lpwstr>
  </property>
</Properties>
</file>