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F2777" w14:textId="482BF507"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in reports of</w:t>
      </w:r>
      <w:r w:rsidRPr="005B34EC">
        <w:rPr>
          <w:b/>
          <w:bCs/>
          <w:i/>
          <w:iCs/>
          <w:sz w:val="22"/>
          <w:szCs w:val="22"/>
        </w:rPr>
        <w:t xml:space="preserve"> </w:t>
      </w:r>
      <w:proofErr w:type="spellStart"/>
      <w:r w:rsidR="005B34EC" w:rsidRPr="005B34EC">
        <w:rPr>
          <w:rFonts w:cs="Angsana New"/>
          <w:b/>
          <w:bCs/>
          <w:i/>
          <w:iCs/>
          <w:color w:val="FF0000"/>
          <w:sz w:val="22"/>
          <w:szCs w:val="28"/>
          <w:lang w:bidi="th-TH"/>
        </w:rPr>
        <w:t>restrospective</w:t>
      </w:r>
      <w:proofErr w:type="spellEnd"/>
      <w:r w:rsidR="005B34EC">
        <w:rPr>
          <w:rFonts w:cs="Angsana New"/>
          <w:color w:val="FF0000"/>
          <w:sz w:val="22"/>
          <w:szCs w:val="28"/>
          <w:lang w:bidi="th-TH"/>
        </w:rPr>
        <w:t xml:space="preserve"> </w:t>
      </w:r>
      <w:r w:rsidR="00CE4480" w:rsidRPr="00CE4480">
        <w:rPr>
          <w:b/>
          <w:i/>
          <w:sz w:val="22"/>
          <w:szCs w:val="22"/>
        </w:rPr>
        <w:t>cross-sectional</w:t>
      </w:r>
      <w:r w:rsidRPr="00CE4480">
        <w:rPr>
          <w:b/>
          <w:i/>
          <w:sz w:val="22"/>
          <w:szCs w:val="22"/>
        </w:rPr>
        <w:t xml:space="preserve"> </w:t>
      </w:r>
      <w:proofErr w:type="gramStart"/>
      <w:r w:rsidRPr="00CE4480">
        <w:rPr>
          <w:b/>
          <w:i/>
          <w:sz w:val="22"/>
          <w:szCs w:val="22"/>
        </w:rPr>
        <w:t>studies</w:t>
      </w:r>
      <w:proofErr w:type="gramEnd"/>
      <w:r w:rsidRPr="00CE4480">
        <w:rPr>
          <w:sz w:val="22"/>
          <w:szCs w:val="22"/>
        </w:rPr>
        <w:t xml:space="preserve">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9"/>
        <w:gridCol w:w="823"/>
        <w:gridCol w:w="4629"/>
        <w:gridCol w:w="1050"/>
        <w:gridCol w:w="6211"/>
      </w:tblGrid>
      <w:tr w:rsidR="001A2073" w:rsidRPr="0022554A" w14:paraId="291D96B5" w14:textId="7492D775" w:rsidTr="0081629A">
        <w:tc>
          <w:tcPr>
            <w:tcW w:w="2279" w:type="dxa"/>
          </w:tcPr>
          <w:p w14:paraId="53E9A817" w14:textId="77777777" w:rsidR="001A2073" w:rsidRPr="0022554A" w:rsidRDefault="001A2073" w:rsidP="001A2073">
            <w:pPr>
              <w:tabs>
                <w:tab w:val="left" w:pos="5400"/>
              </w:tabs>
              <w:jc w:val="center"/>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823" w:type="dxa"/>
          </w:tcPr>
          <w:p w14:paraId="45E26C79" w14:textId="77777777" w:rsidR="001A2073" w:rsidRPr="0022554A" w:rsidRDefault="001A2073" w:rsidP="001A2073">
            <w:pPr>
              <w:pStyle w:val="TableHeader"/>
              <w:tabs>
                <w:tab w:val="left" w:pos="5400"/>
              </w:tabs>
              <w:jc w:val="center"/>
              <w:rPr>
                <w:bCs/>
                <w:sz w:val="20"/>
              </w:rPr>
            </w:pPr>
            <w:r w:rsidRPr="0022554A">
              <w:rPr>
                <w:bCs/>
                <w:sz w:val="20"/>
              </w:rPr>
              <w:t>Item No</w:t>
            </w:r>
          </w:p>
        </w:tc>
        <w:tc>
          <w:tcPr>
            <w:tcW w:w="4629" w:type="dxa"/>
          </w:tcPr>
          <w:p w14:paraId="1A6829F0" w14:textId="77777777" w:rsidR="001A2073" w:rsidRPr="0022554A" w:rsidRDefault="001A2073" w:rsidP="001A2073">
            <w:pPr>
              <w:pStyle w:val="TableHeader"/>
              <w:tabs>
                <w:tab w:val="left" w:pos="5400"/>
              </w:tabs>
              <w:jc w:val="center"/>
              <w:rPr>
                <w:bCs/>
                <w:sz w:val="20"/>
              </w:rPr>
            </w:pPr>
            <w:r w:rsidRPr="0022554A">
              <w:rPr>
                <w:bCs/>
                <w:sz w:val="20"/>
              </w:rPr>
              <w:t>Recommendation</w:t>
            </w:r>
          </w:p>
        </w:tc>
        <w:tc>
          <w:tcPr>
            <w:tcW w:w="1050" w:type="dxa"/>
          </w:tcPr>
          <w:p w14:paraId="7573A5D0" w14:textId="74EBDBC1" w:rsidR="001A2073" w:rsidRPr="001A2073" w:rsidRDefault="001A2073" w:rsidP="005B34EC">
            <w:pPr>
              <w:pStyle w:val="TableHeader"/>
              <w:tabs>
                <w:tab w:val="left" w:pos="5400"/>
              </w:tabs>
              <w:jc w:val="center"/>
              <w:rPr>
                <w:bCs/>
                <w:sz w:val="20"/>
                <w:szCs w:val="15"/>
              </w:rPr>
            </w:pPr>
            <w:r w:rsidRPr="001A2073">
              <w:rPr>
                <w:sz w:val="20"/>
                <w:szCs w:val="15"/>
              </w:rPr>
              <w:t>Page No.</w:t>
            </w:r>
          </w:p>
        </w:tc>
        <w:tc>
          <w:tcPr>
            <w:tcW w:w="6211" w:type="dxa"/>
          </w:tcPr>
          <w:p w14:paraId="4060904D" w14:textId="4855DAE2" w:rsidR="001A2073" w:rsidRPr="001A2073" w:rsidRDefault="001A2073" w:rsidP="001A2073">
            <w:pPr>
              <w:pStyle w:val="TableHeader"/>
              <w:tabs>
                <w:tab w:val="left" w:pos="5400"/>
              </w:tabs>
              <w:jc w:val="center"/>
              <w:rPr>
                <w:bCs/>
                <w:sz w:val="20"/>
                <w:szCs w:val="15"/>
              </w:rPr>
            </w:pPr>
            <w:r w:rsidRPr="001A2073">
              <w:rPr>
                <w:sz w:val="20"/>
                <w:szCs w:val="15"/>
              </w:rPr>
              <w:t>Relevant text from manuscript</w:t>
            </w:r>
          </w:p>
        </w:tc>
      </w:tr>
      <w:tr w:rsidR="001A2073" w:rsidRPr="0022554A" w14:paraId="3F95F31E" w14:textId="538CA9EC" w:rsidTr="0081629A">
        <w:tc>
          <w:tcPr>
            <w:tcW w:w="2279" w:type="dxa"/>
            <w:vMerge w:val="restart"/>
          </w:tcPr>
          <w:p w14:paraId="6F2B7245" w14:textId="77777777" w:rsidR="001A2073" w:rsidRPr="002602FB" w:rsidRDefault="001A207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823" w:type="dxa"/>
            <w:vMerge w:val="restart"/>
          </w:tcPr>
          <w:p w14:paraId="70CBBD12" w14:textId="77777777" w:rsidR="001A2073" w:rsidRPr="0022554A" w:rsidRDefault="001A2073" w:rsidP="0022554A">
            <w:pPr>
              <w:tabs>
                <w:tab w:val="left" w:pos="5400"/>
              </w:tabs>
              <w:jc w:val="center"/>
              <w:rPr>
                <w:sz w:val="20"/>
              </w:rPr>
            </w:pPr>
            <w:r w:rsidRPr="0022554A">
              <w:rPr>
                <w:sz w:val="20"/>
              </w:rPr>
              <w:t>1</w:t>
            </w:r>
          </w:p>
        </w:tc>
        <w:tc>
          <w:tcPr>
            <w:tcW w:w="4629" w:type="dxa"/>
          </w:tcPr>
          <w:p w14:paraId="53214D0E" w14:textId="77777777" w:rsidR="001A2073" w:rsidRPr="0022554A" w:rsidRDefault="001A207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050" w:type="dxa"/>
          </w:tcPr>
          <w:p w14:paraId="3B7D653A" w14:textId="186070B4" w:rsidR="001A2073" w:rsidRPr="0022554A" w:rsidRDefault="006B568C" w:rsidP="005B34EC">
            <w:pPr>
              <w:tabs>
                <w:tab w:val="left" w:pos="5400"/>
              </w:tabs>
              <w:jc w:val="center"/>
              <w:rPr>
                <w:sz w:val="20"/>
              </w:rPr>
            </w:pPr>
            <w:r>
              <w:rPr>
                <w:sz w:val="20"/>
              </w:rPr>
              <w:t>Title/1</w:t>
            </w:r>
          </w:p>
        </w:tc>
        <w:tc>
          <w:tcPr>
            <w:tcW w:w="6211" w:type="dxa"/>
          </w:tcPr>
          <w:p w14:paraId="565F954E" w14:textId="1E82ABAC" w:rsidR="001A2073" w:rsidRPr="0022554A" w:rsidRDefault="006B568C" w:rsidP="0022554A">
            <w:pPr>
              <w:tabs>
                <w:tab w:val="left" w:pos="5400"/>
              </w:tabs>
              <w:rPr>
                <w:sz w:val="20"/>
              </w:rPr>
            </w:pPr>
            <w:r w:rsidRPr="006B568C">
              <w:rPr>
                <w:sz w:val="20"/>
              </w:rPr>
              <w:t xml:space="preserve">Biological factors associated with long COVID and comparative analysis of SARS-CoV-2 spike protein variants: a </w:t>
            </w:r>
            <w:r w:rsidRPr="006B568C">
              <w:rPr>
                <w:color w:val="FF0000"/>
                <w:sz w:val="20"/>
              </w:rPr>
              <w:t>retrospective study</w:t>
            </w:r>
            <w:r w:rsidRPr="006B568C">
              <w:rPr>
                <w:sz w:val="20"/>
              </w:rPr>
              <w:t xml:space="preserve"> in Thailand</w:t>
            </w:r>
          </w:p>
        </w:tc>
      </w:tr>
      <w:tr w:rsidR="001A2073" w:rsidRPr="0022554A" w14:paraId="0419E98F" w14:textId="2BEFB19F" w:rsidTr="0081629A">
        <w:tc>
          <w:tcPr>
            <w:tcW w:w="2279" w:type="dxa"/>
            <w:vMerge/>
          </w:tcPr>
          <w:p w14:paraId="769CA85A" w14:textId="77777777" w:rsidR="001A2073" w:rsidRPr="0022554A" w:rsidRDefault="001A2073" w:rsidP="0022554A">
            <w:pPr>
              <w:tabs>
                <w:tab w:val="left" w:pos="5400"/>
              </w:tabs>
              <w:rPr>
                <w:bCs/>
                <w:sz w:val="20"/>
              </w:rPr>
            </w:pPr>
            <w:bookmarkStart w:id="11" w:name="bold6" w:colFirst="0" w:colLast="0"/>
            <w:bookmarkStart w:id="12" w:name="italic7" w:colFirst="0" w:colLast="0"/>
          </w:p>
        </w:tc>
        <w:tc>
          <w:tcPr>
            <w:tcW w:w="823" w:type="dxa"/>
            <w:vMerge/>
          </w:tcPr>
          <w:p w14:paraId="72F37875" w14:textId="77777777" w:rsidR="001A2073" w:rsidRPr="0022554A" w:rsidRDefault="001A2073" w:rsidP="0022554A">
            <w:pPr>
              <w:tabs>
                <w:tab w:val="left" w:pos="5400"/>
              </w:tabs>
              <w:jc w:val="center"/>
              <w:rPr>
                <w:sz w:val="20"/>
              </w:rPr>
            </w:pPr>
          </w:p>
        </w:tc>
        <w:tc>
          <w:tcPr>
            <w:tcW w:w="4629" w:type="dxa"/>
          </w:tcPr>
          <w:p w14:paraId="016112C6" w14:textId="77777777" w:rsidR="001A2073" w:rsidRPr="0022554A" w:rsidRDefault="001A207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050" w:type="dxa"/>
          </w:tcPr>
          <w:p w14:paraId="48C92836" w14:textId="1B84B662" w:rsidR="001A2073" w:rsidRPr="0022554A" w:rsidRDefault="006B568C" w:rsidP="005B34EC">
            <w:pPr>
              <w:tabs>
                <w:tab w:val="left" w:pos="5400"/>
              </w:tabs>
              <w:jc w:val="center"/>
              <w:rPr>
                <w:sz w:val="20"/>
              </w:rPr>
            </w:pPr>
            <w:r>
              <w:rPr>
                <w:sz w:val="20"/>
              </w:rPr>
              <w:t>Abstract/2</w:t>
            </w:r>
          </w:p>
        </w:tc>
        <w:tc>
          <w:tcPr>
            <w:tcW w:w="6211" w:type="dxa"/>
          </w:tcPr>
          <w:p w14:paraId="257DE3E6" w14:textId="3C72CB7A" w:rsidR="001A2073" w:rsidRPr="0022554A" w:rsidRDefault="006B568C" w:rsidP="006B568C">
            <w:pPr>
              <w:tabs>
                <w:tab w:val="left" w:pos="5400"/>
              </w:tabs>
              <w:rPr>
                <w:sz w:val="20"/>
              </w:rPr>
            </w:pPr>
            <w:r w:rsidRPr="006B568C">
              <w:rPr>
                <w:b/>
                <w:bCs/>
                <w:sz w:val="20"/>
              </w:rPr>
              <w:t>Methods.</w:t>
            </w:r>
            <w:r w:rsidRPr="006B568C">
              <w:rPr>
                <w:sz w:val="20"/>
              </w:rPr>
              <w:t xml:space="preserve"> </w:t>
            </w:r>
            <w:r w:rsidRPr="006B568C">
              <w:rPr>
                <w:color w:val="FF0000"/>
                <w:sz w:val="20"/>
              </w:rPr>
              <w:t>A retrospective cross-sectional study</w:t>
            </w:r>
            <w:r w:rsidRPr="006B568C">
              <w:rPr>
                <w:sz w:val="20"/>
              </w:rPr>
              <w:t xml:space="preserve"> was established to recruit confirmed COVID-19 participants at Maharat Nakhon Ratchasima Hospital who had recovered for at least three months and were infected between June 2021 and August 2022. The demographic data and long COVID experience were collected via telephone interview. The biological factors were </w:t>
            </w:r>
            <w:proofErr w:type="spellStart"/>
            <w:r w:rsidRPr="006B568C">
              <w:rPr>
                <w:sz w:val="20"/>
              </w:rPr>
              <w:t>analyzed</w:t>
            </w:r>
            <w:proofErr w:type="spellEnd"/>
            <w:r w:rsidRPr="006B568C">
              <w:rPr>
                <w:sz w:val="20"/>
              </w:rPr>
              <w:t xml:space="preserve"> through binary logistic regression. </w:t>
            </w:r>
            <w:r w:rsidRPr="006B568C">
              <w:rPr>
                <w:b/>
                <w:bCs/>
                <w:sz w:val="20"/>
              </w:rPr>
              <w:t>Results.</w:t>
            </w:r>
            <w:r w:rsidRPr="006B568C">
              <w:rPr>
                <w:sz w:val="20"/>
              </w:rPr>
              <w:t xml:space="preserve"> Data was collected from a total of 247 participants comprising 106 and 141 participants of the Delta and Omicron epidemic periods, respectively. Apart from the COVID-19 severity and health status, the baseline participant data of the two time periods were remarkably similar. The prevalence of long COVID observed in the Omicron period was higher than in the Delta period (74.5% vs. 66.0%). The biological factors associated with long COVID were epidemic variant, age, treatment with symptomatic medicines, and vaccination status. </w:t>
            </w:r>
          </w:p>
        </w:tc>
      </w:tr>
      <w:tr w:rsidR="001A2073" w:rsidRPr="0022554A" w14:paraId="38A376CF" w14:textId="699CBECD" w:rsidTr="0081629A">
        <w:tc>
          <w:tcPr>
            <w:tcW w:w="7731" w:type="dxa"/>
            <w:gridSpan w:val="3"/>
          </w:tcPr>
          <w:p w14:paraId="7121CC31" w14:textId="77777777" w:rsidR="001A2073" w:rsidRPr="0022554A" w:rsidRDefault="001A2073"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c>
          <w:tcPr>
            <w:tcW w:w="1050" w:type="dxa"/>
          </w:tcPr>
          <w:p w14:paraId="1053F405" w14:textId="77777777" w:rsidR="001A2073" w:rsidRPr="0022554A" w:rsidRDefault="001A2073" w:rsidP="005B34EC">
            <w:pPr>
              <w:pStyle w:val="TableSubHead"/>
              <w:tabs>
                <w:tab w:val="left" w:pos="5400"/>
              </w:tabs>
              <w:jc w:val="center"/>
              <w:rPr>
                <w:sz w:val="20"/>
              </w:rPr>
            </w:pPr>
          </w:p>
        </w:tc>
        <w:tc>
          <w:tcPr>
            <w:tcW w:w="6211" w:type="dxa"/>
          </w:tcPr>
          <w:p w14:paraId="3D50ACEB" w14:textId="77777777" w:rsidR="001A2073" w:rsidRPr="0022554A" w:rsidRDefault="001A2073" w:rsidP="0022554A">
            <w:pPr>
              <w:pStyle w:val="TableSubHead"/>
              <w:tabs>
                <w:tab w:val="left" w:pos="5400"/>
              </w:tabs>
              <w:rPr>
                <w:sz w:val="20"/>
              </w:rPr>
            </w:pPr>
          </w:p>
        </w:tc>
      </w:tr>
      <w:tr w:rsidR="001A2073" w:rsidRPr="0022554A" w14:paraId="0E8C12A9" w14:textId="5B06832B" w:rsidTr="0081629A">
        <w:tc>
          <w:tcPr>
            <w:tcW w:w="2279" w:type="dxa"/>
          </w:tcPr>
          <w:p w14:paraId="7211B94A" w14:textId="77777777" w:rsidR="001A2073" w:rsidRPr="0022554A" w:rsidRDefault="001A207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823" w:type="dxa"/>
          </w:tcPr>
          <w:p w14:paraId="2CFE40C6" w14:textId="77777777" w:rsidR="001A2073" w:rsidRPr="0022554A" w:rsidRDefault="001A2073" w:rsidP="0022554A">
            <w:pPr>
              <w:tabs>
                <w:tab w:val="left" w:pos="5400"/>
              </w:tabs>
              <w:jc w:val="center"/>
              <w:rPr>
                <w:sz w:val="20"/>
              </w:rPr>
            </w:pPr>
            <w:r w:rsidRPr="0022554A">
              <w:rPr>
                <w:sz w:val="20"/>
              </w:rPr>
              <w:t>2</w:t>
            </w:r>
          </w:p>
        </w:tc>
        <w:tc>
          <w:tcPr>
            <w:tcW w:w="4629" w:type="dxa"/>
          </w:tcPr>
          <w:p w14:paraId="3107AD32" w14:textId="77777777" w:rsidR="001A2073" w:rsidRPr="0022554A" w:rsidRDefault="001A2073" w:rsidP="0022554A">
            <w:pPr>
              <w:tabs>
                <w:tab w:val="left" w:pos="5400"/>
              </w:tabs>
              <w:rPr>
                <w:sz w:val="20"/>
              </w:rPr>
            </w:pPr>
            <w:r w:rsidRPr="0022554A">
              <w:rPr>
                <w:sz w:val="20"/>
              </w:rPr>
              <w:t>Explain the scientific background and rationale for the investigation being reported</w:t>
            </w:r>
          </w:p>
        </w:tc>
        <w:tc>
          <w:tcPr>
            <w:tcW w:w="1050" w:type="dxa"/>
          </w:tcPr>
          <w:p w14:paraId="4993CD77" w14:textId="65B27A24" w:rsidR="001A2073" w:rsidRPr="0022554A" w:rsidRDefault="00295939" w:rsidP="005B34EC">
            <w:pPr>
              <w:tabs>
                <w:tab w:val="left" w:pos="5400"/>
              </w:tabs>
              <w:jc w:val="center"/>
              <w:rPr>
                <w:sz w:val="20"/>
              </w:rPr>
            </w:pPr>
            <w:r>
              <w:rPr>
                <w:sz w:val="20"/>
              </w:rPr>
              <w:t>3</w:t>
            </w:r>
          </w:p>
        </w:tc>
        <w:tc>
          <w:tcPr>
            <w:tcW w:w="6211" w:type="dxa"/>
          </w:tcPr>
          <w:p w14:paraId="0C50A434" w14:textId="33AA141B" w:rsidR="00295939" w:rsidRPr="00295939" w:rsidRDefault="00EB2852" w:rsidP="00295939">
            <w:pPr>
              <w:spacing w:line="240" w:lineRule="auto"/>
              <w:jc w:val="both"/>
              <w:rPr>
                <w:color w:val="000000"/>
                <w:spacing w:val="-4"/>
                <w:sz w:val="22"/>
                <w:szCs w:val="22"/>
              </w:rPr>
            </w:pPr>
            <w:r>
              <w:rPr>
                <w:color w:val="000000"/>
                <w:spacing w:val="-4"/>
                <w:sz w:val="22"/>
                <w:szCs w:val="22"/>
              </w:rPr>
              <w:t xml:space="preserve">              </w:t>
            </w:r>
            <w:r w:rsidR="00295939" w:rsidRPr="00295939">
              <w:rPr>
                <w:color w:val="000000"/>
                <w:spacing w:val="-4"/>
                <w:sz w:val="22"/>
                <w:szCs w:val="22"/>
              </w:rPr>
              <w:t xml:space="preserve">Since the beginning of COVID-19 era until the present, Thailand has been encountered with three unique epidemic SARS-CoV-2 variants: Alpha (April to early June 2021), Delta (June to November 2021), and Omicron </w:t>
            </w:r>
            <w:r w:rsidR="00295939" w:rsidRPr="00295939">
              <w:rPr>
                <w:rFonts w:cs="Angsana New"/>
                <w:color w:val="000000"/>
                <w:sz w:val="22"/>
                <w:szCs w:val="22"/>
              </w:rPr>
              <w:t>(December 2021 until now)</w:t>
            </w:r>
            <w:r w:rsidR="00295939" w:rsidRPr="00295939">
              <w:rPr>
                <w:color w:val="000000"/>
                <w:spacing w:val="-4"/>
                <w:sz w:val="22"/>
                <w:szCs w:val="22"/>
              </w:rPr>
              <w:t xml:space="preserve">. The </w:t>
            </w:r>
            <w:r w:rsidR="00295939" w:rsidRPr="00295939">
              <w:rPr>
                <w:spacing w:val="-4"/>
                <w:sz w:val="22"/>
                <w:szCs w:val="22"/>
              </w:rPr>
              <w:t xml:space="preserve">Department of Disease Control of the Ministry of Public Health in Thailand has documented a cumulative count of </w:t>
            </w:r>
            <w:bookmarkStart w:id="19" w:name="_Hlk159224070"/>
            <w:r w:rsidR="00295939" w:rsidRPr="00295939">
              <w:rPr>
                <w:spacing w:val="-4"/>
                <w:sz w:val="22"/>
                <w:szCs w:val="22"/>
              </w:rPr>
              <w:t>4,758,116</w:t>
            </w:r>
            <w:bookmarkEnd w:id="19"/>
            <w:r w:rsidR="00295939" w:rsidRPr="00295939">
              <w:rPr>
                <w:spacing w:val="-4"/>
                <w:sz w:val="22"/>
                <w:szCs w:val="22"/>
              </w:rPr>
              <w:t xml:space="preserve"> confirmed cases and </w:t>
            </w:r>
            <w:bookmarkStart w:id="20" w:name="_Hlk159224053"/>
            <w:r w:rsidR="00295939" w:rsidRPr="00295939">
              <w:rPr>
                <w:spacing w:val="-4"/>
                <w:sz w:val="22"/>
                <w:szCs w:val="22"/>
              </w:rPr>
              <w:t>34,547</w:t>
            </w:r>
            <w:bookmarkEnd w:id="20"/>
            <w:r w:rsidR="00295939" w:rsidRPr="00295939">
              <w:rPr>
                <w:spacing w:val="-4"/>
                <w:sz w:val="22"/>
                <w:szCs w:val="22"/>
              </w:rPr>
              <w:t xml:space="preserve"> fatalities attributed to COVID-19 as of January 28, </w:t>
            </w:r>
            <w:proofErr w:type="gramStart"/>
            <w:r w:rsidR="00295939" w:rsidRPr="00295939">
              <w:rPr>
                <w:spacing w:val="-4"/>
                <w:sz w:val="22"/>
                <w:szCs w:val="22"/>
              </w:rPr>
              <w:t>2024</w:t>
            </w:r>
            <w:proofErr w:type="gramEnd"/>
            <w:r w:rsidR="00295939" w:rsidRPr="00295939">
              <w:rPr>
                <w:spacing w:val="-4"/>
                <w:sz w:val="22"/>
                <w:szCs w:val="22"/>
              </w:rPr>
              <w:t xml:space="preserve"> resulting in an accumulated case fatality rate of 0.73% </w:t>
            </w:r>
            <w:r w:rsidR="00295939" w:rsidRPr="00295939">
              <w:rPr>
                <w:color w:val="000000"/>
                <w:spacing w:val="-4"/>
                <w:sz w:val="22"/>
                <w:szCs w:val="22"/>
              </w:rPr>
              <w:t>(</w:t>
            </w:r>
            <w:r w:rsidR="00295939" w:rsidRPr="00295939">
              <w:rPr>
                <w:rFonts w:cs="Angsana New"/>
                <w:i/>
                <w:iCs/>
                <w:color w:val="000000"/>
                <w:spacing w:val="-4"/>
                <w:sz w:val="22"/>
                <w:szCs w:val="22"/>
              </w:rPr>
              <w:t>DDC, 2024</w:t>
            </w:r>
            <w:r w:rsidR="00295939" w:rsidRPr="00295939">
              <w:rPr>
                <w:color w:val="000000"/>
                <w:spacing w:val="-4"/>
                <w:sz w:val="22"/>
                <w:szCs w:val="22"/>
              </w:rPr>
              <w:t xml:space="preserve">). </w:t>
            </w:r>
            <w:r w:rsidR="00295939" w:rsidRPr="00295939">
              <w:rPr>
                <w:spacing w:val="-4"/>
                <w:sz w:val="22"/>
                <w:szCs w:val="22"/>
              </w:rPr>
              <w:t xml:space="preserve">Although recovery and a low mortality rate of 3–5% have been observed in </w:t>
            </w:r>
            <w:proofErr w:type="gramStart"/>
            <w:r w:rsidR="00295939" w:rsidRPr="00295939">
              <w:rPr>
                <w:spacing w:val="-4"/>
                <w:sz w:val="22"/>
                <w:szCs w:val="22"/>
              </w:rPr>
              <w:t>the majority of</w:t>
            </w:r>
            <w:proofErr w:type="gramEnd"/>
            <w:r w:rsidR="00295939" w:rsidRPr="00295939">
              <w:rPr>
                <w:spacing w:val="-4"/>
                <w:sz w:val="22"/>
                <w:szCs w:val="22"/>
              </w:rPr>
              <w:t xml:space="preserve"> individuals infected with COVID-19, a considerable proportion of patients have experienced long-term complications referred to as long </w:t>
            </w:r>
            <w:r w:rsidR="00295939" w:rsidRPr="00295939">
              <w:rPr>
                <w:color w:val="000000"/>
                <w:spacing w:val="-4"/>
                <w:sz w:val="22"/>
                <w:szCs w:val="22"/>
              </w:rPr>
              <w:t>COVID (</w:t>
            </w:r>
            <w:proofErr w:type="spellStart"/>
            <w:r w:rsidR="00295939" w:rsidRPr="00295939">
              <w:rPr>
                <w:i/>
                <w:iCs/>
                <w:color w:val="000000"/>
                <w:sz w:val="22"/>
                <w:szCs w:val="22"/>
                <w:shd w:val="clear" w:color="auto" w:fill="FFFFFF"/>
              </w:rPr>
              <w:t>Batiha</w:t>
            </w:r>
            <w:proofErr w:type="spellEnd"/>
            <w:r w:rsidR="00295939" w:rsidRPr="00295939">
              <w:rPr>
                <w:i/>
                <w:iCs/>
                <w:color w:val="000000"/>
                <w:sz w:val="22"/>
                <w:szCs w:val="22"/>
                <w:shd w:val="clear" w:color="auto" w:fill="FFFFFF"/>
              </w:rPr>
              <w:t xml:space="preserve"> et al., 2022</w:t>
            </w:r>
            <w:r w:rsidR="00295939" w:rsidRPr="00295939">
              <w:rPr>
                <w:color w:val="000000"/>
                <w:spacing w:val="-4"/>
                <w:sz w:val="22"/>
                <w:szCs w:val="22"/>
              </w:rPr>
              <w:t>).</w:t>
            </w:r>
            <w:r w:rsidR="00295939" w:rsidRPr="00295939">
              <w:rPr>
                <w:rFonts w:hint="cs"/>
                <w:color w:val="000000"/>
                <w:spacing w:val="-4"/>
                <w:sz w:val="22"/>
                <w:szCs w:val="22"/>
                <w:cs/>
              </w:rPr>
              <w:t xml:space="preserve"> </w:t>
            </w:r>
          </w:p>
          <w:p w14:paraId="23E2F39F" w14:textId="10F7FC40" w:rsidR="001A2073" w:rsidRPr="00295939" w:rsidRDefault="00EB2852" w:rsidP="00295939">
            <w:pPr>
              <w:tabs>
                <w:tab w:val="left" w:pos="5400"/>
              </w:tabs>
              <w:spacing w:line="240" w:lineRule="auto"/>
              <w:rPr>
                <w:sz w:val="22"/>
                <w:szCs w:val="22"/>
              </w:rPr>
            </w:pPr>
            <w:r>
              <w:rPr>
                <w:sz w:val="22"/>
                <w:szCs w:val="22"/>
              </w:rPr>
              <w:t xml:space="preserve">               </w:t>
            </w:r>
            <w:r w:rsidRPr="00EB2852">
              <w:rPr>
                <w:sz w:val="22"/>
                <w:szCs w:val="22"/>
              </w:rPr>
              <w:t xml:space="preserve">Besides the genetic variants of SARS-CoV-2, long COVID might be connected to several biological host variables. </w:t>
            </w:r>
            <w:r w:rsidRPr="00EB2852">
              <w:rPr>
                <w:sz w:val="22"/>
                <w:szCs w:val="22"/>
              </w:rPr>
              <w:lastRenderedPageBreak/>
              <w:t>The development of long COVID has been associated with several characteristics, including the severity of the illness, aging, gender, and rising levels of certain inflammatory markers (</w:t>
            </w:r>
            <w:proofErr w:type="spellStart"/>
            <w:r w:rsidRPr="00EB2852">
              <w:rPr>
                <w:sz w:val="22"/>
                <w:szCs w:val="22"/>
              </w:rPr>
              <w:t>Batiha</w:t>
            </w:r>
            <w:proofErr w:type="spellEnd"/>
            <w:r w:rsidRPr="00EB2852">
              <w:rPr>
                <w:sz w:val="22"/>
                <w:szCs w:val="22"/>
              </w:rPr>
              <w:t xml:space="preserve"> et al., 2022). Nevertheless, the data pertaining to the Asian population, particularly Thai, is extremely limited.</w:t>
            </w:r>
          </w:p>
        </w:tc>
      </w:tr>
      <w:tr w:rsidR="001A2073" w:rsidRPr="0022554A" w14:paraId="24AAFF13" w14:textId="54A8DCEC" w:rsidTr="0081629A">
        <w:tc>
          <w:tcPr>
            <w:tcW w:w="2279" w:type="dxa"/>
          </w:tcPr>
          <w:p w14:paraId="2EB4996A" w14:textId="77777777" w:rsidR="001A2073" w:rsidRPr="0022554A" w:rsidRDefault="001A2073" w:rsidP="0022554A">
            <w:pPr>
              <w:tabs>
                <w:tab w:val="left" w:pos="5400"/>
              </w:tabs>
              <w:rPr>
                <w:bCs/>
                <w:sz w:val="20"/>
              </w:rPr>
            </w:pPr>
            <w:bookmarkStart w:id="21" w:name="bold10" w:colFirst="0" w:colLast="0"/>
            <w:bookmarkStart w:id="22" w:name="italic11" w:colFirst="0" w:colLast="0"/>
            <w:r w:rsidRPr="0022554A">
              <w:rPr>
                <w:bCs/>
                <w:sz w:val="20"/>
              </w:rPr>
              <w:lastRenderedPageBreak/>
              <w:t>Objectives</w:t>
            </w:r>
          </w:p>
        </w:tc>
        <w:tc>
          <w:tcPr>
            <w:tcW w:w="823" w:type="dxa"/>
          </w:tcPr>
          <w:p w14:paraId="616E3DF0" w14:textId="77777777" w:rsidR="001A2073" w:rsidRPr="0022554A" w:rsidRDefault="001A2073" w:rsidP="0022554A">
            <w:pPr>
              <w:tabs>
                <w:tab w:val="left" w:pos="5400"/>
              </w:tabs>
              <w:jc w:val="center"/>
              <w:rPr>
                <w:sz w:val="20"/>
              </w:rPr>
            </w:pPr>
            <w:r w:rsidRPr="0022554A">
              <w:rPr>
                <w:sz w:val="20"/>
              </w:rPr>
              <w:t>3</w:t>
            </w:r>
          </w:p>
        </w:tc>
        <w:tc>
          <w:tcPr>
            <w:tcW w:w="4629" w:type="dxa"/>
          </w:tcPr>
          <w:p w14:paraId="5D4B167F" w14:textId="77777777" w:rsidR="001A2073" w:rsidRPr="0022554A" w:rsidRDefault="001A2073" w:rsidP="0022554A">
            <w:pPr>
              <w:tabs>
                <w:tab w:val="left" w:pos="5400"/>
              </w:tabs>
              <w:rPr>
                <w:sz w:val="20"/>
              </w:rPr>
            </w:pPr>
            <w:r w:rsidRPr="0022554A">
              <w:rPr>
                <w:sz w:val="20"/>
              </w:rPr>
              <w:t>State specific objectives, including any prespecified hypotheses</w:t>
            </w:r>
          </w:p>
        </w:tc>
        <w:tc>
          <w:tcPr>
            <w:tcW w:w="1050" w:type="dxa"/>
          </w:tcPr>
          <w:p w14:paraId="5BA4F46A" w14:textId="4F512447" w:rsidR="001A2073" w:rsidRPr="0022554A" w:rsidRDefault="00EB2852" w:rsidP="005B34EC">
            <w:pPr>
              <w:tabs>
                <w:tab w:val="left" w:pos="5400"/>
              </w:tabs>
              <w:jc w:val="center"/>
              <w:rPr>
                <w:sz w:val="20"/>
              </w:rPr>
            </w:pPr>
            <w:r>
              <w:rPr>
                <w:sz w:val="20"/>
              </w:rPr>
              <w:t>4</w:t>
            </w:r>
          </w:p>
        </w:tc>
        <w:tc>
          <w:tcPr>
            <w:tcW w:w="6211" w:type="dxa"/>
          </w:tcPr>
          <w:p w14:paraId="6D30327B" w14:textId="4C0FD0A3" w:rsidR="001A2073" w:rsidRPr="0022554A" w:rsidRDefault="00814A23" w:rsidP="0022554A">
            <w:pPr>
              <w:tabs>
                <w:tab w:val="left" w:pos="5400"/>
              </w:tabs>
              <w:rPr>
                <w:sz w:val="20"/>
              </w:rPr>
            </w:pPr>
            <w:r w:rsidRPr="00814A23">
              <w:rPr>
                <w:sz w:val="20"/>
              </w:rPr>
              <w:t>This study aimed to identify biological risk factors associated with the development of long COVID in Thai, specifically focusing on the SARS-CoV-2 variants and host factors.</w:t>
            </w:r>
          </w:p>
        </w:tc>
      </w:tr>
      <w:tr w:rsidR="001A2073" w:rsidRPr="0022554A" w14:paraId="0905A2CB" w14:textId="6D0D9656" w:rsidTr="0081629A">
        <w:tc>
          <w:tcPr>
            <w:tcW w:w="7731" w:type="dxa"/>
            <w:gridSpan w:val="3"/>
          </w:tcPr>
          <w:p w14:paraId="4F0835D2" w14:textId="77777777" w:rsidR="001A2073" w:rsidRPr="0022554A" w:rsidRDefault="001A2073" w:rsidP="0022554A">
            <w:pPr>
              <w:pStyle w:val="TableSubHead"/>
              <w:tabs>
                <w:tab w:val="left" w:pos="5400"/>
              </w:tabs>
              <w:rPr>
                <w:sz w:val="20"/>
              </w:rPr>
            </w:pPr>
            <w:bookmarkStart w:id="23" w:name="bold11"/>
            <w:bookmarkStart w:id="24" w:name="italic12"/>
            <w:bookmarkEnd w:id="21"/>
            <w:bookmarkEnd w:id="22"/>
            <w:r w:rsidRPr="0022554A">
              <w:rPr>
                <w:sz w:val="20"/>
              </w:rPr>
              <w:t>Methods</w:t>
            </w:r>
            <w:bookmarkEnd w:id="23"/>
            <w:bookmarkEnd w:id="24"/>
          </w:p>
        </w:tc>
        <w:tc>
          <w:tcPr>
            <w:tcW w:w="1050" w:type="dxa"/>
          </w:tcPr>
          <w:p w14:paraId="0261B944" w14:textId="77777777" w:rsidR="001A2073" w:rsidRPr="0022554A" w:rsidRDefault="001A2073" w:rsidP="005B34EC">
            <w:pPr>
              <w:pStyle w:val="TableSubHead"/>
              <w:tabs>
                <w:tab w:val="left" w:pos="5400"/>
              </w:tabs>
              <w:jc w:val="center"/>
              <w:rPr>
                <w:sz w:val="20"/>
              </w:rPr>
            </w:pPr>
          </w:p>
        </w:tc>
        <w:tc>
          <w:tcPr>
            <w:tcW w:w="6211" w:type="dxa"/>
          </w:tcPr>
          <w:p w14:paraId="3D4D529C" w14:textId="77777777" w:rsidR="001A2073" w:rsidRPr="0022554A" w:rsidRDefault="001A2073" w:rsidP="0022554A">
            <w:pPr>
              <w:pStyle w:val="TableSubHead"/>
              <w:tabs>
                <w:tab w:val="left" w:pos="5400"/>
              </w:tabs>
              <w:rPr>
                <w:sz w:val="20"/>
              </w:rPr>
            </w:pPr>
          </w:p>
        </w:tc>
      </w:tr>
      <w:tr w:rsidR="001A2073" w:rsidRPr="0022554A" w14:paraId="320387D6" w14:textId="5A66FDC4" w:rsidTr="0081629A">
        <w:tc>
          <w:tcPr>
            <w:tcW w:w="2279" w:type="dxa"/>
          </w:tcPr>
          <w:p w14:paraId="3842EFA2" w14:textId="77777777" w:rsidR="001A2073" w:rsidRPr="0022554A" w:rsidRDefault="001A2073" w:rsidP="0022554A">
            <w:pPr>
              <w:tabs>
                <w:tab w:val="left" w:pos="5400"/>
              </w:tabs>
              <w:rPr>
                <w:bCs/>
                <w:sz w:val="20"/>
              </w:rPr>
            </w:pPr>
            <w:bookmarkStart w:id="25" w:name="bold12" w:colFirst="0" w:colLast="0"/>
            <w:bookmarkStart w:id="26" w:name="italic13" w:colFirst="0" w:colLast="0"/>
            <w:r w:rsidRPr="0022554A">
              <w:rPr>
                <w:bCs/>
                <w:sz w:val="20"/>
              </w:rPr>
              <w:t>Study design</w:t>
            </w:r>
          </w:p>
        </w:tc>
        <w:tc>
          <w:tcPr>
            <w:tcW w:w="823" w:type="dxa"/>
          </w:tcPr>
          <w:p w14:paraId="7AEFE1EE" w14:textId="77777777" w:rsidR="001A2073" w:rsidRPr="0022554A" w:rsidRDefault="001A2073" w:rsidP="0022554A">
            <w:pPr>
              <w:tabs>
                <w:tab w:val="left" w:pos="5400"/>
              </w:tabs>
              <w:jc w:val="center"/>
              <w:rPr>
                <w:sz w:val="20"/>
              </w:rPr>
            </w:pPr>
            <w:r w:rsidRPr="0022554A">
              <w:rPr>
                <w:sz w:val="20"/>
              </w:rPr>
              <w:t>4</w:t>
            </w:r>
          </w:p>
        </w:tc>
        <w:tc>
          <w:tcPr>
            <w:tcW w:w="4629" w:type="dxa"/>
          </w:tcPr>
          <w:p w14:paraId="5FBB5D9F" w14:textId="77777777" w:rsidR="001A2073" w:rsidRPr="0022554A" w:rsidRDefault="001A2073" w:rsidP="0022554A">
            <w:pPr>
              <w:tabs>
                <w:tab w:val="left" w:pos="5400"/>
              </w:tabs>
              <w:rPr>
                <w:sz w:val="20"/>
              </w:rPr>
            </w:pPr>
            <w:r w:rsidRPr="0022554A">
              <w:rPr>
                <w:sz w:val="20"/>
              </w:rPr>
              <w:t>Present key elements of study design early in the paper</w:t>
            </w:r>
          </w:p>
        </w:tc>
        <w:tc>
          <w:tcPr>
            <w:tcW w:w="1050" w:type="dxa"/>
          </w:tcPr>
          <w:p w14:paraId="62105C74" w14:textId="1F6DB12E" w:rsidR="001A2073" w:rsidRPr="0022554A" w:rsidRDefault="00775B79" w:rsidP="005B34EC">
            <w:pPr>
              <w:tabs>
                <w:tab w:val="left" w:pos="5400"/>
              </w:tabs>
              <w:jc w:val="center"/>
              <w:rPr>
                <w:sz w:val="20"/>
              </w:rPr>
            </w:pPr>
            <w:r>
              <w:rPr>
                <w:sz w:val="20"/>
              </w:rPr>
              <w:t>5</w:t>
            </w:r>
          </w:p>
        </w:tc>
        <w:tc>
          <w:tcPr>
            <w:tcW w:w="6211" w:type="dxa"/>
          </w:tcPr>
          <w:p w14:paraId="52A9776E" w14:textId="77777777" w:rsidR="00775B79" w:rsidRPr="00775B79" w:rsidRDefault="00775B79" w:rsidP="00775B79">
            <w:pPr>
              <w:tabs>
                <w:tab w:val="left" w:pos="5400"/>
              </w:tabs>
              <w:rPr>
                <w:rFonts w:eastAsia="MS Mincho"/>
                <w:b/>
                <w:bCs/>
                <w:sz w:val="20"/>
              </w:rPr>
            </w:pPr>
            <w:r w:rsidRPr="00775B79">
              <w:rPr>
                <w:rFonts w:eastAsia="MS Mincho"/>
                <w:b/>
                <w:bCs/>
                <w:sz w:val="20"/>
              </w:rPr>
              <w:t xml:space="preserve">Study design and </w:t>
            </w:r>
            <w:proofErr w:type="gramStart"/>
            <w:r w:rsidRPr="00775B79">
              <w:rPr>
                <w:rFonts w:eastAsia="MS Mincho"/>
                <w:b/>
                <w:bCs/>
                <w:sz w:val="20"/>
              </w:rPr>
              <w:t>participants</w:t>
            </w:r>
            <w:proofErr w:type="gramEnd"/>
          </w:p>
          <w:p w14:paraId="3C2232E7" w14:textId="4A5787CF" w:rsidR="001A2073" w:rsidRPr="0022554A" w:rsidRDefault="00775B79" w:rsidP="00775B79">
            <w:pPr>
              <w:tabs>
                <w:tab w:val="left" w:pos="5400"/>
              </w:tabs>
              <w:rPr>
                <w:sz w:val="20"/>
              </w:rPr>
            </w:pPr>
            <w:r w:rsidRPr="00775B79">
              <w:rPr>
                <w:color w:val="FF0000"/>
                <w:sz w:val="20"/>
              </w:rPr>
              <w:t>This cross-sectional study collected retrospective data</w:t>
            </w:r>
            <w:r w:rsidRPr="00775B79">
              <w:rPr>
                <w:sz w:val="20"/>
              </w:rPr>
              <w:t xml:space="preserve"> from confirmed COVID-19 cases who acquired the SARS-CoV-2 infection during the Delta and Omicron epidemic periods, as reported by the Department of Medical Science of the Ministry of Public Health in Thailand (</w:t>
            </w:r>
            <w:proofErr w:type="spellStart"/>
            <w:r w:rsidRPr="00775B79">
              <w:rPr>
                <w:sz w:val="20"/>
              </w:rPr>
              <w:t>DMSc</w:t>
            </w:r>
            <w:proofErr w:type="spellEnd"/>
            <w:r w:rsidRPr="00775B79">
              <w:rPr>
                <w:sz w:val="20"/>
              </w:rPr>
              <w:t xml:space="preserve">, 2023). Data were </w:t>
            </w:r>
            <w:proofErr w:type="spellStart"/>
            <w:r w:rsidRPr="00775B79">
              <w:rPr>
                <w:sz w:val="20"/>
              </w:rPr>
              <w:t>analyzed</w:t>
            </w:r>
            <w:proofErr w:type="spellEnd"/>
            <w:r w:rsidRPr="00775B79">
              <w:rPr>
                <w:sz w:val="20"/>
              </w:rPr>
              <w:t xml:space="preserve"> to determine the difference in prevalence and characteristics of long COVID symptoms between the two periods and to identify which biological factors were associated with long COVID.</w:t>
            </w:r>
          </w:p>
        </w:tc>
      </w:tr>
      <w:tr w:rsidR="001A2073" w:rsidRPr="0022554A" w14:paraId="5EA1974B" w14:textId="07079493" w:rsidTr="0081629A">
        <w:tc>
          <w:tcPr>
            <w:tcW w:w="2279" w:type="dxa"/>
          </w:tcPr>
          <w:p w14:paraId="4C7EE5DF" w14:textId="77777777" w:rsidR="001A2073" w:rsidRPr="0022554A" w:rsidRDefault="001A2073" w:rsidP="0022554A">
            <w:pPr>
              <w:tabs>
                <w:tab w:val="left" w:pos="5400"/>
              </w:tabs>
              <w:rPr>
                <w:bCs/>
                <w:sz w:val="20"/>
              </w:rPr>
            </w:pPr>
            <w:bookmarkStart w:id="27" w:name="bold13" w:colFirst="0" w:colLast="0"/>
            <w:bookmarkStart w:id="28" w:name="italic14" w:colFirst="0" w:colLast="0"/>
            <w:bookmarkEnd w:id="25"/>
            <w:bookmarkEnd w:id="26"/>
            <w:r w:rsidRPr="0022554A">
              <w:rPr>
                <w:bCs/>
                <w:sz w:val="20"/>
              </w:rPr>
              <w:t>Setting</w:t>
            </w:r>
          </w:p>
        </w:tc>
        <w:tc>
          <w:tcPr>
            <w:tcW w:w="823" w:type="dxa"/>
          </w:tcPr>
          <w:p w14:paraId="3B4580A4" w14:textId="77777777" w:rsidR="001A2073" w:rsidRPr="0022554A" w:rsidRDefault="001A2073" w:rsidP="0022554A">
            <w:pPr>
              <w:tabs>
                <w:tab w:val="left" w:pos="5400"/>
              </w:tabs>
              <w:jc w:val="center"/>
              <w:rPr>
                <w:sz w:val="20"/>
              </w:rPr>
            </w:pPr>
            <w:r w:rsidRPr="0022554A">
              <w:rPr>
                <w:sz w:val="20"/>
              </w:rPr>
              <w:t>5</w:t>
            </w:r>
          </w:p>
        </w:tc>
        <w:tc>
          <w:tcPr>
            <w:tcW w:w="4629" w:type="dxa"/>
          </w:tcPr>
          <w:p w14:paraId="7464EB3E" w14:textId="77777777" w:rsidR="001A2073" w:rsidRPr="0022554A" w:rsidRDefault="001A2073" w:rsidP="0022554A">
            <w:pPr>
              <w:tabs>
                <w:tab w:val="left" w:pos="5400"/>
              </w:tabs>
              <w:rPr>
                <w:sz w:val="20"/>
              </w:rPr>
            </w:pPr>
            <w:r w:rsidRPr="0022554A">
              <w:rPr>
                <w:sz w:val="20"/>
              </w:rPr>
              <w:t>Describe the setting, locations, and relevant dates, including periods of recruitment, exposure, follow-up, and data collection</w:t>
            </w:r>
          </w:p>
        </w:tc>
        <w:tc>
          <w:tcPr>
            <w:tcW w:w="1050" w:type="dxa"/>
          </w:tcPr>
          <w:p w14:paraId="2D20A6E7" w14:textId="60535D5E" w:rsidR="001A2073" w:rsidRPr="0022554A" w:rsidRDefault="00355AEA" w:rsidP="005B34EC">
            <w:pPr>
              <w:tabs>
                <w:tab w:val="left" w:pos="5400"/>
              </w:tabs>
              <w:jc w:val="center"/>
              <w:rPr>
                <w:sz w:val="20"/>
              </w:rPr>
            </w:pPr>
            <w:r>
              <w:rPr>
                <w:sz w:val="20"/>
              </w:rPr>
              <w:t>5</w:t>
            </w:r>
          </w:p>
        </w:tc>
        <w:tc>
          <w:tcPr>
            <w:tcW w:w="6211" w:type="dxa"/>
          </w:tcPr>
          <w:p w14:paraId="48DB77E9" w14:textId="056C5A29" w:rsidR="001A2073" w:rsidRPr="0022554A" w:rsidRDefault="00053ECD" w:rsidP="0022554A">
            <w:pPr>
              <w:tabs>
                <w:tab w:val="left" w:pos="5400"/>
              </w:tabs>
              <w:rPr>
                <w:sz w:val="20"/>
              </w:rPr>
            </w:pPr>
            <w:r w:rsidRPr="00053ECD">
              <w:rPr>
                <w:sz w:val="20"/>
              </w:rPr>
              <w:t>Based on the medical records of the confirmed SARS-CoV-2 RT-qPCR positive cases at Maharat Nakhon Ratchasima Hospital from June to November 2021 (Delta period) and from December 2021 to the first week of August 2022 (Omicron period), all confirmed COVID-19 cases who were ≥ 18 years old, infected by SARS-CoV-2 for the first time within these periods, and had recovered from the infection for a minimum of three months were included as eligible participants.</w:t>
            </w:r>
          </w:p>
        </w:tc>
      </w:tr>
      <w:bookmarkEnd w:id="27"/>
      <w:bookmarkEnd w:id="28"/>
      <w:tr w:rsidR="001A2073" w:rsidRPr="0022554A" w14:paraId="169710FB" w14:textId="2693FB70" w:rsidTr="0081629A">
        <w:tc>
          <w:tcPr>
            <w:tcW w:w="2279" w:type="dxa"/>
          </w:tcPr>
          <w:p w14:paraId="7835F621" w14:textId="77777777" w:rsidR="001A2073" w:rsidRPr="0022554A" w:rsidRDefault="001A2073" w:rsidP="0022554A">
            <w:pPr>
              <w:tabs>
                <w:tab w:val="left" w:pos="5400"/>
              </w:tabs>
              <w:rPr>
                <w:bCs/>
                <w:sz w:val="20"/>
              </w:rPr>
            </w:pPr>
            <w:r w:rsidRPr="0022554A">
              <w:rPr>
                <w:bCs/>
                <w:sz w:val="20"/>
              </w:rPr>
              <w:t>Participants</w:t>
            </w:r>
          </w:p>
        </w:tc>
        <w:tc>
          <w:tcPr>
            <w:tcW w:w="823" w:type="dxa"/>
          </w:tcPr>
          <w:p w14:paraId="493040AE" w14:textId="77777777" w:rsidR="001A2073" w:rsidRPr="0022554A" w:rsidRDefault="001A2073" w:rsidP="0022554A">
            <w:pPr>
              <w:tabs>
                <w:tab w:val="left" w:pos="5400"/>
              </w:tabs>
              <w:jc w:val="center"/>
              <w:rPr>
                <w:sz w:val="20"/>
              </w:rPr>
            </w:pPr>
            <w:r w:rsidRPr="0022554A">
              <w:rPr>
                <w:sz w:val="20"/>
              </w:rPr>
              <w:t>6</w:t>
            </w:r>
          </w:p>
        </w:tc>
        <w:tc>
          <w:tcPr>
            <w:tcW w:w="4629" w:type="dxa"/>
          </w:tcPr>
          <w:p w14:paraId="5B2E343E" w14:textId="77777777" w:rsidR="001A2073" w:rsidRPr="0022554A" w:rsidRDefault="001A2073"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1050" w:type="dxa"/>
          </w:tcPr>
          <w:p w14:paraId="68540B64" w14:textId="7931BD68" w:rsidR="001A2073" w:rsidRPr="0022554A" w:rsidRDefault="00355AEA" w:rsidP="005B34EC">
            <w:pPr>
              <w:tabs>
                <w:tab w:val="left" w:pos="5400"/>
              </w:tabs>
              <w:jc w:val="center"/>
              <w:rPr>
                <w:sz w:val="20"/>
              </w:rPr>
            </w:pPr>
            <w:r>
              <w:rPr>
                <w:sz w:val="20"/>
              </w:rPr>
              <w:t>5</w:t>
            </w:r>
          </w:p>
        </w:tc>
        <w:tc>
          <w:tcPr>
            <w:tcW w:w="6211" w:type="dxa"/>
          </w:tcPr>
          <w:p w14:paraId="46488658" w14:textId="77777777" w:rsidR="001A2073" w:rsidRDefault="00053ECD" w:rsidP="0022554A">
            <w:pPr>
              <w:tabs>
                <w:tab w:val="left" w:pos="5400"/>
              </w:tabs>
              <w:rPr>
                <w:sz w:val="20"/>
              </w:rPr>
            </w:pPr>
            <w:r w:rsidRPr="00053ECD">
              <w:rPr>
                <w:sz w:val="20"/>
              </w:rPr>
              <w:t>Based on the medical records of the confirmed SARS-CoV-2 RT-qPCR positive cases at Maharat Nakhon Ratchasima Hospital from June to November 2021 (Delta period) and from December 2021 to the first week of August 2022 (Omicron period), all confirmed COVID-19 cases who were ≥ 18 years old, infected by SARS-CoV-2 for the first time within these periods, and had recovered from the infection for a minimum of three months were included as eligible participants.</w:t>
            </w:r>
            <w:r>
              <w:rPr>
                <w:sz w:val="20"/>
              </w:rPr>
              <w:t xml:space="preserve"> </w:t>
            </w:r>
            <w:r w:rsidRPr="00053ECD">
              <w:rPr>
                <w:sz w:val="20"/>
              </w:rPr>
              <w:t xml:space="preserve">They were approached at random via telephone and requested to provide verbal consent for a </w:t>
            </w:r>
            <w:r w:rsidRPr="00053ECD">
              <w:rPr>
                <w:sz w:val="20"/>
              </w:rPr>
              <w:lastRenderedPageBreak/>
              <w:t xml:space="preserve">single remote interview via telephone. A peer-evaluated questionnaire was employed to record and </w:t>
            </w:r>
            <w:proofErr w:type="spellStart"/>
            <w:r w:rsidRPr="00053ECD">
              <w:rPr>
                <w:sz w:val="20"/>
              </w:rPr>
              <w:t>analyze</w:t>
            </w:r>
            <w:proofErr w:type="spellEnd"/>
            <w:r w:rsidRPr="00053ECD">
              <w:rPr>
                <w:sz w:val="20"/>
              </w:rPr>
              <w:t xml:space="preserve"> retrospective self-report data from each participant during the interview process.</w:t>
            </w:r>
          </w:p>
          <w:p w14:paraId="1621D0B5" w14:textId="0AE25C58" w:rsidR="0021518A" w:rsidRPr="0021518A" w:rsidRDefault="0021518A" w:rsidP="0022554A">
            <w:pPr>
              <w:tabs>
                <w:tab w:val="left" w:pos="5400"/>
              </w:tabs>
              <w:rPr>
                <w:sz w:val="20"/>
                <w:lang w:val="en-TH"/>
              </w:rPr>
            </w:pPr>
            <w:r w:rsidRPr="0021518A">
              <w:rPr>
                <w:sz w:val="20"/>
                <w:lang w:val="en-TH"/>
              </w:rPr>
              <w:t>Individuals who were pregnant during the COVID-19 infection, missed contact, had no recollection of long COVID experiences, passed away prior to interview, or lacked the ability to communicate in Thai were excluded from the study.</w:t>
            </w:r>
          </w:p>
        </w:tc>
      </w:tr>
      <w:tr w:rsidR="001A2073" w:rsidRPr="0022554A" w14:paraId="42604D0F" w14:textId="2A505B24" w:rsidTr="0081629A">
        <w:tc>
          <w:tcPr>
            <w:tcW w:w="2279" w:type="dxa"/>
          </w:tcPr>
          <w:p w14:paraId="3C733A96" w14:textId="77777777" w:rsidR="001A2073" w:rsidRPr="0022554A" w:rsidRDefault="001A2073" w:rsidP="0022554A">
            <w:pPr>
              <w:tabs>
                <w:tab w:val="left" w:pos="5400"/>
              </w:tabs>
              <w:rPr>
                <w:bCs/>
                <w:sz w:val="20"/>
              </w:rPr>
            </w:pPr>
            <w:bookmarkStart w:id="29" w:name="bold16" w:colFirst="0" w:colLast="0"/>
            <w:bookmarkStart w:id="30" w:name="italic17" w:colFirst="0" w:colLast="0"/>
            <w:r w:rsidRPr="0022554A">
              <w:rPr>
                <w:bCs/>
                <w:sz w:val="20"/>
              </w:rPr>
              <w:lastRenderedPageBreak/>
              <w:t>Variables</w:t>
            </w:r>
          </w:p>
        </w:tc>
        <w:tc>
          <w:tcPr>
            <w:tcW w:w="823" w:type="dxa"/>
          </w:tcPr>
          <w:p w14:paraId="2B9B5852" w14:textId="77777777" w:rsidR="001A2073" w:rsidRPr="0022554A" w:rsidRDefault="001A2073" w:rsidP="0022554A">
            <w:pPr>
              <w:tabs>
                <w:tab w:val="left" w:pos="5400"/>
              </w:tabs>
              <w:jc w:val="center"/>
              <w:rPr>
                <w:sz w:val="20"/>
              </w:rPr>
            </w:pPr>
            <w:r w:rsidRPr="0022554A">
              <w:rPr>
                <w:sz w:val="20"/>
              </w:rPr>
              <w:t>7</w:t>
            </w:r>
          </w:p>
        </w:tc>
        <w:tc>
          <w:tcPr>
            <w:tcW w:w="4629" w:type="dxa"/>
          </w:tcPr>
          <w:p w14:paraId="019814BD" w14:textId="77777777" w:rsidR="001A2073" w:rsidRPr="0022554A" w:rsidRDefault="001A207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050" w:type="dxa"/>
          </w:tcPr>
          <w:p w14:paraId="43BBC583" w14:textId="4A2F3047" w:rsidR="001A2073" w:rsidRPr="0022554A" w:rsidRDefault="00D675E7" w:rsidP="005B34EC">
            <w:pPr>
              <w:tabs>
                <w:tab w:val="left" w:pos="5400"/>
              </w:tabs>
              <w:jc w:val="center"/>
              <w:rPr>
                <w:sz w:val="20"/>
              </w:rPr>
            </w:pPr>
            <w:r>
              <w:rPr>
                <w:sz w:val="20"/>
              </w:rPr>
              <w:t>5</w:t>
            </w:r>
          </w:p>
        </w:tc>
        <w:tc>
          <w:tcPr>
            <w:tcW w:w="6211" w:type="dxa"/>
          </w:tcPr>
          <w:p w14:paraId="67C52E12" w14:textId="10FC2050" w:rsidR="001A2073" w:rsidRPr="0022554A" w:rsidRDefault="0021518A" w:rsidP="0022554A">
            <w:pPr>
              <w:tabs>
                <w:tab w:val="left" w:pos="5400"/>
              </w:tabs>
              <w:rPr>
                <w:sz w:val="20"/>
              </w:rPr>
            </w:pPr>
            <w:r w:rsidRPr="0021518A">
              <w:rPr>
                <w:sz w:val="20"/>
              </w:rPr>
              <w:t>The self-reported questionnaire asked about basic demographic data and the experience of COVID-19 disease, including COVID-19 severity, the presence of long COVID symptoms within three months after infection, drug(s) for treatment, and vaccine status.</w:t>
            </w:r>
          </w:p>
        </w:tc>
      </w:tr>
      <w:tr w:rsidR="001A2073" w:rsidRPr="0022554A" w14:paraId="173B02F0" w14:textId="12855902" w:rsidTr="0081629A">
        <w:trPr>
          <w:trHeight w:val="294"/>
        </w:trPr>
        <w:tc>
          <w:tcPr>
            <w:tcW w:w="2279" w:type="dxa"/>
          </w:tcPr>
          <w:p w14:paraId="03790D59" w14:textId="77777777" w:rsidR="001A2073" w:rsidRPr="0022554A" w:rsidRDefault="001A207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823" w:type="dxa"/>
          </w:tcPr>
          <w:p w14:paraId="5601C68E" w14:textId="77777777" w:rsidR="001A2073" w:rsidRPr="0022554A" w:rsidRDefault="001A2073" w:rsidP="0022554A">
            <w:pPr>
              <w:tabs>
                <w:tab w:val="left" w:pos="5400"/>
              </w:tabs>
              <w:jc w:val="center"/>
              <w:rPr>
                <w:sz w:val="20"/>
              </w:rPr>
            </w:pPr>
            <w:r w:rsidRPr="0022554A">
              <w:rPr>
                <w:sz w:val="20"/>
              </w:rPr>
              <w:t>8</w:t>
            </w:r>
            <w:bookmarkStart w:id="35" w:name="bold19"/>
            <w:r w:rsidRPr="0022554A">
              <w:rPr>
                <w:bCs/>
                <w:sz w:val="20"/>
              </w:rPr>
              <w:t>*</w:t>
            </w:r>
            <w:bookmarkEnd w:id="35"/>
          </w:p>
        </w:tc>
        <w:tc>
          <w:tcPr>
            <w:tcW w:w="4629" w:type="dxa"/>
          </w:tcPr>
          <w:p w14:paraId="1D2B0A68" w14:textId="77777777" w:rsidR="001A2073" w:rsidRPr="0022554A" w:rsidRDefault="001A207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050" w:type="dxa"/>
          </w:tcPr>
          <w:p w14:paraId="14778DB4" w14:textId="0F5BE338" w:rsidR="001A2073" w:rsidRPr="00D675E7" w:rsidRDefault="00D675E7" w:rsidP="005B34EC">
            <w:pPr>
              <w:tabs>
                <w:tab w:val="left" w:pos="5400"/>
              </w:tabs>
              <w:jc w:val="center"/>
              <w:rPr>
                <w:iCs/>
                <w:sz w:val="20"/>
              </w:rPr>
            </w:pPr>
            <w:r w:rsidRPr="00D675E7">
              <w:rPr>
                <w:iCs/>
                <w:sz w:val="20"/>
              </w:rPr>
              <w:t>5</w:t>
            </w:r>
          </w:p>
        </w:tc>
        <w:tc>
          <w:tcPr>
            <w:tcW w:w="6211" w:type="dxa"/>
          </w:tcPr>
          <w:p w14:paraId="5F7B0248" w14:textId="77777777" w:rsidR="006F640D" w:rsidRDefault="006F640D" w:rsidP="0022554A">
            <w:pPr>
              <w:tabs>
                <w:tab w:val="left" w:pos="5400"/>
              </w:tabs>
              <w:rPr>
                <w:sz w:val="20"/>
              </w:rPr>
            </w:pPr>
            <w:r w:rsidRPr="0021518A">
              <w:rPr>
                <w:sz w:val="20"/>
              </w:rPr>
              <w:t xml:space="preserve">The self-reported questionnaire asked about basic demographic data and the experience of COVID-19 disease, including COVID-19 severity, the presence of long COVID symptoms within three months after infection, drug(s) for treatment, and vaccine </w:t>
            </w:r>
            <w:proofErr w:type="spellStart"/>
            <w:r w:rsidRPr="0021518A">
              <w:rPr>
                <w:sz w:val="20"/>
              </w:rPr>
              <w:t>status.</w:t>
            </w:r>
          </w:p>
          <w:p w14:paraId="20B46DDB" w14:textId="211FE403" w:rsidR="006F640D" w:rsidRPr="006F640D" w:rsidRDefault="006F640D" w:rsidP="0022554A">
            <w:pPr>
              <w:tabs>
                <w:tab w:val="left" w:pos="5400"/>
              </w:tabs>
              <w:rPr>
                <w:iCs/>
                <w:sz w:val="20"/>
              </w:rPr>
            </w:pPr>
            <w:proofErr w:type="spellEnd"/>
            <w:r w:rsidRPr="006F640D">
              <w:rPr>
                <w:iCs/>
                <w:sz w:val="20"/>
              </w:rPr>
              <w:t>A binary logistic regression test with enter method was used to determine the association between biological factors and long COVID outcome. The strength of association was determined using an odds ratio at 95% confidence interval and a P-value &lt; 0.05 was considered as significant association.</w:t>
            </w:r>
          </w:p>
        </w:tc>
      </w:tr>
      <w:tr w:rsidR="001A2073" w:rsidRPr="0022554A" w14:paraId="33DFC630" w14:textId="44E73304" w:rsidTr="0081629A">
        <w:tc>
          <w:tcPr>
            <w:tcW w:w="2279" w:type="dxa"/>
          </w:tcPr>
          <w:p w14:paraId="4DEC6BC8" w14:textId="77777777" w:rsidR="001A2073" w:rsidRPr="0022554A" w:rsidRDefault="001A207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823" w:type="dxa"/>
          </w:tcPr>
          <w:p w14:paraId="01EFB326" w14:textId="77777777" w:rsidR="001A2073" w:rsidRPr="0022554A" w:rsidRDefault="001A2073" w:rsidP="0022554A">
            <w:pPr>
              <w:tabs>
                <w:tab w:val="left" w:pos="5400"/>
              </w:tabs>
              <w:jc w:val="center"/>
              <w:rPr>
                <w:sz w:val="20"/>
              </w:rPr>
            </w:pPr>
            <w:r w:rsidRPr="0022554A">
              <w:rPr>
                <w:sz w:val="20"/>
              </w:rPr>
              <w:t>9</w:t>
            </w:r>
          </w:p>
        </w:tc>
        <w:tc>
          <w:tcPr>
            <w:tcW w:w="4629" w:type="dxa"/>
          </w:tcPr>
          <w:p w14:paraId="63B863F6" w14:textId="77777777" w:rsidR="001A2073" w:rsidRPr="0022554A" w:rsidRDefault="001A2073" w:rsidP="0022554A">
            <w:pPr>
              <w:tabs>
                <w:tab w:val="left" w:pos="5400"/>
              </w:tabs>
              <w:rPr>
                <w:color w:val="000000"/>
                <w:sz w:val="20"/>
              </w:rPr>
            </w:pPr>
            <w:r w:rsidRPr="0022554A">
              <w:rPr>
                <w:color w:val="000000"/>
                <w:sz w:val="20"/>
              </w:rPr>
              <w:t>Describe any efforts to address potential sources of bias</w:t>
            </w:r>
          </w:p>
        </w:tc>
        <w:tc>
          <w:tcPr>
            <w:tcW w:w="1050" w:type="dxa"/>
          </w:tcPr>
          <w:p w14:paraId="62DA158B" w14:textId="7384C198" w:rsidR="001A2073" w:rsidRPr="0022554A" w:rsidRDefault="00B36FB6" w:rsidP="005B34EC">
            <w:pPr>
              <w:tabs>
                <w:tab w:val="left" w:pos="5400"/>
              </w:tabs>
              <w:jc w:val="center"/>
              <w:rPr>
                <w:color w:val="000000"/>
                <w:sz w:val="20"/>
              </w:rPr>
            </w:pPr>
            <w:r>
              <w:rPr>
                <w:color w:val="000000"/>
                <w:sz w:val="20"/>
              </w:rPr>
              <w:t>5</w:t>
            </w:r>
          </w:p>
        </w:tc>
        <w:tc>
          <w:tcPr>
            <w:tcW w:w="6211" w:type="dxa"/>
          </w:tcPr>
          <w:p w14:paraId="749CECBA" w14:textId="2A76E6F2" w:rsidR="001A2073" w:rsidRPr="00B36FB6" w:rsidRDefault="00B36FB6" w:rsidP="0022554A">
            <w:pPr>
              <w:tabs>
                <w:tab w:val="left" w:pos="5400"/>
              </w:tabs>
              <w:rPr>
                <w:color w:val="000000"/>
                <w:sz w:val="20"/>
                <w:lang w:val="en-TH"/>
              </w:rPr>
            </w:pPr>
            <w:r w:rsidRPr="00B36FB6">
              <w:rPr>
                <w:color w:val="000000"/>
                <w:sz w:val="20"/>
                <w:lang w:val="en-TH"/>
              </w:rPr>
              <w:t>Individuals who were pregnant during the COVID-19 infection, missed contact, had no recollection of long COVID experiences, passed away prior to interview, or lacked the ability to communicate in Thai were excluded from the study.</w:t>
            </w:r>
          </w:p>
        </w:tc>
      </w:tr>
      <w:tr w:rsidR="001A2073" w:rsidRPr="0022554A" w14:paraId="0FBA3F4C" w14:textId="43329853" w:rsidTr="0081629A">
        <w:tc>
          <w:tcPr>
            <w:tcW w:w="2279" w:type="dxa"/>
          </w:tcPr>
          <w:p w14:paraId="2AC2E68C" w14:textId="77777777" w:rsidR="001A2073" w:rsidRPr="0022554A" w:rsidRDefault="001A207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823" w:type="dxa"/>
          </w:tcPr>
          <w:p w14:paraId="12134ACD" w14:textId="77777777" w:rsidR="001A2073" w:rsidRPr="0022554A" w:rsidRDefault="001A2073" w:rsidP="0022554A">
            <w:pPr>
              <w:tabs>
                <w:tab w:val="left" w:pos="5400"/>
              </w:tabs>
              <w:jc w:val="center"/>
              <w:rPr>
                <w:sz w:val="20"/>
              </w:rPr>
            </w:pPr>
            <w:r w:rsidRPr="0022554A">
              <w:rPr>
                <w:sz w:val="20"/>
              </w:rPr>
              <w:t>10</w:t>
            </w:r>
          </w:p>
        </w:tc>
        <w:tc>
          <w:tcPr>
            <w:tcW w:w="4629" w:type="dxa"/>
          </w:tcPr>
          <w:p w14:paraId="092947F5" w14:textId="77777777" w:rsidR="001A2073" w:rsidRPr="0022554A" w:rsidRDefault="001A2073" w:rsidP="0022554A">
            <w:pPr>
              <w:tabs>
                <w:tab w:val="left" w:pos="5400"/>
              </w:tabs>
              <w:rPr>
                <w:sz w:val="20"/>
              </w:rPr>
            </w:pPr>
            <w:r w:rsidRPr="0022554A">
              <w:rPr>
                <w:sz w:val="20"/>
              </w:rPr>
              <w:t>Explain how the study size was arrived at</w:t>
            </w:r>
          </w:p>
        </w:tc>
        <w:tc>
          <w:tcPr>
            <w:tcW w:w="1050" w:type="dxa"/>
          </w:tcPr>
          <w:p w14:paraId="4485B2A2" w14:textId="05EAD9FD" w:rsidR="001A2073" w:rsidRPr="0022554A" w:rsidRDefault="00B36FB6" w:rsidP="005B34EC">
            <w:pPr>
              <w:tabs>
                <w:tab w:val="left" w:pos="5400"/>
              </w:tabs>
              <w:jc w:val="center"/>
              <w:rPr>
                <w:sz w:val="20"/>
              </w:rPr>
            </w:pPr>
            <w:r>
              <w:rPr>
                <w:sz w:val="20"/>
              </w:rPr>
              <w:t>5</w:t>
            </w:r>
          </w:p>
        </w:tc>
        <w:tc>
          <w:tcPr>
            <w:tcW w:w="6211" w:type="dxa"/>
          </w:tcPr>
          <w:p w14:paraId="070A92A1" w14:textId="5E79B260" w:rsidR="001A2073" w:rsidRPr="0022554A" w:rsidRDefault="00B36FB6" w:rsidP="0022554A">
            <w:pPr>
              <w:tabs>
                <w:tab w:val="left" w:pos="5400"/>
              </w:tabs>
              <w:rPr>
                <w:sz w:val="20"/>
              </w:rPr>
            </w:pPr>
            <w:r w:rsidRPr="00B36FB6">
              <w:rPr>
                <w:sz w:val="20"/>
              </w:rPr>
              <w:t>A minimum sample size of 206 positive COVD-19 cases was required, which was calculated using the n4Studies application (https://www.facebook.com/n4Studies/) based on an estimation infinite population proportion method by setting a prevalence difference proportion of 16% (</w:t>
            </w:r>
            <w:proofErr w:type="spellStart"/>
            <w:r w:rsidRPr="00B36FB6">
              <w:rPr>
                <w:sz w:val="20"/>
              </w:rPr>
              <w:t>Ayoubkhani</w:t>
            </w:r>
            <w:proofErr w:type="spellEnd"/>
            <w:r w:rsidRPr="00B36FB6">
              <w:rPr>
                <w:sz w:val="20"/>
              </w:rPr>
              <w:t xml:space="preserve"> &amp; King, 2022), and an alpha error of 0.05.</w:t>
            </w:r>
          </w:p>
        </w:tc>
      </w:tr>
      <w:tr w:rsidR="001A2073" w:rsidRPr="0022554A" w14:paraId="3C0CAA74" w14:textId="3BA7E23C" w:rsidTr="0081629A">
        <w:tc>
          <w:tcPr>
            <w:tcW w:w="2279" w:type="dxa"/>
          </w:tcPr>
          <w:p w14:paraId="771B1069" w14:textId="77777777" w:rsidR="001A2073" w:rsidRPr="0022554A" w:rsidRDefault="001A2073" w:rsidP="0022554A">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823" w:type="dxa"/>
          </w:tcPr>
          <w:p w14:paraId="6451891F" w14:textId="77777777" w:rsidR="001A2073" w:rsidRPr="0022554A" w:rsidRDefault="001A2073" w:rsidP="0022554A">
            <w:pPr>
              <w:tabs>
                <w:tab w:val="left" w:pos="5400"/>
              </w:tabs>
              <w:jc w:val="center"/>
              <w:rPr>
                <w:sz w:val="20"/>
              </w:rPr>
            </w:pPr>
            <w:r w:rsidRPr="0022554A">
              <w:rPr>
                <w:sz w:val="20"/>
              </w:rPr>
              <w:t>11</w:t>
            </w:r>
          </w:p>
        </w:tc>
        <w:tc>
          <w:tcPr>
            <w:tcW w:w="4629" w:type="dxa"/>
          </w:tcPr>
          <w:p w14:paraId="27066991" w14:textId="77777777" w:rsidR="001A2073" w:rsidRPr="0022554A" w:rsidRDefault="001A2073" w:rsidP="0022554A">
            <w:pPr>
              <w:tabs>
                <w:tab w:val="left" w:pos="5400"/>
              </w:tabs>
              <w:rPr>
                <w:sz w:val="20"/>
              </w:rPr>
            </w:pPr>
            <w:r w:rsidRPr="0022554A">
              <w:rPr>
                <w:sz w:val="20"/>
              </w:rPr>
              <w:t xml:space="preserve">Explain how quantitative variables were handled in the </w:t>
            </w:r>
            <w:r w:rsidRPr="0022554A">
              <w:rPr>
                <w:sz w:val="20"/>
              </w:rPr>
              <w:lastRenderedPageBreak/>
              <w:t>analyses. If applicable, describe which groupings were chosen and why</w:t>
            </w:r>
          </w:p>
        </w:tc>
        <w:tc>
          <w:tcPr>
            <w:tcW w:w="1050" w:type="dxa"/>
          </w:tcPr>
          <w:p w14:paraId="483A0BD2" w14:textId="63905CA9" w:rsidR="001A2073" w:rsidRPr="0022554A" w:rsidRDefault="0081629A" w:rsidP="005B34EC">
            <w:pPr>
              <w:tabs>
                <w:tab w:val="left" w:pos="5400"/>
              </w:tabs>
              <w:jc w:val="center"/>
              <w:rPr>
                <w:sz w:val="20"/>
              </w:rPr>
            </w:pPr>
            <w:r>
              <w:rPr>
                <w:sz w:val="20"/>
              </w:rPr>
              <w:lastRenderedPageBreak/>
              <w:t>6</w:t>
            </w:r>
          </w:p>
        </w:tc>
        <w:tc>
          <w:tcPr>
            <w:tcW w:w="6211" w:type="dxa"/>
          </w:tcPr>
          <w:p w14:paraId="329EF708" w14:textId="2910F6FA" w:rsidR="001A2073" w:rsidRPr="0022554A" w:rsidRDefault="0081629A" w:rsidP="0022554A">
            <w:pPr>
              <w:tabs>
                <w:tab w:val="left" w:pos="5400"/>
              </w:tabs>
              <w:rPr>
                <w:sz w:val="20"/>
              </w:rPr>
            </w:pPr>
            <w:r w:rsidRPr="0081629A">
              <w:rPr>
                <w:sz w:val="20"/>
              </w:rPr>
              <w:t xml:space="preserve">All data were </w:t>
            </w:r>
            <w:proofErr w:type="spellStart"/>
            <w:r w:rsidRPr="0081629A">
              <w:rPr>
                <w:sz w:val="20"/>
              </w:rPr>
              <w:t>analyzed</w:t>
            </w:r>
            <w:proofErr w:type="spellEnd"/>
            <w:r w:rsidRPr="0081629A">
              <w:rPr>
                <w:sz w:val="20"/>
              </w:rPr>
              <w:t xml:space="preserve"> using the Statistical Package for the Social </w:t>
            </w:r>
            <w:r w:rsidRPr="0081629A">
              <w:rPr>
                <w:sz w:val="20"/>
              </w:rPr>
              <w:lastRenderedPageBreak/>
              <w:t xml:space="preserve">Sciences (Version 25.0, SPSS Inc., Chicago, IL, USA). Calculation of frequency, percentage, </w:t>
            </w:r>
            <w:proofErr w:type="gramStart"/>
            <w:r w:rsidRPr="0081629A">
              <w:rPr>
                <w:sz w:val="20"/>
              </w:rPr>
              <w:t>mean</w:t>
            </w:r>
            <w:proofErr w:type="gramEnd"/>
            <w:r w:rsidRPr="0081629A">
              <w:rPr>
                <w:sz w:val="20"/>
              </w:rPr>
              <w:t xml:space="preserve"> and standard deviation was used to characterize the baseline demographic data, to compare the data of long COVID between Delta and Omicron epidemic periods</w:t>
            </w:r>
            <w:r>
              <w:rPr>
                <w:sz w:val="20"/>
              </w:rPr>
              <w:t>.</w:t>
            </w:r>
          </w:p>
        </w:tc>
      </w:tr>
      <w:tr w:rsidR="00A817C9" w:rsidRPr="0022554A" w14:paraId="6392C64B" w14:textId="1777C294" w:rsidTr="0081629A">
        <w:tc>
          <w:tcPr>
            <w:tcW w:w="2279" w:type="dxa"/>
            <w:vMerge w:val="restart"/>
          </w:tcPr>
          <w:p w14:paraId="4CF4089E" w14:textId="77777777" w:rsidR="00A817C9" w:rsidRPr="0022554A" w:rsidRDefault="00A817C9" w:rsidP="0022554A">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823" w:type="dxa"/>
            <w:vMerge w:val="restart"/>
          </w:tcPr>
          <w:p w14:paraId="48FB857E" w14:textId="77777777" w:rsidR="00A817C9" w:rsidRPr="0022554A" w:rsidRDefault="00A817C9" w:rsidP="0022554A">
            <w:pPr>
              <w:tabs>
                <w:tab w:val="left" w:pos="5400"/>
              </w:tabs>
              <w:jc w:val="center"/>
              <w:rPr>
                <w:sz w:val="20"/>
              </w:rPr>
            </w:pPr>
            <w:r w:rsidRPr="0022554A">
              <w:rPr>
                <w:sz w:val="20"/>
              </w:rPr>
              <w:t>12</w:t>
            </w:r>
          </w:p>
        </w:tc>
        <w:tc>
          <w:tcPr>
            <w:tcW w:w="4629" w:type="dxa"/>
          </w:tcPr>
          <w:p w14:paraId="743D026B" w14:textId="77777777" w:rsidR="00A817C9" w:rsidRPr="0022554A" w:rsidRDefault="00A817C9"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050" w:type="dxa"/>
            <w:vMerge w:val="restart"/>
          </w:tcPr>
          <w:p w14:paraId="51F53D13" w14:textId="03FB488D" w:rsidR="00A817C9" w:rsidRPr="0022554A" w:rsidRDefault="00A817C9" w:rsidP="005B34EC">
            <w:pPr>
              <w:tabs>
                <w:tab w:val="left" w:pos="5400"/>
              </w:tabs>
              <w:jc w:val="center"/>
              <w:rPr>
                <w:sz w:val="20"/>
              </w:rPr>
            </w:pPr>
            <w:r>
              <w:rPr>
                <w:sz w:val="20"/>
              </w:rPr>
              <w:t>6</w:t>
            </w:r>
          </w:p>
        </w:tc>
        <w:tc>
          <w:tcPr>
            <w:tcW w:w="6211" w:type="dxa"/>
            <w:vMerge w:val="restart"/>
          </w:tcPr>
          <w:p w14:paraId="687064FB" w14:textId="54F38281" w:rsidR="00A817C9" w:rsidRPr="0022554A" w:rsidRDefault="00A817C9" w:rsidP="0022554A">
            <w:pPr>
              <w:tabs>
                <w:tab w:val="left" w:pos="5400"/>
              </w:tabs>
              <w:rPr>
                <w:sz w:val="20"/>
              </w:rPr>
            </w:pPr>
            <w:r w:rsidRPr="0081629A">
              <w:rPr>
                <w:sz w:val="20"/>
              </w:rPr>
              <w:t xml:space="preserve">All data were </w:t>
            </w:r>
            <w:proofErr w:type="spellStart"/>
            <w:r w:rsidRPr="0081629A">
              <w:rPr>
                <w:sz w:val="20"/>
              </w:rPr>
              <w:t>analyzed</w:t>
            </w:r>
            <w:proofErr w:type="spellEnd"/>
            <w:r w:rsidRPr="0081629A">
              <w:rPr>
                <w:sz w:val="20"/>
              </w:rPr>
              <w:t xml:space="preserve"> using the Statistical Package for the Social Sciences (Version 25.0, SPSS Inc., Chicago, IL, USA). Calculation of frequency, percentage, </w:t>
            </w:r>
            <w:proofErr w:type="gramStart"/>
            <w:r w:rsidRPr="0081629A">
              <w:rPr>
                <w:sz w:val="20"/>
              </w:rPr>
              <w:t>mean</w:t>
            </w:r>
            <w:proofErr w:type="gramEnd"/>
            <w:r w:rsidRPr="0081629A">
              <w:rPr>
                <w:sz w:val="20"/>
              </w:rPr>
              <w:t xml:space="preserve"> and standard deviation was used to characterize the baseline demographic data, to compare the data of long COVID between Delta and Omicron epidemic periods, and to compare the genetic variations in the spike protein of the SARS-CoV-2 variants. A binary logistic regression test with enter method was used to determine the association between biological factors and long COVID outcome. The strength of association was determined using an odds ratio at 95% confidence interval and a P-value &lt; 0.05 was considered as significant association.</w:t>
            </w:r>
          </w:p>
        </w:tc>
      </w:tr>
      <w:tr w:rsidR="00A817C9" w:rsidRPr="0022554A" w14:paraId="4F1F037B" w14:textId="3ADEDA62" w:rsidTr="0081629A">
        <w:tc>
          <w:tcPr>
            <w:tcW w:w="2279" w:type="dxa"/>
            <w:vMerge/>
          </w:tcPr>
          <w:p w14:paraId="10CE1C2B" w14:textId="77777777" w:rsidR="00A817C9" w:rsidRPr="0022554A" w:rsidRDefault="00A817C9" w:rsidP="0022554A">
            <w:pPr>
              <w:tabs>
                <w:tab w:val="left" w:pos="5400"/>
              </w:tabs>
              <w:rPr>
                <w:bCs/>
                <w:sz w:val="20"/>
              </w:rPr>
            </w:pPr>
            <w:bookmarkStart w:id="46" w:name="bold24" w:colFirst="0" w:colLast="0"/>
            <w:bookmarkStart w:id="47" w:name="italic26" w:colFirst="0" w:colLast="0"/>
          </w:p>
        </w:tc>
        <w:tc>
          <w:tcPr>
            <w:tcW w:w="823" w:type="dxa"/>
            <w:vMerge/>
          </w:tcPr>
          <w:p w14:paraId="4E1B46D5" w14:textId="77777777" w:rsidR="00A817C9" w:rsidRPr="0022554A" w:rsidRDefault="00A817C9" w:rsidP="0022554A">
            <w:pPr>
              <w:tabs>
                <w:tab w:val="left" w:pos="5400"/>
              </w:tabs>
              <w:jc w:val="center"/>
              <w:rPr>
                <w:sz w:val="20"/>
              </w:rPr>
            </w:pPr>
          </w:p>
        </w:tc>
        <w:tc>
          <w:tcPr>
            <w:tcW w:w="4629" w:type="dxa"/>
          </w:tcPr>
          <w:p w14:paraId="07792F7A" w14:textId="77777777" w:rsidR="00A817C9" w:rsidRPr="0022554A" w:rsidRDefault="00A817C9"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050" w:type="dxa"/>
            <w:vMerge/>
          </w:tcPr>
          <w:p w14:paraId="309F4586" w14:textId="77777777" w:rsidR="00A817C9" w:rsidRPr="0022554A" w:rsidRDefault="00A817C9" w:rsidP="005B34EC">
            <w:pPr>
              <w:tabs>
                <w:tab w:val="left" w:pos="5400"/>
              </w:tabs>
              <w:jc w:val="center"/>
              <w:rPr>
                <w:sz w:val="20"/>
              </w:rPr>
            </w:pPr>
          </w:p>
        </w:tc>
        <w:tc>
          <w:tcPr>
            <w:tcW w:w="6211" w:type="dxa"/>
            <w:vMerge/>
          </w:tcPr>
          <w:p w14:paraId="126CBC58" w14:textId="77777777" w:rsidR="00A817C9" w:rsidRPr="0022554A" w:rsidRDefault="00A817C9" w:rsidP="0022554A">
            <w:pPr>
              <w:tabs>
                <w:tab w:val="left" w:pos="5400"/>
              </w:tabs>
              <w:rPr>
                <w:sz w:val="20"/>
              </w:rPr>
            </w:pPr>
          </w:p>
        </w:tc>
      </w:tr>
      <w:tr w:rsidR="00A817C9" w:rsidRPr="0022554A" w14:paraId="2E4A2E45" w14:textId="70822E2B" w:rsidTr="0081629A">
        <w:tc>
          <w:tcPr>
            <w:tcW w:w="2279" w:type="dxa"/>
            <w:vMerge/>
          </w:tcPr>
          <w:p w14:paraId="73D56D4E" w14:textId="77777777" w:rsidR="00A817C9" w:rsidRPr="0022554A" w:rsidRDefault="00A817C9" w:rsidP="0022554A">
            <w:pPr>
              <w:tabs>
                <w:tab w:val="left" w:pos="5400"/>
              </w:tabs>
              <w:rPr>
                <w:bCs/>
                <w:sz w:val="20"/>
              </w:rPr>
            </w:pPr>
            <w:bookmarkStart w:id="48" w:name="bold25" w:colFirst="0" w:colLast="0"/>
            <w:bookmarkStart w:id="49" w:name="italic27" w:colFirst="0" w:colLast="0"/>
            <w:bookmarkEnd w:id="46"/>
            <w:bookmarkEnd w:id="47"/>
          </w:p>
        </w:tc>
        <w:tc>
          <w:tcPr>
            <w:tcW w:w="823" w:type="dxa"/>
            <w:vMerge/>
          </w:tcPr>
          <w:p w14:paraId="5DCF518E" w14:textId="77777777" w:rsidR="00A817C9" w:rsidRPr="0022554A" w:rsidRDefault="00A817C9" w:rsidP="0022554A">
            <w:pPr>
              <w:tabs>
                <w:tab w:val="left" w:pos="5400"/>
              </w:tabs>
              <w:jc w:val="center"/>
              <w:rPr>
                <w:sz w:val="20"/>
              </w:rPr>
            </w:pPr>
          </w:p>
        </w:tc>
        <w:tc>
          <w:tcPr>
            <w:tcW w:w="4629" w:type="dxa"/>
          </w:tcPr>
          <w:p w14:paraId="7578971D" w14:textId="77777777" w:rsidR="00A817C9" w:rsidRPr="0022554A" w:rsidRDefault="00A817C9"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050" w:type="dxa"/>
            <w:vMerge/>
          </w:tcPr>
          <w:p w14:paraId="12FCD5F2" w14:textId="77777777" w:rsidR="00A817C9" w:rsidRPr="0022554A" w:rsidRDefault="00A817C9" w:rsidP="005B34EC">
            <w:pPr>
              <w:tabs>
                <w:tab w:val="left" w:pos="5400"/>
              </w:tabs>
              <w:jc w:val="center"/>
              <w:rPr>
                <w:sz w:val="20"/>
              </w:rPr>
            </w:pPr>
          </w:p>
        </w:tc>
        <w:tc>
          <w:tcPr>
            <w:tcW w:w="6211" w:type="dxa"/>
            <w:vMerge/>
          </w:tcPr>
          <w:p w14:paraId="4D321C49" w14:textId="77777777" w:rsidR="00A817C9" w:rsidRPr="0022554A" w:rsidRDefault="00A817C9" w:rsidP="0022554A">
            <w:pPr>
              <w:tabs>
                <w:tab w:val="left" w:pos="5400"/>
              </w:tabs>
              <w:rPr>
                <w:sz w:val="20"/>
              </w:rPr>
            </w:pPr>
          </w:p>
        </w:tc>
      </w:tr>
      <w:tr w:rsidR="00A817C9" w:rsidRPr="0022554A" w14:paraId="769A8D35" w14:textId="1673EF51" w:rsidTr="0081629A">
        <w:tc>
          <w:tcPr>
            <w:tcW w:w="2279" w:type="dxa"/>
            <w:vMerge/>
          </w:tcPr>
          <w:p w14:paraId="6EDDD4EC" w14:textId="77777777" w:rsidR="00A817C9" w:rsidRPr="0022554A" w:rsidRDefault="00A817C9" w:rsidP="0022554A">
            <w:pPr>
              <w:tabs>
                <w:tab w:val="left" w:pos="5400"/>
              </w:tabs>
              <w:rPr>
                <w:bCs/>
                <w:sz w:val="20"/>
              </w:rPr>
            </w:pPr>
            <w:bookmarkStart w:id="50" w:name="bold26" w:colFirst="0" w:colLast="0"/>
            <w:bookmarkStart w:id="51" w:name="italic28" w:colFirst="0" w:colLast="0"/>
            <w:bookmarkEnd w:id="48"/>
            <w:bookmarkEnd w:id="49"/>
          </w:p>
        </w:tc>
        <w:tc>
          <w:tcPr>
            <w:tcW w:w="823" w:type="dxa"/>
            <w:vMerge/>
          </w:tcPr>
          <w:p w14:paraId="4F3E42FE" w14:textId="77777777" w:rsidR="00A817C9" w:rsidRPr="0022554A" w:rsidRDefault="00A817C9" w:rsidP="0022554A">
            <w:pPr>
              <w:tabs>
                <w:tab w:val="left" w:pos="5400"/>
              </w:tabs>
              <w:jc w:val="center"/>
              <w:rPr>
                <w:sz w:val="20"/>
              </w:rPr>
            </w:pPr>
          </w:p>
        </w:tc>
        <w:tc>
          <w:tcPr>
            <w:tcW w:w="4629" w:type="dxa"/>
          </w:tcPr>
          <w:p w14:paraId="229CDB6C" w14:textId="77777777" w:rsidR="00A817C9" w:rsidRPr="0022554A" w:rsidRDefault="00A817C9"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1050" w:type="dxa"/>
            <w:vMerge/>
          </w:tcPr>
          <w:p w14:paraId="3F1FB14F" w14:textId="77777777" w:rsidR="00A817C9" w:rsidRPr="0022554A" w:rsidRDefault="00A817C9" w:rsidP="005B34EC">
            <w:pPr>
              <w:tabs>
                <w:tab w:val="left" w:pos="5400"/>
              </w:tabs>
              <w:jc w:val="center"/>
              <w:rPr>
                <w:sz w:val="20"/>
              </w:rPr>
            </w:pPr>
          </w:p>
        </w:tc>
        <w:tc>
          <w:tcPr>
            <w:tcW w:w="6211" w:type="dxa"/>
            <w:vMerge/>
          </w:tcPr>
          <w:p w14:paraId="78B0C53F" w14:textId="77777777" w:rsidR="00A817C9" w:rsidRPr="0022554A" w:rsidRDefault="00A817C9" w:rsidP="0022554A">
            <w:pPr>
              <w:tabs>
                <w:tab w:val="left" w:pos="5400"/>
              </w:tabs>
              <w:rPr>
                <w:sz w:val="20"/>
              </w:rPr>
            </w:pPr>
          </w:p>
        </w:tc>
      </w:tr>
      <w:tr w:rsidR="00A817C9" w:rsidRPr="0022554A" w14:paraId="28C68899" w14:textId="308C0563" w:rsidTr="0081629A">
        <w:tc>
          <w:tcPr>
            <w:tcW w:w="2279" w:type="dxa"/>
            <w:vMerge/>
          </w:tcPr>
          <w:p w14:paraId="22281554" w14:textId="77777777" w:rsidR="00A817C9" w:rsidRPr="0022554A" w:rsidRDefault="00A817C9" w:rsidP="0022554A">
            <w:pPr>
              <w:tabs>
                <w:tab w:val="left" w:pos="5400"/>
              </w:tabs>
              <w:rPr>
                <w:bCs/>
                <w:sz w:val="20"/>
              </w:rPr>
            </w:pPr>
            <w:bookmarkStart w:id="52" w:name="bold27" w:colFirst="0" w:colLast="0"/>
            <w:bookmarkStart w:id="53" w:name="italic29" w:colFirst="0" w:colLast="0"/>
            <w:bookmarkEnd w:id="50"/>
            <w:bookmarkEnd w:id="51"/>
          </w:p>
        </w:tc>
        <w:tc>
          <w:tcPr>
            <w:tcW w:w="823" w:type="dxa"/>
            <w:vMerge/>
          </w:tcPr>
          <w:p w14:paraId="76C700B8" w14:textId="77777777" w:rsidR="00A817C9" w:rsidRPr="0022554A" w:rsidRDefault="00A817C9" w:rsidP="0022554A">
            <w:pPr>
              <w:tabs>
                <w:tab w:val="left" w:pos="5400"/>
              </w:tabs>
              <w:jc w:val="center"/>
              <w:rPr>
                <w:sz w:val="20"/>
              </w:rPr>
            </w:pPr>
          </w:p>
        </w:tc>
        <w:tc>
          <w:tcPr>
            <w:tcW w:w="4629" w:type="dxa"/>
          </w:tcPr>
          <w:p w14:paraId="4B737E71" w14:textId="77777777" w:rsidR="00A817C9" w:rsidRPr="0022554A" w:rsidRDefault="00A817C9"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050" w:type="dxa"/>
            <w:vMerge/>
          </w:tcPr>
          <w:p w14:paraId="20A33600" w14:textId="77777777" w:rsidR="00A817C9" w:rsidRPr="0022554A" w:rsidRDefault="00A817C9" w:rsidP="005B34EC">
            <w:pPr>
              <w:tabs>
                <w:tab w:val="left" w:pos="5400"/>
              </w:tabs>
              <w:jc w:val="center"/>
              <w:rPr>
                <w:sz w:val="20"/>
              </w:rPr>
            </w:pPr>
          </w:p>
        </w:tc>
        <w:tc>
          <w:tcPr>
            <w:tcW w:w="6211" w:type="dxa"/>
            <w:vMerge/>
          </w:tcPr>
          <w:p w14:paraId="06B7786A" w14:textId="77777777" w:rsidR="00A817C9" w:rsidRPr="0022554A" w:rsidRDefault="00A817C9" w:rsidP="0022554A">
            <w:pPr>
              <w:tabs>
                <w:tab w:val="left" w:pos="5400"/>
              </w:tabs>
              <w:rPr>
                <w:sz w:val="20"/>
              </w:rPr>
            </w:pPr>
          </w:p>
        </w:tc>
      </w:tr>
      <w:tr w:rsidR="001A2073" w:rsidRPr="0022554A" w14:paraId="523A5313" w14:textId="47933EFE" w:rsidTr="0081629A">
        <w:tc>
          <w:tcPr>
            <w:tcW w:w="7731" w:type="dxa"/>
            <w:gridSpan w:val="3"/>
          </w:tcPr>
          <w:p w14:paraId="63731D5D" w14:textId="77777777" w:rsidR="001A2073" w:rsidRPr="0022554A" w:rsidRDefault="001A2073" w:rsidP="0022554A">
            <w:pPr>
              <w:pStyle w:val="TableSubHead"/>
              <w:tabs>
                <w:tab w:val="left" w:pos="5400"/>
              </w:tabs>
              <w:rPr>
                <w:sz w:val="20"/>
              </w:rPr>
            </w:pPr>
            <w:bookmarkStart w:id="54" w:name="bold28"/>
            <w:bookmarkStart w:id="55" w:name="italic30"/>
            <w:bookmarkEnd w:id="52"/>
            <w:bookmarkEnd w:id="53"/>
            <w:r w:rsidRPr="0022554A">
              <w:rPr>
                <w:sz w:val="20"/>
              </w:rPr>
              <w:t>Results</w:t>
            </w:r>
            <w:bookmarkEnd w:id="54"/>
            <w:bookmarkEnd w:id="55"/>
          </w:p>
        </w:tc>
        <w:tc>
          <w:tcPr>
            <w:tcW w:w="1050" w:type="dxa"/>
          </w:tcPr>
          <w:p w14:paraId="3A010A9D" w14:textId="77777777" w:rsidR="001A2073" w:rsidRPr="0022554A" w:rsidRDefault="001A2073" w:rsidP="005B34EC">
            <w:pPr>
              <w:pStyle w:val="TableSubHead"/>
              <w:tabs>
                <w:tab w:val="left" w:pos="5400"/>
              </w:tabs>
              <w:jc w:val="center"/>
              <w:rPr>
                <w:sz w:val="20"/>
              </w:rPr>
            </w:pPr>
          </w:p>
        </w:tc>
        <w:tc>
          <w:tcPr>
            <w:tcW w:w="6211" w:type="dxa"/>
          </w:tcPr>
          <w:p w14:paraId="76E470DC" w14:textId="77777777" w:rsidR="001A2073" w:rsidRPr="0022554A" w:rsidRDefault="001A2073" w:rsidP="0022554A">
            <w:pPr>
              <w:pStyle w:val="TableSubHead"/>
              <w:tabs>
                <w:tab w:val="left" w:pos="5400"/>
              </w:tabs>
              <w:rPr>
                <w:sz w:val="20"/>
              </w:rPr>
            </w:pPr>
          </w:p>
        </w:tc>
      </w:tr>
      <w:tr w:rsidR="00D17FF3" w:rsidRPr="0022554A" w14:paraId="04F52F8A" w14:textId="34CA98EA" w:rsidTr="0081629A">
        <w:tc>
          <w:tcPr>
            <w:tcW w:w="2279" w:type="dxa"/>
            <w:vMerge w:val="restart"/>
          </w:tcPr>
          <w:p w14:paraId="2291D506" w14:textId="77777777" w:rsidR="00D17FF3" w:rsidRPr="0022554A" w:rsidRDefault="00D17FF3" w:rsidP="0022554A">
            <w:pPr>
              <w:tabs>
                <w:tab w:val="left" w:pos="5400"/>
              </w:tabs>
              <w:rPr>
                <w:bCs/>
                <w:sz w:val="20"/>
              </w:rPr>
            </w:pPr>
            <w:bookmarkStart w:id="56" w:name="bold29"/>
            <w:bookmarkStart w:id="57" w:name="italic31"/>
            <w:r w:rsidRPr="0022554A">
              <w:rPr>
                <w:bCs/>
                <w:sz w:val="20"/>
              </w:rPr>
              <w:t>Participants</w:t>
            </w:r>
            <w:bookmarkEnd w:id="56"/>
            <w:bookmarkEnd w:id="57"/>
          </w:p>
        </w:tc>
        <w:tc>
          <w:tcPr>
            <w:tcW w:w="823" w:type="dxa"/>
            <w:vMerge w:val="restart"/>
          </w:tcPr>
          <w:p w14:paraId="4FA607D8" w14:textId="77777777" w:rsidR="00D17FF3" w:rsidRPr="0022554A" w:rsidRDefault="00D17FF3" w:rsidP="0022554A">
            <w:pPr>
              <w:tabs>
                <w:tab w:val="left" w:pos="5400"/>
              </w:tabs>
              <w:jc w:val="center"/>
              <w:rPr>
                <w:sz w:val="20"/>
              </w:rPr>
            </w:pPr>
            <w:r w:rsidRPr="0022554A">
              <w:rPr>
                <w:sz w:val="20"/>
              </w:rPr>
              <w:t>13</w:t>
            </w:r>
            <w:bookmarkStart w:id="58" w:name="bold30"/>
            <w:r w:rsidRPr="0022554A">
              <w:rPr>
                <w:bCs/>
                <w:sz w:val="20"/>
              </w:rPr>
              <w:t>*</w:t>
            </w:r>
            <w:bookmarkEnd w:id="58"/>
          </w:p>
        </w:tc>
        <w:tc>
          <w:tcPr>
            <w:tcW w:w="4629" w:type="dxa"/>
          </w:tcPr>
          <w:p w14:paraId="2F87B9F1" w14:textId="77777777" w:rsidR="00D17FF3" w:rsidRPr="0022554A" w:rsidRDefault="00D17FF3" w:rsidP="0022554A">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050" w:type="dxa"/>
            <w:vMerge w:val="restart"/>
          </w:tcPr>
          <w:p w14:paraId="22D25D4F" w14:textId="0EE56254" w:rsidR="00D17FF3" w:rsidRDefault="00FD5BA6" w:rsidP="005B34EC">
            <w:pPr>
              <w:tabs>
                <w:tab w:val="left" w:pos="5400"/>
              </w:tabs>
              <w:jc w:val="center"/>
              <w:rPr>
                <w:sz w:val="20"/>
              </w:rPr>
            </w:pPr>
            <w:r>
              <w:rPr>
                <w:sz w:val="20"/>
              </w:rPr>
              <w:t>7</w:t>
            </w:r>
          </w:p>
        </w:tc>
        <w:tc>
          <w:tcPr>
            <w:tcW w:w="6211" w:type="dxa"/>
            <w:vMerge w:val="restart"/>
          </w:tcPr>
          <w:p w14:paraId="2BA704C8" w14:textId="77777777" w:rsidR="00D17FF3" w:rsidRPr="00007A79" w:rsidRDefault="00D17FF3" w:rsidP="00007A79">
            <w:pPr>
              <w:tabs>
                <w:tab w:val="left" w:pos="5400"/>
              </w:tabs>
              <w:rPr>
                <w:rFonts w:eastAsia="MS Mincho"/>
                <w:sz w:val="20"/>
              </w:rPr>
            </w:pPr>
            <w:r w:rsidRPr="00007A79">
              <w:rPr>
                <w:rFonts w:eastAsia="MS Mincho"/>
                <w:sz w:val="20"/>
              </w:rPr>
              <w:t>Demographic characteristics</w:t>
            </w:r>
          </w:p>
          <w:p w14:paraId="5B591F8C" w14:textId="416F3E37" w:rsidR="00D17FF3" w:rsidRDefault="00D17FF3" w:rsidP="00007A79">
            <w:pPr>
              <w:tabs>
                <w:tab w:val="left" w:pos="5400"/>
              </w:tabs>
              <w:rPr>
                <w:sz w:val="20"/>
              </w:rPr>
            </w:pPr>
            <w:r w:rsidRPr="00007A79">
              <w:rPr>
                <w:sz w:val="20"/>
              </w:rPr>
              <w:t xml:space="preserve">Between June 2021 and August 2022, during the Delta and Omicron epidemic periods in Thailand, a total of 490 confirmed COVID-19 cases at Maharat Nakhon Ratchasima Hospital were randomly asked for informed consent to participate in a telephone interview. A total of 251 subjects enrolled voluntarily; however, 247 were selected for analysis based on the defined inclusion and exclusion criteria. The number of participants who were infected by SARS-CoV-2 during the Delta and Omicron epidemic periods was 106 and 141, respectively. The flowchart of the subject </w:t>
            </w:r>
            <w:proofErr w:type="spellStart"/>
            <w:r w:rsidRPr="00007A79">
              <w:rPr>
                <w:sz w:val="20"/>
              </w:rPr>
              <w:t>enrollment</w:t>
            </w:r>
            <w:proofErr w:type="spellEnd"/>
            <w:r w:rsidRPr="00007A79">
              <w:rPr>
                <w:sz w:val="20"/>
              </w:rPr>
              <w:t xml:space="preserve"> process is shown in Figure 1.</w:t>
            </w:r>
          </w:p>
        </w:tc>
      </w:tr>
      <w:tr w:rsidR="00D17FF3" w:rsidRPr="0022554A" w14:paraId="063D1DD7" w14:textId="051C3633" w:rsidTr="0081629A">
        <w:tc>
          <w:tcPr>
            <w:tcW w:w="2279" w:type="dxa"/>
            <w:vMerge/>
          </w:tcPr>
          <w:p w14:paraId="4D2D8491" w14:textId="77777777" w:rsidR="00D17FF3" w:rsidRPr="0022554A" w:rsidRDefault="00D17FF3" w:rsidP="0022554A">
            <w:pPr>
              <w:tabs>
                <w:tab w:val="left" w:pos="5400"/>
              </w:tabs>
              <w:rPr>
                <w:bCs/>
                <w:sz w:val="20"/>
              </w:rPr>
            </w:pPr>
            <w:bookmarkStart w:id="59" w:name="bold31" w:colFirst="0" w:colLast="0"/>
            <w:bookmarkStart w:id="60" w:name="italic32" w:colFirst="0" w:colLast="0"/>
          </w:p>
        </w:tc>
        <w:tc>
          <w:tcPr>
            <w:tcW w:w="823" w:type="dxa"/>
            <w:vMerge/>
          </w:tcPr>
          <w:p w14:paraId="66439ACC" w14:textId="77777777" w:rsidR="00D17FF3" w:rsidRPr="0022554A" w:rsidRDefault="00D17FF3" w:rsidP="0022554A">
            <w:pPr>
              <w:tabs>
                <w:tab w:val="left" w:pos="5400"/>
              </w:tabs>
              <w:jc w:val="center"/>
              <w:rPr>
                <w:sz w:val="20"/>
              </w:rPr>
            </w:pPr>
          </w:p>
        </w:tc>
        <w:tc>
          <w:tcPr>
            <w:tcW w:w="4629" w:type="dxa"/>
          </w:tcPr>
          <w:p w14:paraId="4A966212" w14:textId="77777777" w:rsidR="00D17FF3" w:rsidRPr="0022554A" w:rsidRDefault="00D17FF3" w:rsidP="0022554A">
            <w:pPr>
              <w:tabs>
                <w:tab w:val="left" w:pos="5400"/>
              </w:tabs>
              <w:rPr>
                <w:sz w:val="20"/>
              </w:rPr>
            </w:pPr>
            <w:r>
              <w:rPr>
                <w:sz w:val="20"/>
              </w:rPr>
              <w:t xml:space="preserve">(b) </w:t>
            </w:r>
            <w:r w:rsidRPr="0022554A">
              <w:rPr>
                <w:sz w:val="20"/>
              </w:rPr>
              <w:t>Give reasons for non-participation at each stage</w:t>
            </w:r>
          </w:p>
        </w:tc>
        <w:tc>
          <w:tcPr>
            <w:tcW w:w="1050" w:type="dxa"/>
            <w:vMerge/>
          </w:tcPr>
          <w:p w14:paraId="2178A992" w14:textId="77777777" w:rsidR="00D17FF3" w:rsidRDefault="00D17FF3" w:rsidP="005B34EC">
            <w:pPr>
              <w:tabs>
                <w:tab w:val="left" w:pos="5400"/>
              </w:tabs>
              <w:jc w:val="center"/>
              <w:rPr>
                <w:sz w:val="20"/>
              </w:rPr>
            </w:pPr>
          </w:p>
        </w:tc>
        <w:tc>
          <w:tcPr>
            <w:tcW w:w="6211" w:type="dxa"/>
            <w:vMerge/>
          </w:tcPr>
          <w:p w14:paraId="2657EB11" w14:textId="77777777" w:rsidR="00D17FF3" w:rsidRDefault="00D17FF3" w:rsidP="0022554A">
            <w:pPr>
              <w:tabs>
                <w:tab w:val="left" w:pos="5400"/>
              </w:tabs>
              <w:rPr>
                <w:sz w:val="20"/>
              </w:rPr>
            </w:pPr>
          </w:p>
        </w:tc>
      </w:tr>
      <w:tr w:rsidR="00D17FF3" w:rsidRPr="0022554A" w14:paraId="73B4A2B1" w14:textId="15E1A8EB" w:rsidTr="0081629A">
        <w:tc>
          <w:tcPr>
            <w:tcW w:w="2279" w:type="dxa"/>
            <w:vMerge/>
          </w:tcPr>
          <w:p w14:paraId="71AE77A7" w14:textId="77777777" w:rsidR="00D17FF3" w:rsidRPr="0022554A" w:rsidRDefault="00D17FF3" w:rsidP="0022554A">
            <w:pPr>
              <w:tabs>
                <w:tab w:val="left" w:pos="5400"/>
              </w:tabs>
              <w:rPr>
                <w:bCs/>
                <w:sz w:val="20"/>
              </w:rPr>
            </w:pPr>
            <w:bookmarkStart w:id="61" w:name="bold32" w:colFirst="0" w:colLast="0"/>
            <w:bookmarkStart w:id="62" w:name="italic33" w:colFirst="0" w:colLast="0"/>
            <w:bookmarkEnd w:id="59"/>
            <w:bookmarkEnd w:id="60"/>
          </w:p>
        </w:tc>
        <w:tc>
          <w:tcPr>
            <w:tcW w:w="823" w:type="dxa"/>
            <w:vMerge/>
          </w:tcPr>
          <w:p w14:paraId="4D31247F" w14:textId="77777777" w:rsidR="00D17FF3" w:rsidRPr="0022554A" w:rsidRDefault="00D17FF3" w:rsidP="0022554A">
            <w:pPr>
              <w:tabs>
                <w:tab w:val="left" w:pos="5400"/>
              </w:tabs>
              <w:jc w:val="center"/>
              <w:rPr>
                <w:sz w:val="20"/>
              </w:rPr>
            </w:pPr>
          </w:p>
        </w:tc>
        <w:tc>
          <w:tcPr>
            <w:tcW w:w="4629" w:type="dxa"/>
          </w:tcPr>
          <w:p w14:paraId="71520C74" w14:textId="77777777" w:rsidR="00D17FF3" w:rsidRPr="0022554A" w:rsidRDefault="00D17FF3" w:rsidP="0022554A">
            <w:pPr>
              <w:tabs>
                <w:tab w:val="left" w:pos="5400"/>
              </w:tabs>
              <w:rPr>
                <w:sz w:val="20"/>
              </w:rPr>
            </w:pPr>
            <w:bookmarkStart w:id="63" w:name="OLE_LINK4"/>
            <w:r>
              <w:rPr>
                <w:sz w:val="20"/>
              </w:rPr>
              <w:t xml:space="preserve">(c) </w:t>
            </w:r>
            <w:r w:rsidRPr="0022554A">
              <w:rPr>
                <w:sz w:val="20"/>
              </w:rPr>
              <w:t>Consider use of a flow diagram</w:t>
            </w:r>
            <w:bookmarkEnd w:id="63"/>
          </w:p>
        </w:tc>
        <w:tc>
          <w:tcPr>
            <w:tcW w:w="1050" w:type="dxa"/>
            <w:vMerge/>
          </w:tcPr>
          <w:p w14:paraId="10E15850" w14:textId="77777777" w:rsidR="00D17FF3" w:rsidRDefault="00D17FF3" w:rsidP="005B34EC">
            <w:pPr>
              <w:tabs>
                <w:tab w:val="left" w:pos="5400"/>
              </w:tabs>
              <w:jc w:val="center"/>
              <w:rPr>
                <w:sz w:val="20"/>
              </w:rPr>
            </w:pPr>
          </w:p>
        </w:tc>
        <w:tc>
          <w:tcPr>
            <w:tcW w:w="6211" w:type="dxa"/>
            <w:vMerge/>
          </w:tcPr>
          <w:p w14:paraId="0D1A0CA0" w14:textId="77777777" w:rsidR="00D17FF3" w:rsidRDefault="00D17FF3" w:rsidP="0022554A">
            <w:pPr>
              <w:tabs>
                <w:tab w:val="left" w:pos="5400"/>
              </w:tabs>
              <w:rPr>
                <w:sz w:val="20"/>
              </w:rPr>
            </w:pPr>
          </w:p>
        </w:tc>
      </w:tr>
      <w:tr w:rsidR="00A817C9" w:rsidRPr="0022554A" w14:paraId="6D84978C" w14:textId="3B631404" w:rsidTr="0081629A">
        <w:tc>
          <w:tcPr>
            <w:tcW w:w="2279" w:type="dxa"/>
            <w:vMerge w:val="restart"/>
          </w:tcPr>
          <w:p w14:paraId="73D25782" w14:textId="77777777" w:rsidR="00A817C9" w:rsidRPr="0022554A" w:rsidRDefault="00A817C9" w:rsidP="0022554A">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823" w:type="dxa"/>
            <w:vMerge w:val="restart"/>
          </w:tcPr>
          <w:p w14:paraId="67741621" w14:textId="77777777" w:rsidR="00A817C9" w:rsidRPr="0022554A" w:rsidRDefault="00A817C9" w:rsidP="0022554A">
            <w:pPr>
              <w:tabs>
                <w:tab w:val="left" w:pos="5400"/>
              </w:tabs>
              <w:jc w:val="center"/>
              <w:rPr>
                <w:sz w:val="20"/>
              </w:rPr>
            </w:pPr>
            <w:r w:rsidRPr="0022554A">
              <w:rPr>
                <w:sz w:val="20"/>
              </w:rPr>
              <w:t>14</w:t>
            </w:r>
            <w:bookmarkStart w:id="68" w:name="bold35"/>
            <w:r w:rsidRPr="0022554A">
              <w:rPr>
                <w:bCs/>
                <w:sz w:val="20"/>
              </w:rPr>
              <w:t>*</w:t>
            </w:r>
            <w:bookmarkEnd w:id="68"/>
          </w:p>
        </w:tc>
        <w:tc>
          <w:tcPr>
            <w:tcW w:w="4629" w:type="dxa"/>
          </w:tcPr>
          <w:p w14:paraId="6B81CC39" w14:textId="77777777" w:rsidR="00A817C9" w:rsidRPr="0022554A" w:rsidRDefault="00A817C9" w:rsidP="0022554A">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050" w:type="dxa"/>
            <w:vMerge w:val="restart"/>
          </w:tcPr>
          <w:p w14:paraId="6361D057" w14:textId="5AC32474" w:rsidR="00A817C9" w:rsidRDefault="00A817C9" w:rsidP="005B34EC">
            <w:pPr>
              <w:tabs>
                <w:tab w:val="left" w:pos="5400"/>
              </w:tabs>
              <w:jc w:val="center"/>
              <w:rPr>
                <w:sz w:val="20"/>
              </w:rPr>
            </w:pPr>
            <w:r>
              <w:rPr>
                <w:sz w:val="20"/>
              </w:rPr>
              <w:t>7-9</w:t>
            </w:r>
          </w:p>
        </w:tc>
        <w:tc>
          <w:tcPr>
            <w:tcW w:w="6211" w:type="dxa"/>
            <w:vMerge w:val="restart"/>
          </w:tcPr>
          <w:p w14:paraId="755B06BE" w14:textId="77777777" w:rsidR="00A817C9" w:rsidRPr="00A817C9" w:rsidRDefault="00A817C9" w:rsidP="00A817C9">
            <w:pPr>
              <w:tabs>
                <w:tab w:val="left" w:pos="5400"/>
              </w:tabs>
              <w:rPr>
                <w:rFonts w:eastAsia="MS Mincho"/>
                <w:sz w:val="20"/>
              </w:rPr>
            </w:pPr>
            <w:r w:rsidRPr="00A817C9">
              <w:rPr>
                <w:rFonts w:eastAsia="MS Mincho"/>
                <w:sz w:val="20"/>
              </w:rPr>
              <w:t xml:space="preserve">The baseline demographics and clinical characteristics of confirmed COVID-19 cases of the Delta and Omicron epidemic periods were compared are shown in Table 1. The mean age of the participants was 40.75 ± 14.20 hears during Delta and 35.61 ± 11.70 years during Omicron. Female gender, age range of 18 to 29 years, obesity, and blood group O </w:t>
            </w:r>
            <w:r w:rsidRPr="00A817C9">
              <w:rPr>
                <w:rFonts w:eastAsia="MS Mincho"/>
                <w:sz w:val="20"/>
              </w:rPr>
              <w:lastRenderedPageBreak/>
              <w:t xml:space="preserve">were the most prevalent characteristics of the participants in both epidemic periods. Nevertheless, during the Delta period, more than half of the cases (n = 54, or 50.9%) involved immunocompromised hosts who had at least one underlying disease. Hypertension, diabetes, hypercholesterolemia, asthma, and allergies were common underlying conditions. In contrast, infection with SARS-CoV-2 during the Omicron period primarily affected healthy hosts (n = 125, 88.7%). Almost one-third of the Delta cases (n = 38, 35.8%) exhibited symptoms classified as moderate to severe, whereas the Omicron cases predominantly presented mild symptoms. The antiviral drug Favipiravir and symptomatic drug usage was the key treatment utilized by the participants during both variant periods. </w:t>
            </w:r>
            <w:proofErr w:type="gramStart"/>
            <w:r w:rsidRPr="00A817C9">
              <w:rPr>
                <w:rFonts w:eastAsia="MS Mincho"/>
                <w:sz w:val="20"/>
              </w:rPr>
              <w:t>The majority of</w:t>
            </w:r>
            <w:proofErr w:type="gramEnd"/>
            <w:r w:rsidRPr="00A817C9">
              <w:rPr>
                <w:rFonts w:eastAsia="MS Mincho"/>
                <w:sz w:val="20"/>
              </w:rPr>
              <w:t xml:space="preserve"> the participants affected during the Delta period had not yet been immunized against COVID-19 (n = 63, 59.4%). Conversely, a </w:t>
            </w:r>
            <w:proofErr w:type="gramStart"/>
            <w:r w:rsidRPr="00A817C9">
              <w:rPr>
                <w:rFonts w:eastAsia="MS Mincho"/>
                <w:sz w:val="20"/>
              </w:rPr>
              <w:t>significant numbers of participants</w:t>
            </w:r>
            <w:proofErr w:type="gramEnd"/>
            <w:r w:rsidRPr="00A817C9">
              <w:rPr>
                <w:rFonts w:eastAsia="MS Mincho"/>
                <w:sz w:val="20"/>
              </w:rPr>
              <w:t xml:space="preserve"> affected during the Omicron period had received at least three vaccinations (n = 80, 56.7%). In respect to the vaccine type, the inactivated vaccine was predominant during the Delta period (n = 24, 55.8%), whereas the mRNA vaccine was predominant during the Omicron period (n = 75, 56.4%). Significantly, throughout both epidemic periods, </w:t>
            </w:r>
            <w:proofErr w:type="gramStart"/>
            <w:r w:rsidRPr="00A817C9">
              <w:rPr>
                <w:rFonts w:eastAsia="MS Mincho"/>
                <w:sz w:val="20"/>
              </w:rPr>
              <w:t>the majority of</w:t>
            </w:r>
            <w:proofErr w:type="gramEnd"/>
            <w:r w:rsidRPr="00A817C9">
              <w:rPr>
                <w:rFonts w:eastAsia="MS Mincho"/>
                <w:sz w:val="20"/>
              </w:rPr>
              <w:t xml:space="preserve"> participants reported having sustained long COVID, with a number of symptoms having comparable prevalence rates between Delta and Omicron periods.</w:t>
            </w:r>
          </w:p>
          <w:p w14:paraId="401EA31B" w14:textId="77777777" w:rsidR="00A817C9" w:rsidRPr="00A817C9" w:rsidRDefault="00A817C9" w:rsidP="00A817C9">
            <w:pPr>
              <w:tabs>
                <w:tab w:val="left" w:pos="5400"/>
              </w:tabs>
              <w:rPr>
                <w:rFonts w:eastAsia="MS Mincho"/>
                <w:sz w:val="20"/>
              </w:rPr>
            </w:pPr>
          </w:p>
          <w:p w14:paraId="726414DA" w14:textId="77777777" w:rsidR="00A817C9" w:rsidRPr="00A817C9" w:rsidRDefault="00A817C9" w:rsidP="00A817C9">
            <w:pPr>
              <w:tabs>
                <w:tab w:val="left" w:pos="5400"/>
              </w:tabs>
              <w:rPr>
                <w:rFonts w:eastAsia="MS Mincho"/>
                <w:sz w:val="20"/>
              </w:rPr>
            </w:pPr>
            <w:r w:rsidRPr="00A817C9">
              <w:rPr>
                <w:rFonts w:eastAsia="MS Mincho"/>
                <w:sz w:val="20"/>
              </w:rPr>
              <w:t xml:space="preserve">The prevalence of self-reported long COVID symptoms between the Delta and Omicron epidemic periods was compared (Figure 2). The seven most frequently reported symptoms in long-term COVID patients were as follows: cardiovascular, neurology, dermatology, psychology, respiratory, generalized symptoms of fatigue and myalgia, and others. Both participant groups reported all symptoms but the rate of observation for each symptom varied between the groups. Participants who were infected during the Delta period showed a predominant psychological disorder, including insomnia, anxiety, and depression. Conversely, abnormalities in the respiratory and neuron systems were prevalent during the Omicron </w:t>
            </w:r>
            <w:r w:rsidRPr="00A817C9">
              <w:rPr>
                <w:rFonts w:eastAsia="MS Mincho"/>
                <w:sz w:val="20"/>
              </w:rPr>
              <w:lastRenderedPageBreak/>
              <w:t>period.</w:t>
            </w:r>
          </w:p>
          <w:p w14:paraId="0480EB6E" w14:textId="77777777" w:rsidR="00A817C9" w:rsidRPr="00A817C9" w:rsidRDefault="00A817C9" w:rsidP="00A817C9">
            <w:pPr>
              <w:tabs>
                <w:tab w:val="left" w:pos="5400"/>
              </w:tabs>
              <w:rPr>
                <w:rFonts w:eastAsia="MS Mincho"/>
                <w:sz w:val="20"/>
              </w:rPr>
            </w:pPr>
            <w:r w:rsidRPr="00A817C9">
              <w:rPr>
                <w:rFonts w:eastAsia="MS Mincho"/>
                <w:sz w:val="20"/>
              </w:rPr>
              <w:t xml:space="preserve">A comparison of the baseline demographics of the participants between non-long COVID cases and long COVID cases is presented in Table 2. Non-long COVID cases had a mean age of 40.86 ± 13.74 years and long COVID cases were 36.56 ± 12.59 years old. Comparative frequencies were observed for almost all </w:t>
            </w:r>
            <w:proofErr w:type="spellStart"/>
            <w:r w:rsidRPr="00A817C9">
              <w:rPr>
                <w:rFonts w:eastAsia="MS Mincho"/>
                <w:sz w:val="20"/>
              </w:rPr>
              <w:t>analyzed</w:t>
            </w:r>
            <w:proofErr w:type="spellEnd"/>
            <w:r w:rsidRPr="00A817C9">
              <w:rPr>
                <w:rFonts w:eastAsia="MS Mincho"/>
                <w:sz w:val="20"/>
              </w:rPr>
              <w:t xml:space="preserve"> variables in the two groups. Significantly, the prevalence of long COVID experience was greater during the Omicron period (60%) compared to the Delta period (40%); additionally, a greater proportion of participants with moderate to severe COVID-19 exhibited a higher rate of long COVID.</w:t>
            </w:r>
          </w:p>
          <w:p w14:paraId="6303B8A4" w14:textId="60D494BB" w:rsidR="00A817C9" w:rsidRDefault="00A817C9" w:rsidP="00A817C9">
            <w:pPr>
              <w:tabs>
                <w:tab w:val="left" w:pos="5400"/>
              </w:tabs>
              <w:rPr>
                <w:sz w:val="20"/>
              </w:rPr>
            </w:pPr>
            <w:r w:rsidRPr="00A817C9">
              <w:rPr>
                <w:sz w:val="20"/>
              </w:rPr>
              <w:t>A binary logistic regression analysis was used to determine biological factors associated with long COVID. Variant epidemic period, age, treatment with symptomatic medicines, and vaccination status were found to be significant predictors of long COVID outcomes. The odds of developing long COVID were significantly higher for SARS-CoV-2 infection during the Omicron period [OR = 2.976 (95% CI 1.202–7.365); p = 0.018] than for infection during the Delta period. A 1-year increase in age was correlated with a decreased likelihood of developing long COVID [OR = 0.969 (95% CI 0.942–0.996); p = 0.025]. In comparison to other antiviral and immunosuppressive drugs, treatment with symptomatic medications for COVID-19 was associated with a higher risk of developing long COVID [OR = 3.804 (95% CI 1.149–12.590); p = 0.029]. It is worth mentioning that in comparison to vaccination with at least one dose, non-vaccination was a significant risk factor for long COVID [OR = 6.434 (95% CI 1.253–33.033); p = 0.026]. All ten independent variables, as shown in Table 2, possessed the potential to account for 19.3% of the long COVID outcome explanation. The remaining 80.7% of the variance could be accounted for by variables that were not included in the binary logistic regression analysis. The dataset for analysis in this part was available in the supplementary file S1.</w:t>
            </w:r>
          </w:p>
        </w:tc>
      </w:tr>
      <w:tr w:rsidR="00A817C9" w:rsidRPr="0022554A" w14:paraId="387AE593" w14:textId="20CF4798" w:rsidTr="0081629A">
        <w:tc>
          <w:tcPr>
            <w:tcW w:w="2279" w:type="dxa"/>
            <w:vMerge/>
          </w:tcPr>
          <w:p w14:paraId="12B6C4FB" w14:textId="77777777" w:rsidR="00A817C9" w:rsidRPr="0022554A" w:rsidRDefault="00A817C9" w:rsidP="0022554A">
            <w:pPr>
              <w:tabs>
                <w:tab w:val="left" w:pos="5400"/>
              </w:tabs>
              <w:rPr>
                <w:bCs/>
                <w:sz w:val="20"/>
              </w:rPr>
            </w:pPr>
            <w:bookmarkStart w:id="69" w:name="bold36" w:colFirst="0" w:colLast="0"/>
            <w:bookmarkStart w:id="70" w:name="italic36" w:colFirst="0" w:colLast="0"/>
          </w:p>
        </w:tc>
        <w:tc>
          <w:tcPr>
            <w:tcW w:w="823" w:type="dxa"/>
            <w:vMerge/>
          </w:tcPr>
          <w:p w14:paraId="08AF930D" w14:textId="77777777" w:rsidR="00A817C9" w:rsidRPr="0022554A" w:rsidRDefault="00A817C9" w:rsidP="0022554A">
            <w:pPr>
              <w:tabs>
                <w:tab w:val="left" w:pos="5400"/>
              </w:tabs>
              <w:jc w:val="center"/>
              <w:rPr>
                <w:sz w:val="20"/>
              </w:rPr>
            </w:pPr>
          </w:p>
        </w:tc>
        <w:tc>
          <w:tcPr>
            <w:tcW w:w="4629" w:type="dxa"/>
          </w:tcPr>
          <w:p w14:paraId="52A9003C" w14:textId="77777777" w:rsidR="00A817C9" w:rsidRPr="0022554A" w:rsidRDefault="00A817C9"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1050" w:type="dxa"/>
            <w:vMerge/>
          </w:tcPr>
          <w:p w14:paraId="3A06A8EA" w14:textId="77777777" w:rsidR="00A817C9" w:rsidRDefault="00A817C9" w:rsidP="005B34EC">
            <w:pPr>
              <w:tabs>
                <w:tab w:val="left" w:pos="5400"/>
              </w:tabs>
              <w:jc w:val="center"/>
              <w:rPr>
                <w:sz w:val="20"/>
              </w:rPr>
            </w:pPr>
          </w:p>
        </w:tc>
        <w:tc>
          <w:tcPr>
            <w:tcW w:w="6211" w:type="dxa"/>
            <w:vMerge/>
          </w:tcPr>
          <w:p w14:paraId="4AFA47CB" w14:textId="77777777" w:rsidR="00A817C9" w:rsidRDefault="00A817C9" w:rsidP="0022554A">
            <w:pPr>
              <w:tabs>
                <w:tab w:val="left" w:pos="5400"/>
              </w:tabs>
              <w:rPr>
                <w:sz w:val="20"/>
              </w:rPr>
            </w:pPr>
          </w:p>
        </w:tc>
      </w:tr>
      <w:tr w:rsidR="00A817C9" w:rsidRPr="0022554A" w14:paraId="081D6A69" w14:textId="7EA10BB6" w:rsidTr="0081629A">
        <w:trPr>
          <w:trHeight w:val="295"/>
        </w:trPr>
        <w:tc>
          <w:tcPr>
            <w:tcW w:w="2279" w:type="dxa"/>
          </w:tcPr>
          <w:p w14:paraId="5DC601D5" w14:textId="77777777" w:rsidR="00A817C9" w:rsidRPr="0022554A" w:rsidRDefault="00A817C9" w:rsidP="0022554A">
            <w:pPr>
              <w:tabs>
                <w:tab w:val="left" w:pos="5400"/>
              </w:tabs>
              <w:rPr>
                <w:bCs/>
                <w:sz w:val="20"/>
              </w:rPr>
            </w:pPr>
            <w:bookmarkStart w:id="71" w:name="bold38" w:colFirst="0" w:colLast="0"/>
            <w:bookmarkStart w:id="72" w:name="italic38" w:colFirst="0" w:colLast="0"/>
            <w:bookmarkEnd w:id="69"/>
            <w:bookmarkEnd w:id="70"/>
            <w:r w:rsidRPr="0022554A">
              <w:rPr>
                <w:bCs/>
                <w:sz w:val="20"/>
              </w:rPr>
              <w:lastRenderedPageBreak/>
              <w:t>Outcome data</w:t>
            </w:r>
          </w:p>
        </w:tc>
        <w:tc>
          <w:tcPr>
            <w:tcW w:w="823" w:type="dxa"/>
          </w:tcPr>
          <w:p w14:paraId="10412285" w14:textId="77777777" w:rsidR="00A817C9" w:rsidRPr="0022554A" w:rsidRDefault="00A817C9" w:rsidP="0022554A">
            <w:pPr>
              <w:tabs>
                <w:tab w:val="left" w:pos="5400"/>
              </w:tabs>
              <w:jc w:val="center"/>
              <w:rPr>
                <w:sz w:val="20"/>
              </w:rPr>
            </w:pPr>
            <w:r w:rsidRPr="0022554A">
              <w:rPr>
                <w:sz w:val="20"/>
              </w:rPr>
              <w:t>15</w:t>
            </w:r>
            <w:bookmarkStart w:id="73" w:name="bold39"/>
            <w:r w:rsidRPr="0022554A">
              <w:rPr>
                <w:bCs/>
                <w:sz w:val="20"/>
              </w:rPr>
              <w:t>*</w:t>
            </w:r>
            <w:bookmarkEnd w:id="73"/>
          </w:p>
        </w:tc>
        <w:tc>
          <w:tcPr>
            <w:tcW w:w="4629" w:type="dxa"/>
          </w:tcPr>
          <w:p w14:paraId="2DD60F80" w14:textId="77777777" w:rsidR="00A817C9" w:rsidRPr="0022554A" w:rsidRDefault="00A817C9" w:rsidP="0022554A">
            <w:pPr>
              <w:tabs>
                <w:tab w:val="left" w:pos="5400"/>
              </w:tabs>
              <w:rPr>
                <w:sz w:val="20"/>
              </w:rPr>
            </w:pPr>
            <w:r w:rsidRPr="0022554A">
              <w:rPr>
                <w:sz w:val="20"/>
              </w:rPr>
              <w:t>Report numbers of outcome events or summary measures</w:t>
            </w:r>
          </w:p>
        </w:tc>
        <w:tc>
          <w:tcPr>
            <w:tcW w:w="1050" w:type="dxa"/>
            <w:vMerge/>
          </w:tcPr>
          <w:p w14:paraId="67CD14EF" w14:textId="77777777" w:rsidR="00A817C9" w:rsidRPr="0022554A" w:rsidRDefault="00A817C9" w:rsidP="005B34EC">
            <w:pPr>
              <w:tabs>
                <w:tab w:val="left" w:pos="5400"/>
              </w:tabs>
              <w:jc w:val="center"/>
              <w:rPr>
                <w:sz w:val="20"/>
              </w:rPr>
            </w:pPr>
          </w:p>
        </w:tc>
        <w:tc>
          <w:tcPr>
            <w:tcW w:w="6211" w:type="dxa"/>
            <w:vMerge/>
          </w:tcPr>
          <w:p w14:paraId="034B4493" w14:textId="77777777" w:rsidR="00A817C9" w:rsidRPr="0022554A" w:rsidRDefault="00A817C9" w:rsidP="0022554A">
            <w:pPr>
              <w:tabs>
                <w:tab w:val="left" w:pos="5400"/>
              </w:tabs>
              <w:rPr>
                <w:sz w:val="20"/>
              </w:rPr>
            </w:pPr>
          </w:p>
        </w:tc>
      </w:tr>
      <w:tr w:rsidR="00A817C9" w:rsidRPr="0022554A" w14:paraId="016AC035" w14:textId="79926DD3" w:rsidTr="0081629A">
        <w:tc>
          <w:tcPr>
            <w:tcW w:w="2279" w:type="dxa"/>
            <w:vMerge w:val="restart"/>
          </w:tcPr>
          <w:p w14:paraId="6B87E781" w14:textId="77777777" w:rsidR="00A817C9" w:rsidRPr="0022554A" w:rsidRDefault="00A817C9" w:rsidP="0022554A">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823" w:type="dxa"/>
            <w:vMerge w:val="restart"/>
          </w:tcPr>
          <w:p w14:paraId="57C923E4" w14:textId="77777777" w:rsidR="00A817C9" w:rsidRPr="0022554A" w:rsidRDefault="00A817C9" w:rsidP="0022554A">
            <w:pPr>
              <w:tabs>
                <w:tab w:val="left" w:pos="5400"/>
              </w:tabs>
              <w:jc w:val="center"/>
              <w:rPr>
                <w:sz w:val="20"/>
              </w:rPr>
            </w:pPr>
            <w:r w:rsidRPr="0022554A">
              <w:rPr>
                <w:sz w:val="20"/>
              </w:rPr>
              <w:t>16</w:t>
            </w:r>
          </w:p>
        </w:tc>
        <w:tc>
          <w:tcPr>
            <w:tcW w:w="4629" w:type="dxa"/>
          </w:tcPr>
          <w:p w14:paraId="5A72CE8C" w14:textId="77777777" w:rsidR="00A817C9" w:rsidRPr="006149D3" w:rsidRDefault="00A817C9"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050" w:type="dxa"/>
            <w:vMerge/>
          </w:tcPr>
          <w:p w14:paraId="0E5F01CE" w14:textId="77777777" w:rsidR="00A817C9" w:rsidRPr="0022554A" w:rsidRDefault="00A817C9" w:rsidP="005B34EC">
            <w:pPr>
              <w:tabs>
                <w:tab w:val="left" w:pos="5400"/>
              </w:tabs>
              <w:jc w:val="center"/>
              <w:rPr>
                <w:sz w:val="20"/>
              </w:rPr>
            </w:pPr>
          </w:p>
        </w:tc>
        <w:tc>
          <w:tcPr>
            <w:tcW w:w="6211" w:type="dxa"/>
            <w:vMerge/>
          </w:tcPr>
          <w:p w14:paraId="018C413A" w14:textId="77777777" w:rsidR="00A817C9" w:rsidRPr="0022554A" w:rsidRDefault="00A817C9" w:rsidP="00D6152F">
            <w:pPr>
              <w:tabs>
                <w:tab w:val="left" w:pos="5400"/>
              </w:tabs>
              <w:rPr>
                <w:sz w:val="20"/>
              </w:rPr>
            </w:pPr>
          </w:p>
        </w:tc>
      </w:tr>
      <w:tr w:rsidR="00A817C9" w:rsidRPr="0022554A" w14:paraId="1B03CED3" w14:textId="7CAF0524" w:rsidTr="0081629A">
        <w:tc>
          <w:tcPr>
            <w:tcW w:w="2279" w:type="dxa"/>
            <w:vMerge/>
          </w:tcPr>
          <w:p w14:paraId="775C6194" w14:textId="77777777" w:rsidR="00A817C9" w:rsidRPr="0022554A" w:rsidRDefault="00A817C9" w:rsidP="0022554A">
            <w:pPr>
              <w:tabs>
                <w:tab w:val="left" w:pos="5400"/>
              </w:tabs>
              <w:rPr>
                <w:bCs/>
                <w:sz w:val="20"/>
              </w:rPr>
            </w:pPr>
            <w:bookmarkStart w:id="76" w:name="italic41" w:colFirst="0" w:colLast="0"/>
            <w:bookmarkStart w:id="77" w:name="bold42" w:colFirst="0" w:colLast="0"/>
            <w:bookmarkEnd w:id="74"/>
            <w:bookmarkEnd w:id="75"/>
          </w:p>
        </w:tc>
        <w:tc>
          <w:tcPr>
            <w:tcW w:w="823" w:type="dxa"/>
            <w:vMerge/>
          </w:tcPr>
          <w:p w14:paraId="2E18710A" w14:textId="77777777" w:rsidR="00A817C9" w:rsidRPr="0022554A" w:rsidRDefault="00A817C9" w:rsidP="0022554A">
            <w:pPr>
              <w:tabs>
                <w:tab w:val="left" w:pos="5400"/>
              </w:tabs>
              <w:jc w:val="center"/>
              <w:rPr>
                <w:sz w:val="20"/>
              </w:rPr>
            </w:pPr>
          </w:p>
        </w:tc>
        <w:tc>
          <w:tcPr>
            <w:tcW w:w="4629" w:type="dxa"/>
          </w:tcPr>
          <w:p w14:paraId="7AB55ED3" w14:textId="77777777" w:rsidR="00A817C9" w:rsidRPr="006149D3" w:rsidRDefault="00A817C9"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050" w:type="dxa"/>
            <w:vMerge/>
          </w:tcPr>
          <w:p w14:paraId="1DB6D8AF" w14:textId="77777777" w:rsidR="00A817C9" w:rsidRPr="0022554A" w:rsidRDefault="00A817C9" w:rsidP="005B34EC">
            <w:pPr>
              <w:tabs>
                <w:tab w:val="left" w:pos="5400"/>
              </w:tabs>
              <w:jc w:val="center"/>
              <w:rPr>
                <w:sz w:val="20"/>
              </w:rPr>
            </w:pPr>
          </w:p>
        </w:tc>
        <w:tc>
          <w:tcPr>
            <w:tcW w:w="6211" w:type="dxa"/>
            <w:vMerge/>
          </w:tcPr>
          <w:p w14:paraId="61652353" w14:textId="77777777" w:rsidR="00A817C9" w:rsidRPr="0022554A" w:rsidRDefault="00A817C9" w:rsidP="00D6152F">
            <w:pPr>
              <w:tabs>
                <w:tab w:val="left" w:pos="5400"/>
              </w:tabs>
              <w:rPr>
                <w:sz w:val="20"/>
              </w:rPr>
            </w:pPr>
          </w:p>
        </w:tc>
      </w:tr>
      <w:tr w:rsidR="00A817C9" w:rsidRPr="0022554A" w14:paraId="3511C64F" w14:textId="00090617" w:rsidTr="0081629A">
        <w:tc>
          <w:tcPr>
            <w:tcW w:w="2279" w:type="dxa"/>
            <w:vMerge/>
          </w:tcPr>
          <w:p w14:paraId="7C222607" w14:textId="77777777" w:rsidR="00A817C9" w:rsidRPr="0022554A" w:rsidRDefault="00A817C9" w:rsidP="0022554A">
            <w:pPr>
              <w:tabs>
                <w:tab w:val="left" w:pos="5400"/>
              </w:tabs>
              <w:rPr>
                <w:bCs/>
                <w:sz w:val="20"/>
              </w:rPr>
            </w:pPr>
            <w:bookmarkStart w:id="78" w:name="italic42" w:colFirst="0" w:colLast="0"/>
            <w:bookmarkStart w:id="79" w:name="bold43" w:colFirst="0" w:colLast="0"/>
            <w:bookmarkEnd w:id="76"/>
            <w:bookmarkEnd w:id="77"/>
          </w:p>
        </w:tc>
        <w:tc>
          <w:tcPr>
            <w:tcW w:w="823" w:type="dxa"/>
            <w:vMerge/>
          </w:tcPr>
          <w:p w14:paraId="4519CF48" w14:textId="77777777" w:rsidR="00A817C9" w:rsidRPr="0022554A" w:rsidRDefault="00A817C9" w:rsidP="0022554A">
            <w:pPr>
              <w:tabs>
                <w:tab w:val="left" w:pos="5400"/>
              </w:tabs>
              <w:jc w:val="center"/>
              <w:rPr>
                <w:sz w:val="20"/>
              </w:rPr>
            </w:pPr>
          </w:p>
        </w:tc>
        <w:tc>
          <w:tcPr>
            <w:tcW w:w="4629" w:type="dxa"/>
          </w:tcPr>
          <w:p w14:paraId="0A31D700" w14:textId="77777777" w:rsidR="00A817C9" w:rsidRPr="006149D3" w:rsidRDefault="00A817C9"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1050" w:type="dxa"/>
            <w:vMerge/>
          </w:tcPr>
          <w:p w14:paraId="3C1A565B" w14:textId="77777777" w:rsidR="00A817C9" w:rsidRPr="0022554A" w:rsidRDefault="00A817C9" w:rsidP="005B34EC">
            <w:pPr>
              <w:tabs>
                <w:tab w:val="left" w:pos="5400"/>
              </w:tabs>
              <w:jc w:val="center"/>
              <w:rPr>
                <w:sz w:val="20"/>
              </w:rPr>
            </w:pPr>
          </w:p>
        </w:tc>
        <w:tc>
          <w:tcPr>
            <w:tcW w:w="6211" w:type="dxa"/>
            <w:vMerge/>
          </w:tcPr>
          <w:p w14:paraId="753B5926" w14:textId="77777777" w:rsidR="00A817C9" w:rsidRPr="0022554A" w:rsidRDefault="00A817C9" w:rsidP="00D6152F">
            <w:pPr>
              <w:tabs>
                <w:tab w:val="left" w:pos="5400"/>
              </w:tabs>
              <w:rPr>
                <w:sz w:val="20"/>
              </w:rPr>
            </w:pPr>
          </w:p>
        </w:tc>
      </w:tr>
      <w:tr w:rsidR="001A2073" w:rsidRPr="0022554A" w14:paraId="47B54314" w14:textId="00D7FAE0" w:rsidTr="0081629A">
        <w:tc>
          <w:tcPr>
            <w:tcW w:w="2279" w:type="dxa"/>
          </w:tcPr>
          <w:p w14:paraId="05F19E18" w14:textId="77777777" w:rsidR="001A2073" w:rsidRPr="0022554A" w:rsidRDefault="001A2073" w:rsidP="0022554A">
            <w:pPr>
              <w:tabs>
                <w:tab w:val="left" w:pos="5400"/>
              </w:tabs>
              <w:rPr>
                <w:bCs/>
                <w:sz w:val="20"/>
              </w:rPr>
            </w:pPr>
            <w:bookmarkStart w:id="80" w:name="italic43"/>
            <w:bookmarkStart w:id="81" w:name="bold44"/>
            <w:bookmarkEnd w:id="78"/>
            <w:bookmarkEnd w:id="79"/>
            <w:r w:rsidRPr="0022554A">
              <w:rPr>
                <w:bCs/>
                <w:sz w:val="20"/>
              </w:rPr>
              <w:t>Other analyses</w:t>
            </w:r>
            <w:bookmarkEnd w:id="80"/>
            <w:bookmarkEnd w:id="81"/>
          </w:p>
        </w:tc>
        <w:tc>
          <w:tcPr>
            <w:tcW w:w="823" w:type="dxa"/>
          </w:tcPr>
          <w:p w14:paraId="214AA695" w14:textId="77777777" w:rsidR="001A2073" w:rsidRPr="0022554A" w:rsidRDefault="001A2073" w:rsidP="0022554A">
            <w:pPr>
              <w:tabs>
                <w:tab w:val="left" w:pos="5400"/>
              </w:tabs>
              <w:jc w:val="center"/>
              <w:rPr>
                <w:sz w:val="20"/>
              </w:rPr>
            </w:pPr>
            <w:r w:rsidRPr="0022554A">
              <w:rPr>
                <w:sz w:val="20"/>
              </w:rPr>
              <w:t>17</w:t>
            </w:r>
          </w:p>
        </w:tc>
        <w:tc>
          <w:tcPr>
            <w:tcW w:w="4629" w:type="dxa"/>
          </w:tcPr>
          <w:p w14:paraId="47E56DE2" w14:textId="77777777" w:rsidR="001A2073" w:rsidRPr="0022554A" w:rsidRDefault="001A2073" w:rsidP="0022554A">
            <w:pPr>
              <w:tabs>
                <w:tab w:val="left" w:pos="5400"/>
              </w:tabs>
              <w:rPr>
                <w:sz w:val="20"/>
              </w:rPr>
            </w:pPr>
            <w:r w:rsidRPr="0022554A">
              <w:rPr>
                <w:sz w:val="20"/>
              </w:rPr>
              <w:t>Report other analyses done—eg analyses of subgroups and interactions, and sensitivity analyses</w:t>
            </w:r>
          </w:p>
        </w:tc>
        <w:tc>
          <w:tcPr>
            <w:tcW w:w="1050" w:type="dxa"/>
          </w:tcPr>
          <w:p w14:paraId="2F928D85" w14:textId="7ECA12BA" w:rsidR="001A2073" w:rsidRPr="0022554A" w:rsidRDefault="006864E5" w:rsidP="005B34EC">
            <w:pPr>
              <w:tabs>
                <w:tab w:val="left" w:pos="5400"/>
              </w:tabs>
              <w:jc w:val="center"/>
              <w:rPr>
                <w:sz w:val="20"/>
              </w:rPr>
            </w:pPr>
            <w:r>
              <w:rPr>
                <w:sz w:val="20"/>
              </w:rPr>
              <w:t>-</w:t>
            </w:r>
          </w:p>
        </w:tc>
        <w:tc>
          <w:tcPr>
            <w:tcW w:w="6211" w:type="dxa"/>
          </w:tcPr>
          <w:p w14:paraId="78C00C0F" w14:textId="3A269CF9" w:rsidR="001A2073" w:rsidRPr="0022554A" w:rsidRDefault="006864E5" w:rsidP="0022554A">
            <w:pPr>
              <w:tabs>
                <w:tab w:val="left" w:pos="5400"/>
              </w:tabs>
              <w:rPr>
                <w:sz w:val="20"/>
              </w:rPr>
            </w:pPr>
            <w:r>
              <w:rPr>
                <w:sz w:val="20"/>
              </w:rPr>
              <w:t>Not applicable</w:t>
            </w:r>
          </w:p>
        </w:tc>
      </w:tr>
      <w:tr w:rsidR="001A2073" w:rsidRPr="0022554A" w14:paraId="67DF8152" w14:textId="7A9B8D7D" w:rsidTr="0081629A">
        <w:tc>
          <w:tcPr>
            <w:tcW w:w="7731" w:type="dxa"/>
            <w:gridSpan w:val="3"/>
          </w:tcPr>
          <w:p w14:paraId="0FDB3727" w14:textId="77777777" w:rsidR="001A2073" w:rsidRPr="0022554A" w:rsidRDefault="001A2073" w:rsidP="0022554A">
            <w:pPr>
              <w:pStyle w:val="TableSubHead"/>
              <w:tabs>
                <w:tab w:val="left" w:pos="5400"/>
              </w:tabs>
              <w:rPr>
                <w:sz w:val="20"/>
              </w:rPr>
            </w:pPr>
            <w:bookmarkStart w:id="82" w:name="italic44"/>
            <w:bookmarkStart w:id="83" w:name="bold45"/>
            <w:r w:rsidRPr="0022554A">
              <w:rPr>
                <w:sz w:val="20"/>
              </w:rPr>
              <w:lastRenderedPageBreak/>
              <w:t>Discussion</w:t>
            </w:r>
            <w:bookmarkEnd w:id="82"/>
            <w:bookmarkEnd w:id="83"/>
          </w:p>
        </w:tc>
        <w:tc>
          <w:tcPr>
            <w:tcW w:w="1050" w:type="dxa"/>
          </w:tcPr>
          <w:p w14:paraId="108AC797" w14:textId="77777777" w:rsidR="001A2073" w:rsidRPr="0022554A" w:rsidRDefault="001A2073" w:rsidP="005B34EC">
            <w:pPr>
              <w:pStyle w:val="TableSubHead"/>
              <w:tabs>
                <w:tab w:val="left" w:pos="5400"/>
              </w:tabs>
              <w:jc w:val="center"/>
              <w:rPr>
                <w:sz w:val="20"/>
              </w:rPr>
            </w:pPr>
          </w:p>
        </w:tc>
        <w:tc>
          <w:tcPr>
            <w:tcW w:w="6211" w:type="dxa"/>
          </w:tcPr>
          <w:p w14:paraId="3C8FEB52" w14:textId="77777777" w:rsidR="001A2073" w:rsidRPr="0022554A" w:rsidRDefault="001A2073" w:rsidP="0022554A">
            <w:pPr>
              <w:pStyle w:val="TableSubHead"/>
              <w:tabs>
                <w:tab w:val="left" w:pos="5400"/>
              </w:tabs>
              <w:rPr>
                <w:sz w:val="20"/>
              </w:rPr>
            </w:pPr>
          </w:p>
        </w:tc>
      </w:tr>
      <w:tr w:rsidR="006864E5" w:rsidRPr="0022554A" w14:paraId="2581E336" w14:textId="78438CD1" w:rsidTr="0081629A">
        <w:tc>
          <w:tcPr>
            <w:tcW w:w="2279" w:type="dxa"/>
          </w:tcPr>
          <w:p w14:paraId="047122CD" w14:textId="77777777" w:rsidR="006864E5" w:rsidRPr="0022554A" w:rsidRDefault="006864E5" w:rsidP="0022554A">
            <w:pPr>
              <w:tabs>
                <w:tab w:val="left" w:pos="5400"/>
              </w:tabs>
              <w:rPr>
                <w:bCs/>
                <w:sz w:val="20"/>
              </w:rPr>
            </w:pPr>
            <w:bookmarkStart w:id="84" w:name="italic45" w:colFirst="0" w:colLast="0"/>
            <w:bookmarkStart w:id="85" w:name="bold46" w:colFirst="0" w:colLast="0"/>
            <w:r w:rsidRPr="0022554A">
              <w:rPr>
                <w:bCs/>
                <w:sz w:val="20"/>
              </w:rPr>
              <w:t>Key results</w:t>
            </w:r>
          </w:p>
        </w:tc>
        <w:tc>
          <w:tcPr>
            <w:tcW w:w="823" w:type="dxa"/>
          </w:tcPr>
          <w:p w14:paraId="0350B731" w14:textId="77777777" w:rsidR="006864E5" w:rsidRPr="0022554A" w:rsidRDefault="006864E5" w:rsidP="0022554A">
            <w:pPr>
              <w:tabs>
                <w:tab w:val="left" w:pos="5400"/>
              </w:tabs>
              <w:jc w:val="center"/>
              <w:rPr>
                <w:sz w:val="20"/>
              </w:rPr>
            </w:pPr>
            <w:r w:rsidRPr="0022554A">
              <w:rPr>
                <w:sz w:val="20"/>
              </w:rPr>
              <w:t>18</w:t>
            </w:r>
          </w:p>
        </w:tc>
        <w:tc>
          <w:tcPr>
            <w:tcW w:w="4629" w:type="dxa"/>
          </w:tcPr>
          <w:p w14:paraId="4A90866D" w14:textId="77777777" w:rsidR="006864E5" w:rsidRPr="0022554A" w:rsidRDefault="006864E5" w:rsidP="0022554A">
            <w:pPr>
              <w:tabs>
                <w:tab w:val="left" w:pos="5400"/>
              </w:tabs>
              <w:rPr>
                <w:sz w:val="20"/>
              </w:rPr>
            </w:pPr>
            <w:r w:rsidRPr="0022554A">
              <w:rPr>
                <w:sz w:val="20"/>
              </w:rPr>
              <w:t>Summarise key results with reference to study objectives</w:t>
            </w:r>
          </w:p>
        </w:tc>
        <w:tc>
          <w:tcPr>
            <w:tcW w:w="1050" w:type="dxa"/>
            <w:vMerge w:val="restart"/>
          </w:tcPr>
          <w:p w14:paraId="1FB89805" w14:textId="2E140016" w:rsidR="006864E5" w:rsidRPr="0022554A" w:rsidRDefault="006864E5" w:rsidP="005B34EC">
            <w:pPr>
              <w:tabs>
                <w:tab w:val="left" w:pos="5400"/>
              </w:tabs>
              <w:jc w:val="center"/>
              <w:rPr>
                <w:sz w:val="20"/>
              </w:rPr>
            </w:pPr>
            <w:r>
              <w:rPr>
                <w:sz w:val="20"/>
              </w:rPr>
              <w:t>11-13</w:t>
            </w:r>
          </w:p>
        </w:tc>
        <w:tc>
          <w:tcPr>
            <w:tcW w:w="6211" w:type="dxa"/>
            <w:vMerge w:val="restart"/>
          </w:tcPr>
          <w:p w14:paraId="63E5F1F1" w14:textId="77777777" w:rsidR="006864E5" w:rsidRPr="006864E5" w:rsidRDefault="006864E5" w:rsidP="006864E5">
            <w:pPr>
              <w:tabs>
                <w:tab w:val="left" w:pos="5400"/>
              </w:tabs>
              <w:rPr>
                <w:rFonts w:eastAsia="MS Mincho"/>
                <w:sz w:val="20"/>
              </w:rPr>
            </w:pPr>
            <w:r w:rsidRPr="006864E5">
              <w:rPr>
                <w:rFonts w:eastAsia="MS Mincho"/>
                <w:sz w:val="20"/>
              </w:rPr>
              <w:t>The potential of a high public health burden due to long COVID must be considered amid the ongoing global transmission of SARS-CoV-2 and its rapidly emerging variants. Research comparing the variations in long COVID prevalence and characteristics caused by distinct virus variants is scarce. Thus, this study collected informative data on long COVID prevalence and clinical symptoms by comparing the Delta and Omicron epidemic periods in Thailand.</w:t>
            </w:r>
          </w:p>
          <w:p w14:paraId="077F952D" w14:textId="77777777" w:rsidR="006864E5" w:rsidRPr="006864E5" w:rsidRDefault="006864E5" w:rsidP="006864E5">
            <w:pPr>
              <w:tabs>
                <w:tab w:val="left" w:pos="5400"/>
              </w:tabs>
              <w:rPr>
                <w:rFonts w:eastAsia="MS Mincho"/>
                <w:sz w:val="20"/>
              </w:rPr>
            </w:pPr>
            <w:r w:rsidRPr="006864E5">
              <w:rPr>
                <w:rFonts w:eastAsia="MS Mincho"/>
                <w:sz w:val="20"/>
              </w:rPr>
              <w:t xml:space="preserve">Our demographic analysis was consistent with previous studies indicating that most participants in both epidemic periods were female (Antonelli et al., 2022; WHO, 2022). The Omicron variant had a higher potential for infection among healthy people compared to the preceding Delta variant. This may be correlated with the biological characteristic of an increased transmissibility of Omicron. It must be emphasized that all strains of SARS-CoV-2 </w:t>
            </w:r>
            <w:proofErr w:type="gramStart"/>
            <w:r w:rsidRPr="006864E5">
              <w:rPr>
                <w:rFonts w:eastAsia="MS Mincho"/>
                <w:sz w:val="20"/>
              </w:rPr>
              <w:t>are capable of inducing</w:t>
            </w:r>
            <w:proofErr w:type="gramEnd"/>
            <w:r w:rsidRPr="006864E5">
              <w:rPr>
                <w:rFonts w:eastAsia="MS Mincho"/>
                <w:sz w:val="20"/>
              </w:rPr>
              <w:t xml:space="preserve"> long COVID. This is </w:t>
            </w:r>
            <w:proofErr w:type="gramStart"/>
            <w:r w:rsidRPr="006864E5">
              <w:rPr>
                <w:rFonts w:eastAsia="MS Mincho"/>
                <w:sz w:val="20"/>
              </w:rPr>
              <w:t>despite the fact that</w:t>
            </w:r>
            <w:proofErr w:type="gramEnd"/>
            <w:r w:rsidRPr="006864E5">
              <w:rPr>
                <w:rFonts w:eastAsia="MS Mincho"/>
                <w:sz w:val="20"/>
              </w:rPr>
              <w:t xml:space="preserve"> the prevalence of long COVID varied considerably between studies due to dissimilarities in the COVID-19 participant selection process, study sites, ethnicity, self-report bias, and time frame analysis (Antonelli et al., 2022; Du et al., 2022). Over sixty percent of our two participant groups had long COVID. Long COVID prevalence in the Delta period found in this study was comparable with a previous report from Thailand </w:t>
            </w:r>
            <w:proofErr w:type="spellStart"/>
            <w:r w:rsidRPr="006864E5">
              <w:rPr>
                <w:rFonts w:eastAsia="MS Mincho"/>
                <w:sz w:val="20"/>
              </w:rPr>
              <w:t>Wangchalabovorn</w:t>
            </w:r>
            <w:proofErr w:type="spellEnd"/>
            <w:r w:rsidRPr="006864E5">
              <w:rPr>
                <w:rFonts w:eastAsia="MS Mincho"/>
                <w:sz w:val="20"/>
              </w:rPr>
              <w:t xml:space="preserve"> et al. (2022). </w:t>
            </w:r>
          </w:p>
          <w:p w14:paraId="448AA508" w14:textId="77777777" w:rsidR="006864E5" w:rsidRPr="006864E5" w:rsidRDefault="006864E5" w:rsidP="006864E5">
            <w:pPr>
              <w:tabs>
                <w:tab w:val="left" w:pos="5400"/>
              </w:tabs>
              <w:rPr>
                <w:rFonts w:eastAsia="MS Mincho"/>
                <w:sz w:val="20"/>
              </w:rPr>
            </w:pPr>
            <w:r w:rsidRPr="006864E5">
              <w:rPr>
                <w:rFonts w:eastAsia="MS Mincho"/>
                <w:sz w:val="20"/>
              </w:rPr>
              <w:t xml:space="preserve">Post-acute COVID-19 syndrome or casually long COVID comprises a wide spectrum of clinical symptoms as described in this study. Even though the Delta and Omicron groups presented long COVID characteristics at varying rates, all abnormality classifications were discernible in both groups. As reported in studies from Europe and Asia (Menges et al., 2021; </w:t>
            </w:r>
            <w:proofErr w:type="spellStart"/>
            <w:r w:rsidRPr="006864E5">
              <w:rPr>
                <w:rFonts w:eastAsia="MS Mincho"/>
                <w:sz w:val="20"/>
              </w:rPr>
              <w:t>Xiong</w:t>
            </w:r>
            <w:proofErr w:type="spellEnd"/>
            <w:r w:rsidRPr="006864E5">
              <w:rPr>
                <w:rFonts w:eastAsia="MS Mincho"/>
                <w:sz w:val="20"/>
              </w:rPr>
              <w:t xml:space="preserve"> et al., 2021), fatigue that was categorized as a generalized symptom and respiratory symptoms remained prevalent. Although the precise mechanisms underlying the development of long COVID remain unknown, several hypotheses have been proposed, </w:t>
            </w:r>
            <w:r w:rsidRPr="006864E5">
              <w:rPr>
                <w:rFonts w:eastAsia="MS Mincho"/>
                <w:sz w:val="20"/>
              </w:rPr>
              <w:lastRenderedPageBreak/>
              <w:t>including immune dysregulation, persistent inflammatory reactions, antibody-dependent enhancement (ADE) from non-neutralizing antibody response, autoimmune mimicry, viral persistence, reactivation of latent pathogens, and alterations in the host microbiome (</w:t>
            </w:r>
            <w:proofErr w:type="spellStart"/>
            <w:r w:rsidRPr="006864E5">
              <w:rPr>
                <w:rFonts w:eastAsia="MS Mincho"/>
                <w:sz w:val="20"/>
              </w:rPr>
              <w:t>Batiha</w:t>
            </w:r>
            <w:proofErr w:type="spellEnd"/>
            <w:r w:rsidRPr="006864E5">
              <w:rPr>
                <w:rFonts w:eastAsia="MS Mincho"/>
                <w:sz w:val="20"/>
              </w:rPr>
              <w:t xml:space="preserve"> et al., 2022; Chen et al., 2023). With respect to viral persistence and shedding, the upper respiratory tract, lower respiratory tract, gastrointestinal tract, and blood were observed to have the longest durations of viral RNA shedding at 83, 59, 126, and 60 days, respectively. (Chen et al., 2023). The sustained presence of SARS-CoV-2 RNA or antigen and immune responses directed against it may determine the development of long COVID (Files et al., 2021; Chen et al., 2023).</w:t>
            </w:r>
          </w:p>
          <w:p w14:paraId="0A54A4A5" w14:textId="77777777" w:rsidR="006864E5" w:rsidRDefault="006864E5" w:rsidP="006864E5">
            <w:pPr>
              <w:tabs>
                <w:tab w:val="left" w:pos="5400"/>
              </w:tabs>
              <w:rPr>
                <w:sz w:val="20"/>
              </w:rPr>
            </w:pPr>
            <w:r w:rsidRPr="006864E5">
              <w:rPr>
                <w:color w:val="FF0000"/>
                <w:sz w:val="20"/>
              </w:rPr>
              <w:t>In this study, the biological factors that were found significantly associated with the prognosis of long COVID were variant epidemic period, age, treatment with symptomatic medicines, and vaccination status as determined by binary logistic regression analysis.</w:t>
            </w:r>
            <w:r w:rsidRPr="006864E5">
              <w:rPr>
                <w:sz w:val="20"/>
              </w:rPr>
              <w:t xml:space="preserve"> Infection during the Omicron period was associated with an almost three times increased risk of long COVID sequelae in comparison to the Delta period. This finding contradicts the results of previous studies (Antonelli et al., 2022; Du et al., 2022). Although the prevalence of long COVID caused by different strains did not differ significantly, Du et al. (2022) identified a significant distinction in specific symptoms observed in each strain through a systematic review and meta-analysis. </w:t>
            </w:r>
            <w:r w:rsidRPr="006864E5">
              <w:rPr>
                <w:color w:val="FF0000"/>
                <w:sz w:val="20"/>
              </w:rPr>
              <w:t>As we utilized a lengthy period during the Omicron epidemic covering the variant epidemics of BA.1, BA.2, BA.4, and BA.5, which contain many critical mutations that increased the fitness for infection (Tian et al., 2022), the discrepancy in the period of analysis may account for the outcome of our study.</w:t>
            </w:r>
            <w:r w:rsidRPr="006864E5">
              <w:rPr>
                <w:sz w:val="20"/>
              </w:rPr>
              <w:t xml:space="preserve"> In agreement with the findings of previous studies (</w:t>
            </w:r>
            <w:proofErr w:type="spellStart"/>
            <w:r w:rsidRPr="006864E5">
              <w:rPr>
                <w:sz w:val="20"/>
              </w:rPr>
              <w:t>Peghin</w:t>
            </w:r>
            <w:proofErr w:type="spellEnd"/>
            <w:r w:rsidRPr="006864E5">
              <w:rPr>
                <w:sz w:val="20"/>
              </w:rPr>
              <w:t xml:space="preserve"> et al., 2021; </w:t>
            </w:r>
            <w:proofErr w:type="spellStart"/>
            <w:r w:rsidRPr="006864E5">
              <w:rPr>
                <w:sz w:val="20"/>
              </w:rPr>
              <w:t>Maglietta</w:t>
            </w:r>
            <w:proofErr w:type="spellEnd"/>
            <w:r w:rsidRPr="006864E5">
              <w:rPr>
                <w:sz w:val="20"/>
              </w:rPr>
              <w:t xml:space="preserve"> et al., 2022; </w:t>
            </w:r>
            <w:proofErr w:type="spellStart"/>
            <w:r w:rsidRPr="006864E5">
              <w:rPr>
                <w:sz w:val="20"/>
              </w:rPr>
              <w:t>Notarte</w:t>
            </w:r>
            <w:proofErr w:type="spellEnd"/>
            <w:r w:rsidRPr="006864E5">
              <w:rPr>
                <w:sz w:val="20"/>
              </w:rPr>
              <w:t xml:space="preserve"> et al., 2022; Subramanian et al., 2022; </w:t>
            </w:r>
            <w:proofErr w:type="spellStart"/>
            <w:r w:rsidRPr="006864E5">
              <w:rPr>
                <w:sz w:val="20"/>
              </w:rPr>
              <w:t>Yoo</w:t>
            </w:r>
            <w:proofErr w:type="spellEnd"/>
            <w:r w:rsidRPr="006864E5">
              <w:rPr>
                <w:sz w:val="20"/>
              </w:rPr>
              <w:t xml:space="preserve"> et al., 2022), advanced age did not support long COVID induction in this analysis. However, it differed from some studies (</w:t>
            </w:r>
            <w:proofErr w:type="spellStart"/>
            <w:r w:rsidRPr="006864E5">
              <w:rPr>
                <w:sz w:val="20"/>
              </w:rPr>
              <w:t>Sudre</w:t>
            </w:r>
            <w:proofErr w:type="spellEnd"/>
            <w:r w:rsidRPr="006864E5">
              <w:rPr>
                <w:sz w:val="20"/>
              </w:rPr>
              <w:t xml:space="preserve"> et al., 2021; Thompson et al., 2022). Based on our current understanding, this study represents the first report that establishes treatment with symptomatic </w:t>
            </w:r>
            <w:r w:rsidRPr="006864E5">
              <w:rPr>
                <w:sz w:val="20"/>
              </w:rPr>
              <w:lastRenderedPageBreak/>
              <w:t xml:space="preserve">medications and vaccination status as substantial risk factors for the development of long COVID. As long COVID may be caused by the persistence of viral antigen, which results in an ongoing activation of the host immune response, long COVID can be induced </w:t>
            </w:r>
            <w:proofErr w:type="gramStart"/>
            <w:r w:rsidRPr="006864E5">
              <w:rPr>
                <w:sz w:val="20"/>
              </w:rPr>
              <w:t>by the use of</w:t>
            </w:r>
            <w:proofErr w:type="gramEnd"/>
            <w:r w:rsidRPr="006864E5">
              <w:rPr>
                <w:sz w:val="20"/>
              </w:rPr>
              <w:t xml:space="preserve"> symptomatic medications lacking antiviral activity. Compared to those who had received at least one dose of vaccination, non-immunized individuals exhibited a six-fold increased risk of developing long COVID. This crucial information was substantiated by a recent cohort research (</w:t>
            </w:r>
            <w:proofErr w:type="spellStart"/>
            <w:r w:rsidRPr="006864E5">
              <w:rPr>
                <w:sz w:val="20"/>
              </w:rPr>
              <w:t>Catala</w:t>
            </w:r>
            <w:proofErr w:type="spellEnd"/>
            <w:r w:rsidRPr="006864E5">
              <w:rPr>
                <w:sz w:val="20"/>
              </w:rPr>
              <w:t xml:space="preserve"> et al., 2024). Moreover, our analysis data, along with those of other prior studies, emphasized the absence of a correlation between long COVID development and female gender or initial severity of COVID-19 (Townsend et al., 2020; </w:t>
            </w:r>
            <w:proofErr w:type="spellStart"/>
            <w:r w:rsidRPr="006864E5">
              <w:rPr>
                <w:sz w:val="20"/>
              </w:rPr>
              <w:t>Simani</w:t>
            </w:r>
            <w:proofErr w:type="spellEnd"/>
            <w:r w:rsidRPr="006864E5">
              <w:rPr>
                <w:sz w:val="20"/>
              </w:rPr>
              <w:t xml:space="preserve"> et al., 2021; Al-</w:t>
            </w:r>
            <w:proofErr w:type="spellStart"/>
            <w:r w:rsidRPr="006864E5">
              <w:rPr>
                <w:sz w:val="20"/>
              </w:rPr>
              <w:t>Kuraishy</w:t>
            </w:r>
            <w:proofErr w:type="spellEnd"/>
            <w:r w:rsidRPr="006864E5">
              <w:rPr>
                <w:sz w:val="20"/>
              </w:rPr>
              <w:t xml:space="preserve"> et al., 2022; Al-</w:t>
            </w:r>
            <w:proofErr w:type="spellStart"/>
            <w:r w:rsidRPr="006864E5">
              <w:rPr>
                <w:sz w:val="20"/>
              </w:rPr>
              <w:t>Thomali</w:t>
            </w:r>
            <w:proofErr w:type="spellEnd"/>
            <w:r w:rsidRPr="006864E5">
              <w:rPr>
                <w:sz w:val="20"/>
              </w:rPr>
              <w:t xml:space="preserve"> et al., 2022).</w:t>
            </w:r>
          </w:p>
          <w:p w14:paraId="5B11CADE" w14:textId="77777777" w:rsidR="00294ECE" w:rsidRPr="00294ECE" w:rsidRDefault="00294ECE" w:rsidP="00294ECE">
            <w:pPr>
              <w:tabs>
                <w:tab w:val="left" w:pos="5400"/>
              </w:tabs>
              <w:rPr>
                <w:rFonts w:eastAsia="MS Mincho"/>
                <w:b/>
                <w:bCs/>
                <w:color w:val="FF0000"/>
                <w:sz w:val="20"/>
                <w:lang w:val="en-TH"/>
              </w:rPr>
            </w:pPr>
            <w:r w:rsidRPr="00294ECE">
              <w:rPr>
                <w:rFonts w:eastAsia="MS Mincho"/>
                <w:b/>
                <w:bCs/>
                <w:color w:val="FF0000"/>
                <w:sz w:val="20"/>
                <w:lang w:val="en-TH"/>
              </w:rPr>
              <w:t>Conclusion</w:t>
            </w:r>
          </w:p>
          <w:p w14:paraId="527E1A92" w14:textId="54A09DC9" w:rsidR="00294ECE" w:rsidRPr="00294ECE" w:rsidRDefault="00294ECE" w:rsidP="00294ECE">
            <w:pPr>
              <w:tabs>
                <w:tab w:val="left" w:pos="5400"/>
              </w:tabs>
              <w:rPr>
                <w:sz w:val="20"/>
                <w:lang w:val="en-TH"/>
              </w:rPr>
            </w:pPr>
            <w:r w:rsidRPr="00294ECE">
              <w:rPr>
                <w:sz w:val="20"/>
                <w:lang w:val="en-TH"/>
              </w:rPr>
              <w:t>The SARS-CoV-2 variant, age, treatment with symptomatic medications, and non-immunization status were identified as biological factors associated with long COVID progression in our retrospective cross-sectional study. The identification of these factors should help to facilitate the development of a suitable health management strategy. Furthermore, the analysis of the frequency and biological implications of mutations observed in the spike protein gene of the Delta and Omicron variants could support the explanation for long COVID development and provide a scientific reference for monitoring, prevention, and vaccine development.</w:t>
            </w:r>
          </w:p>
        </w:tc>
      </w:tr>
      <w:tr w:rsidR="006864E5" w:rsidRPr="0022554A" w14:paraId="585733CD" w14:textId="4ACE3B90" w:rsidTr="0081629A">
        <w:tc>
          <w:tcPr>
            <w:tcW w:w="2279" w:type="dxa"/>
          </w:tcPr>
          <w:p w14:paraId="02F65069" w14:textId="77777777" w:rsidR="006864E5" w:rsidRPr="0022554A" w:rsidRDefault="006864E5" w:rsidP="0022554A">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823" w:type="dxa"/>
          </w:tcPr>
          <w:p w14:paraId="3E776BB1" w14:textId="77777777" w:rsidR="006864E5" w:rsidRPr="0022554A" w:rsidRDefault="006864E5" w:rsidP="0022554A">
            <w:pPr>
              <w:tabs>
                <w:tab w:val="left" w:pos="5400"/>
              </w:tabs>
              <w:jc w:val="center"/>
              <w:rPr>
                <w:sz w:val="20"/>
              </w:rPr>
            </w:pPr>
            <w:r w:rsidRPr="0022554A">
              <w:rPr>
                <w:sz w:val="20"/>
              </w:rPr>
              <w:t>19</w:t>
            </w:r>
          </w:p>
        </w:tc>
        <w:tc>
          <w:tcPr>
            <w:tcW w:w="4629" w:type="dxa"/>
          </w:tcPr>
          <w:p w14:paraId="066B2AD7" w14:textId="77777777" w:rsidR="006864E5" w:rsidRPr="0022554A" w:rsidRDefault="006864E5" w:rsidP="0022554A">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1050" w:type="dxa"/>
            <w:vMerge/>
          </w:tcPr>
          <w:p w14:paraId="08451620" w14:textId="77777777" w:rsidR="006864E5" w:rsidRPr="0022554A" w:rsidRDefault="006864E5" w:rsidP="005B34EC">
            <w:pPr>
              <w:tabs>
                <w:tab w:val="left" w:pos="5400"/>
              </w:tabs>
              <w:jc w:val="center"/>
              <w:rPr>
                <w:sz w:val="20"/>
              </w:rPr>
            </w:pPr>
          </w:p>
        </w:tc>
        <w:tc>
          <w:tcPr>
            <w:tcW w:w="6211" w:type="dxa"/>
            <w:vMerge/>
          </w:tcPr>
          <w:p w14:paraId="64CFEC0F" w14:textId="77777777" w:rsidR="006864E5" w:rsidRPr="0022554A" w:rsidRDefault="006864E5" w:rsidP="0022554A">
            <w:pPr>
              <w:tabs>
                <w:tab w:val="left" w:pos="5400"/>
              </w:tabs>
              <w:rPr>
                <w:sz w:val="20"/>
              </w:rPr>
            </w:pPr>
          </w:p>
        </w:tc>
      </w:tr>
      <w:tr w:rsidR="006864E5" w:rsidRPr="0022554A" w14:paraId="6E1D4BF7" w14:textId="179FF91B" w:rsidTr="0081629A">
        <w:tc>
          <w:tcPr>
            <w:tcW w:w="2279" w:type="dxa"/>
          </w:tcPr>
          <w:p w14:paraId="246B1412" w14:textId="77777777" w:rsidR="006864E5" w:rsidRPr="0022554A" w:rsidRDefault="006864E5" w:rsidP="0022554A">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823" w:type="dxa"/>
          </w:tcPr>
          <w:p w14:paraId="3AEDACCA" w14:textId="77777777" w:rsidR="006864E5" w:rsidRPr="0022554A" w:rsidRDefault="006864E5" w:rsidP="0022554A">
            <w:pPr>
              <w:tabs>
                <w:tab w:val="left" w:pos="5400"/>
              </w:tabs>
              <w:jc w:val="center"/>
              <w:rPr>
                <w:sz w:val="20"/>
              </w:rPr>
            </w:pPr>
            <w:r w:rsidRPr="0022554A">
              <w:rPr>
                <w:sz w:val="20"/>
              </w:rPr>
              <w:t>20</w:t>
            </w:r>
          </w:p>
        </w:tc>
        <w:tc>
          <w:tcPr>
            <w:tcW w:w="4629" w:type="dxa"/>
          </w:tcPr>
          <w:p w14:paraId="4B0A8857" w14:textId="77777777" w:rsidR="006864E5" w:rsidRPr="0022554A" w:rsidRDefault="006864E5"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050" w:type="dxa"/>
            <w:vMerge/>
          </w:tcPr>
          <w:p w14:paraId="7409D15F" w14:textId="77777777" w:rsidR="006864E5" w:rsidRPr="0022554A" w:rsidRDefault="006864E5" w:rsidP="005B34EC">
            <w:pPr>
              <w:tabs>
                <w:tab w:val="left" w:pos="5400"/>
              </w:tabs>
              <w:jc w:val="center"/>
              <w:rPr>
                <w:sz w:val="20"/>
              </w:rPr>
            </w:pPr>
          </w:p>
        </w:tc>
        <w:tc>
          <w:tcPr>
            <w:tcW w:w="6211" w:type="dxa"/>
            <w:vMerge/>
          </w:tcPr>
          <w:p w14:paraId="6F244BBC" w14:textId="77777777" w:rsidR="006864E5" w:rsidRPr="0022554A" w:rsidRDefault="006864E5" w:rsidP="0022554A">
            <w:pPr>
              <w:tabs>
                <w:tab w:val="left" w:pos="5400"/>
              </w:tabs>
              <w:rPr>
                <w:sz w:val="20"/>
              </w:rPr>
            </w:pPr>
          </w:p>
        </w:tc>
      </w:tr>
      <w:tr w:rsidR="006864E5" w:rsidRPr="0022554A" w14:paraId="4388F230" w14:textId="5E7A5DB6" w:rsidTr="0081629A">
        <w:tc>
          <w:tcPr>
            <w:tcW w:w="2279" w:type="dxa"/>
          </w:tcPr>
          <w:p w14:paraId="74F8452D" w14:textId="77777777" w:rsidR="006864E5" w:rsidRPr="0022554A" w:rsidRDefault="006864E5" w:rsidP="0022554A">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823" w:type="dxa"/>
          </w:tcPr>
          <w:p w14:paraId="7382D8B0" w14:textId="77777777" w:rsidR="006864E5" w:rsidRPr="0022554A" w:rsidRDefault="006864E5" w:rsidP="0022554A">
            <w:pPr>
              <w:tabs>
                <w:tab w:val="left" w:pos="5400"/>
              </w:tabs>
              <w:jc w:val="center"/>
              <w:rPr>
                <w:sz w:val="20"/>
              </w:rPr>
            </w:pPr>
            <w:r w:rsidRPr="0022554A">
              <w:rPr>
                <w:sz w:val="20"/>
              </w:rPr>
              <w:t>21</w:t>
            </w:r>
          </w:p>
        </w:tc>
        <w:tc>
          <w:tcPr>
            <w:tcW w:w="4629" w:type="dxa"/>
          </w:tcPr>
          <w:p w14:paraId="7DBFD630" w14:textId="77777777" w:rsidR="006864E5" w:rsidRPr="0022554A" w:rsidRDefault="006864E5" w:rsidP="0022554A">
            <w:pPr>
              <w:tabs>
                <w:tab w:val="left" w:pos="5400"/>
              </w:tabs>
              <w:rPr>
                <w:sz w:val="20"/>
              </w:rPr>
            </w:pPr>
            <w:r w:rsidRPr="0022554A">
              <w:rPr>
                <w:sz w:val="20"/>
              </w:rPr>
              <w:t>Discuss the generalisability (external validity) of the study results</w:t>
            </w:r>
          </w:p>
        </w:tc>
        <w:tc>
          <w:tcPr>
            <w:tcW w:w="1050" w:type="dxa"/>
            <w:vMerge/>
          </w:tcPr>
          <w:p w14:paraId="477BB44C" w14:textId="77777777" w:rsidR="006864E5" w:rsidRPr="0022554A" w:rsidRDefault="006864E5" w:rsidP="005B34EC">
            <w:pPr>
              <w:tabs>
                <w:tab w:val="left" w:pos="5400"/>
              </w:tabs>
              <w:jc w:val="center"/>
              <w:rPr>
                <w:sz w:val="20"/>
              </w:rPr>
            </w:pPr>
          </w:p>
        </w:tc>
        <w:tc>
          <w:tcPr>
            <w:tcW w:w="6211" w:type="dxa"/>
            <w:vMerge/>
          </w:tcPr>
          <w:p w14:paraId="1769F70C" w14:textId="77777777" w:rsidR="006864E5" w:rsidRPr="0022554A" w:rsidRDefault="006864E5" w:rsidP="0022554A">
            <w:pPr>
              <w:tabs>
                <w:tab w:val="left" w:pos="5400"/>
              </w:tabs>
              <w:rPr>
                <w:sz w:val="20"/>
              </w:rPr>
            </w:pPr>
          </w:p>
        </w:tc>
      </w:tr>
      <w:tr w:rsidR="001A2073" w:rsidRPr="0022554A" w14:paraId="19FDB8CC" w14:textId="5737385D" w:rsidTr="0081629A">
        <w:tc>
          <w:tcPr>
            <w:tcW w:w="7731" w:type="dxa"/>
            <w:gridSpan w:val="3"/>
          </w:tcPr>
          <w:p w14:paraId="77BFF3ED" w14:textId="77777777" w:rsidR="001A2073" w:rsidRPr="0022554A" w:rsidRDefault="001A2073" w:rsidP="0022554A">
            <w:pPr>
              <w:pStyle w:val="TableSubHead"/>
              <w:tabs>
                <w:tab w:val="left" w:pos="5400"/>
              </w:tabs>
              <w:rPr>
                <w:sz w:val="20"/>
              </w:rPr>
            </w:pPr>
            <w:bookmarkStart w:id="92" w:name="italic49"/>
            <w:bookmarkStart w:id="93" w:name="bold50"/>
            <w:bookmarkEnd w:id="90"/>
            <w:bookmarkEnd w:id="91"/>
            <w:r w:rsidRPr="0022554A">
              <w:rPr>
                <w:sz w:val="20"/>
              </w:rPr>
              <w:lastRenderedPageBreak/>
              <w:t>Other information</w:t>
            </w:r>
            <w:bookmarkEnd w:id="92"/>
            <w:bookmarkEnd w:id="93"/>
          </w:p>
        </w:tc>
        <w:tc>
          <w:tcPr>
            <w:tcW w:w="1050" w:type="dxa"/>
          </w:tcPr>
          <w:p w14:paraId="4E01134D" w14:textId="77777777" w:rsidR="001A2073" w:rsidRPr="0022554A" w:rsidRDefault="001A2073" w:rsidP="005B34EC">
            <w:pPr>
              <w:pStyle w:val="TableSubHead"/>
              <w:tabs>
                <w:tab w:val="left" w:pos="5400"/>
              </w:tabs>
              <w:jc w:val="center"/>
              <w:rPr>
                <w:sz w:val="20"/>
              </w:rPr>
            </w:pPr>
          </w:p>
        </w:tc>
        <w:tc>
          <w:tcPr>
            <w:tcW w:w="6211" w:type="dxa"/>
          </w:tcPr>
          <w:p w14:paraId="7C7A19AE" w14:textId="77777777" w:rsidR="001A2073" w:rsidRPr="0022554A" w:rsidRDefault="001A2073" w:rsidP="0022554A">
            <w:pPr>
              <w:pStyle w:val="TableSubHead"/>
              <w:tabs>
                <w:tab w:val="left" w:pos="5400"/>
              </w:tabs>
              <w:rPr>
                <w:sz w:val="20"/>
              </w:rPr>
            </w:pPr>
          </w:p>
        </w:tc>
      </w:tr>
      <w:tr w:rsidR="001A2073" w:rsidRPr="0022554A" w14:paraId="5843776B" w14:textId="73381681" w:rsidTr="0081629A">
        <w:tc>
          <w:tcPr>
            <w:tcW w:w="2279" w:type="dxa"/>
          </w:tcPr>
          <w:p w14:paraId="35A71A97" w14:textId="77777777" w:rsidR="001A2073" w:rsidRPr="0022554A" w:rsidRDefault="001A2073" w:rsidP="0022554A">
            <w:pPr>
              <w:tabs>
                <w:tab w:val="left" w:pos="5400"/>
              </w:tabs>
              <w:rPr>
                <w:bCs/>
                <w:sz w:val="20"/>
              </w:rPr>
            </w:pPr>
            <w:bookmarkStart w:id="94" w:name="italic50" w:colFirst="0" w:colLast="0"/>
            <w:bookmarkStart w:id="95" w:name="bold51" w:colFirst="0" w:colLast="0"/>
            <w:r w:rsidRPr="0022554A">
              <w:rPr>
                <w:bCs/>
                <w:sz w:val="20"/>
              </w:rPr>
              <w:t>Funding</w:t>
            </w:r>
          </w:p>
        </w:tc>
        <w:tc>
          <w:tcPr>
            <w:tcW w:w="823" w:type="dxa"/>
          </w:tcPr>
          <w:p w14:paraId="66B3DA56" w14:textId="77777777" w:rsidR="001A2073" w:rsidRPr="0022554A" w:rsidRDefault="001A2073" w:rsidP="0022554A">
            <w:pPr>
              <w:tabs>
                <w:tab w:val="left" w:pos="5400"/>
              </w:tabs>
              <w:jc w:val="center"/>
              <w:rPr>
                <w:sz w:val="20"/>
              </w:rPr>
            </w:pPr>
            <w:r w:rsidRPr="0022554A">
              <w:rPr>
                <w:sz w:val="20"/>
              </w:rPr>
              <w:t>22</w:t>
            </w:r>
          </w:p>
        </w:tc>
        <w:tc>
          <w:tcPr>
            <w:tcW w:w="4629" w:type="dxa"/>
          </w:tcPr>
          <w:p w14:paraId="1CCBFA06" w14:textId="77777777" w:rsidR="001A2073" w:rsidRPr="0022554A" w:rsidRDefault="001A2073"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050" w:type="dxa"/>
          </w:tcPr>
          <w:p w14:paraId="473A2F03" w14:textId="4BD236D2" w:rsidR="001A2073" w:rsidRPr="0022554A" w:rsidRDefault="00D17FF3" w:rsidP="005B34EC">
            <w:pPr>
              <w:tabs>
                <w:tab w:val="left" w:pos="5400"/>
              </w:tabs>
              <w:jc w:val="center"/>
              <w:rPr>
                <w:sz w:val="20"/>
              </w:rPr>
            </w:pPr>
            <w:r>
              <w:rPr>
                <w:sz w:val="20"/>
              </w:rPr>
              <w:t>-</w:t>
            </w:r>
          </w:p>
        </w:tc>
        <w:tc>
          <w:tcPr>
            <w:tcW w:w="6211" w:type="dxa"/>
          </w:tcPr>
          <w:p w14:paraId="49C43B17" w14:textId="57F31E1B" w:rsidR="001A2073" w:rsidRPr="00D17FF3" w:rsidRDefault="00D17FF3" w:rsidP="0022554A">
            <w:pPr>
              <w:tabs>
                <w:tab w:val="left" w:pos="5400"/>
              </w:tabs>
              <w:rPr>
                <w:sz w:val="20"/>
              </w:rPr>
            </w:pPr>
            <w:r w:rsidRPr="00D17FF3">
              <w:rPr>
                <w:color w:val="1C1D1E"/>
                <w:sz w:val="22"/>
                <w:szCs w:val="22"/>
                <w:shd w:val="clear" w:color="auto" w:fill="FFFFFF"/>
              </w:rPr>
              <w:t>T</w:t>
            </w:r>
            <w:r w:rsidRPr="00D17FF3">
              <w:rPr>
                <w:color w:val="1C1D1E"/>
                <w:sz w:val="22"/>
                <w:szCs w:val="22"/>
                <w:shd w:val="clear" w:color="auto" w:fill="FFFFFF"/>
              </w:rPr>
              <w:t>his research received no specific grant from any funding agency in the public, commercial, or not-for-profit sectors.</w:t>
            </w:r>
          </w:p>
        </w:tc>
      </w:tr>
      <w:bookmarkEnd w:id="94"/>
      <w:bookmarkEnd w:id="95"/>
    </w:tbl>
    <w:p w14:paraId="2F492966" w14:textId="77777777" w:rsidR="002602FB" w:rsidRDefault="002602FB" w:rsidP="0022554A">
      <w:pPr>
        <w:pStyle w:val="TableNote"/>
        <w:tabs>
          <w:tab w:val="left" w:pos="5400"/>
        </w:tabs>
        <w:rPr>
          <w:bCs/>
          <w:sz w:val="20"/>
        </w:rPr>
      </w:pPr>
    </w:p>
    <w:p w14:paraId="24C60C9E" w14:textId="77777777"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14:paraId="5CDEC5B7" w14:textId="77777777" w:rsidR="00AE2C57" w:rsidRDefault="00AE2C57" w:rsidP="0022554A">
      <w:pPr>
        <w:pStyle w:val="TableNote"/>
        <w:tabs>
          <w:tab w:val="left" w:pos="5400"/>
        </w:tabs>
        <w:rPr>
          <w:sz w:val="20"/>
        </w:rPr>
      </w:pPr>
    </w:p>
    <w:p w14:paraId="6953DFC9" w14:textId="77777777" w:rsidR="00A42352" w:rsidRPr="002602FB" w:rsidRDefault="002602FB" w:rsidP="002602FB">
      <w:pPr>
        <w:pStyle w:val="TableNote"/>
        <w:tabs>
          <w:tab w:val="left" w:pos="5400"/>
        </w:tabs>
        <w:rPr>
          <w:sz w:val="20"/>
        </w:rPr>
      </w:pPr>
      <w:r w:rsidRPr="00CE4480">
        <w:rPr>
          <w:b/>
          <w:sz w:val="20"/>
        </w:rPr>
        <w:lastRenderedPageBreak/>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EE0F50">
      <w:footerReference w:type="even" r:id="rId7"/>
      <w:footerReference w:type="default" r:id="rId8"/>
      <w:pgSz w:w="16834" w:h="11909"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4B62" w14:textId="77777777" w:rsidR="00EE0F50" w:rsidRDefault="00EE0F50">
      <w:r>
        <w:separator/>
      </w:r>
    </w:p>
  </w:endnote>
  <w:endnote w:type="continuationSeparator" w:id="0">
    <w:p w14:paraId="04D98AED" w14:textId="77777777" w:rsidR="00EE0F50" w:rsidRDefault="00EE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BB3C" w14:textId="77777777"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F2ECED" w14:textId="77777777"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37FD" w14:textId="77777777"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23BA">
      <w:rPr>
        <w:rStyle w:val="PageNumber"/>
        <w:noProof/>
      </w:rPr>
      <w:t>1</w:t>
    </w:r>
    <w:r>
      <w:rPr>
        <w:rStyle w:val="PageNumber"/>
      </w:rPr>
      <w:fldChar w:fldCharType="end"/>
    </w:r>
  </w:p>
  <w:p w14:paraId="5BC78C65" w14:textId="77777777"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E99DE" w14:textId="77777777" w:rsidR="00EE0F50" w:rsidRDefault="00EE0F50">
      <w:r>
        <w:separator/>
      </w:r>
    </w:p>
  </w:footnote>
  <w:footnote w:type="continuationSeparator" w:id="0">
    <w:p w14:paraId="7867252E" w14:textId="77777777" w:rsidR="00EE0F50" w:rsidRDefault="00EE0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850827985">
    <w:abstractNumId w:val="20"/>
  </w:num>
  <w:num w:numId="2" w16cid:durableId="1817838215">
    <w:abstractNumId w:val="11"/>
  </w:num>
  <w:num w:numId="3" w16cid:durableId="467012776">
    <w:abstractNumId w:val="18"/>
  </w:num>
  <w:num w:numId="4" w16cid:durableId="934946901">
    <w:abstractNumId w:val="16"/>
  </w:num>
  <w:num w:numId="5" w16cid:durableId="2044355710">
    <w:abstractNumId w:val="15"/>
  </w:num>
  <w:num w:numId="6" w16cid:durableId="2113544969">
    <w:abstractNumId w:val="19"/>
  </w:num>
  <w:num w:numId="7" w16cid:durableId="1226140337">
    <w:abstractNumId w:val="10"/>
  </w:num>
  <w:num w:numId="8" w16cid:durableId="1294095557">
    <w:abstractNumId w:val="13"/>
  </w:num>
  <w:num w:numId="9" w16cid:durableId="1129662628">
    <w:abstractNumId w:val="9"/>
  </w:num>
  <w:num w:numId="10" w16cid:durableId="2067870062">
    <w:abstractNumId w:val="14"/>
  </w:num>
  <w:num w:numId="11" w16cid:durableId="2032878246">
    <w:abstractNumId w:val="7"/>
  </w:num>
  <w:num w:numId="12" w16cid:durableId="592932206">
    <w:abstractNumId w:val="6"/>
  </w:num>
  <w:num w:numId="13" w16cid:durableId="1704018474">
    <w:abstractNumId w:val="5"/>
  </w:num>
  <w:num w:numId="14" w16cid:durableId="300504242">
    <w:abstractNumId w:val="4"/>
  </w:num>
  <w:num w:numId="15" w16cid:durableId="2087262032">
    <w:abstractNumId w:val="8"/>
  </w:num>
  <w:num w:numId="16" w16cid:durableId="192698080">
    <w:abstractNumId w:val="3"/>
  </w:num>
  <w:num w:numId="17" w16cid:durableId="660235945">
    <w:abstractNumId w:val="2"/>
  </w:num>
  <w:num w:numId="18" w16cid:durableId="1000961070">
    <w:abstractNumId w:val="1"/>
  </w:num>
  <w:num w:numId="19" w16cid:durableId="1602446914">
    <w:abstractNumId w:val="0"/>
  </w:num>
  <w:num w:numId="20" w16cid:durableId="1216889106">
    <w:abstractNumId w:val="12"/>
  </w:num>
  <w:num w:numId="21" w16cid:durableId="1967042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1ABE"/>
    <w:rsid w:val="00002974"/>
    <w:rsid w:val="00005F0F"/>
    <w:rsid w:val="00007A79"/>
    <w:rsid w:val="00023515"/>
    <w:rsid w:val="00053ECD"/>
    <w:rsid w:val="00093E3A"/>
    <w:rsid w:val="000B6FD4"/>
    <w:rsid w:val="000E691B"/>
    <w:rsid w:val="000F26ED"/>
    <w:rsid w:val="001023BA"/>
    <w:rsid w:val="00110BFB"/>
    <w:rsid w:val="00134AAC"/>
    <w:rsid w:val="00183FA6"/>
    <w:rsid w:val="001A2073"/>
    <w:rsid w:val="001A495C"/>
    <w:rsid w:val="001A75E9"/>
    <w:rsid w:val="001E02AD"/>
    <w:rsid w:val="0021265E"/>
    <w:rsid w:val="0021518A"/>
    <w:rsid w:val="00215E03"/>
    <w:rsid w:val="00224268"/>
    <w:rsid w:val="0022554A"/>
    <w:rsid w:val="00226A29"/>
    <w:rsid w:val="002552FD"/>
    <w:rsid w:val="002602FB"/>
    <w:rsid w:val="00294ECE"/>
    <w:rsid w:val="00295939"/>
    <w:rsid w:val="002A7573"/>
    <w:rsid w:val="002B385C"/>
    <w:rsid w:val="002C731D"/>
    <w:rsid w:val="002D06D0"/>
    <w:rsid w:val="002D1ABE"/>
    <w:rsid w:val="002F1A87"/>
    <w:rsid w:val="003354B7"/>
    <w:rsid w:val="003508EF"/>
    <w:rsid w:val="00355AEA"/>
    <w:rsid w:val="00372129"/>
    <w:rsid w:val="00385050"/>
    <w:rsid w:val="003A3FDD"/>
    <w:rsid w:val="00404D2C"/>
    <w:rsid w:val="004060E6"/>
    <w:rsid w:val="004243C8"/>
    <w:rsid w:val="0045419E"/>
    <w:rsid w:val="0045734B"/>
    <w:rsid w:val="00465542"/>
    <w:rsid w:val="00472DF5"/>
    <w:rsid w:val="00495204"/>
    <w:rsid w:val="004A31B3"/>
    <w:rsid w:val="004E1263"/>
    <w:rsid w:val="005044A6"/>
    <w:rsid w:val="00590F64"/>
    <w:rsid w:val="005923E5"/>
    <w:rsid w:val="005A3FF5"/>
    <w:rsid w:val="005B34EC"/>
    <w:rsid w:val="005B567D"/>
    <w:rsid w:val="005D0CFC"/>
    <w:rsid w:val="005D19F4"/>
    <w:rsid w:val="005F254A"/>
    <w:rsid w:val="0065657F"/>
    <w:rsid w:val="00666336"/>
    <w:rsid w:val="00683E42"/>
    <w:rsid w:val="006864E5"/>
    <w:rsid w:val="006A2F18"/>
    <w:rsid w:val="006A5DD9"/>
    <w:rsid w:val="006B2915"/>
    <w:rsid w:val="006B568C"/>
    <w:rsid w:val="006B56D7"/>
    <w:rsid w:val="006C0B63"/>
    <w:rsid w:val="006C7601"/>
    <w:rsid w:val="006D16AA"/>
    <w:rsid w:val="006F640D"/>
    <w:rsid w:val="006F66AC"/>
    <w:rsid w:val="00701AC5"/>
    <w:rsid w:val="00711D81"/>
    <w:rsid w:val="0074576C"/>
    <w:rsid w:val="00754BA5"/>
    <w:rsid w:val="007562C3"/>
    <w:rsid w:val="00775B79"/>
    <w:rsid w:val="007C72F6"/>
    <w:rsid w:val="00814A23"/>
    <w:rsid w:val="0081629A"/>
    <w:rsid w:val="00816966"/>
    <w:rsid w:val="00817D26"/>
    <w:rsid w:val="00821CD4"/>
    <w:rsid w:val="008423A7"/>
    <w:rsid w:val="008440CC"/>
    <w:rsid w:val="0089107E"/>
    <w:rsid w:val="00891604"/>
    <w:rsid w:val="008D225B"/>
    <w:rsid w:val="00921BF8"/>
    <w:rsid w:val="009367F9"/>
    <w:rsid w:val="009642BE"/>
    <w:rsid w:val="009872CC"/>
    <w:rsid w:val="009B10F1"/>
    <w:rsid w:val="009B368D"/>
    <w:rsid w:val="009C24D4"/>
    <w:rsid w:val="009E0429"/>
    <w:rsid w:val="009F5211"/>
    <w:rsid w:val="00A42352"/>
    <w:rsid w:val="00A527E4"/>
    <w:rsid w:val="00A5640D"/>
    <w:rsid w:val="00A729D6"/>
    <w:rsid w:val="00A817C9"/>
    <w:rsid w:val="00A938BF"/>
    <w:rsid w:val="00AE2C57"/>
    <w:rsid w:val="00AF4615"/>
    <w:rsid w:val="00B36FB6"/>
    <w:rsid w:val="00B50DF8"/>
    <w:rsid w:val="00B54EA0"/>
    <w:rsid w:val="00B60EFB"/>
    <w:rsid w:val="00B65366"/>
    <w:rsid w:val="00B77807"/>
    <w:rsid w:val="00B940E9"/>
    <w:rsid w:val="00BA1206"/>
    <w:rsid w:val="00BC7FE6"/>
    <w:rsid w:val="00BE3709"/>
    <w:rsid w:val="00CB6CC8"/>
    <w:rsid w:val="00CC4C93"/>
    <w:rsid w:val="00CE4480"/>
    <w:rsid w:val="00D120D2"/>
    <w:rsid w:val="00D17FF3"/>
    <w:rsid w:val="00D20D7C"/>
    <w:rsid w:val="00D26FCA"/>
    <w:rsid w:val="00D6152F"/>
    <w:rsid w:val="00D6407C"/>
    <w:rsid w:val="00D675E7"/>
    <w:rsid w:val="00D87AF7"/>
    <w:rsid w:val="00DA120C"/>
    <w:rsid w:val="00DC4BEF"/>
    <w:rsid w:val="00E10628"/>
    <w:rsid w:val="00E144CD"/>
    <w:rsid w:val="00E2292B"/>
    <w:rsid w:val="00EA6E28"/>
    <w:rsid w:val="00EB2852"/>
    <w:rsid w:val="00EE0F50"/>
    <w:rsid w:val="00F0752A"/>
    <w:rsid w:val="00F378D0"/>
    <w:rsid w:val="00F76668"/>
    <w:rsid w:val="00F76A7F"/>
    <w:rsid w:val="00F838E1"/>
    <w:rsid w:val="00F842DC"/>
    <w:rsid w:val="00F876FF"/>
    <w:rsid w:val="00F93A89"/>
    <w:rsid w:val="00F970FA"/>
    <w:rsid w:val="00FA2721"/>
    <w:rsid w:val="00FA3D11"/>
    <w:rsid w:val="00FD5BA6"/>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0F17C"/>
  <w15:chartTrackingRefBased/>
  <w15:docId w15:val="{DF0C1BE1-0951-E146-8560-12167759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TH"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bidi="ar-SA"/>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semiHidden/>
    <w:rsid w:val="000B6FD4"/>
  </w:style>
  <w:style w:type="table" w:default="1" w:styleId="TableNormal">
    <w:name w:val="Normal Table"/>
    <w:semiHidden/>
    <w:rsid w:val="00666336"/>
    <w:rPr>
      <w:rFonts w:eastAsia="MS Mincho"/>
    </w:rPr>
    <w:tblPr>
      <w:tblInd w:w="0" w:type="dxa"/>
      <w:tblCellMar>
        <w:top w:w="0" w:type="dxa"/>
        <w:left w:w="108" w:type="dxa"/>
        <w:bottom w:w="0" w:type="dxa"/>
        <w:right w:w="108" w:type="dxa"/>
      </w:tblCellMar>
    </w:tblPr>
  </w:style>
  <w:style w:type="numbering" w:default="1" w:styleId="NoList">
    <w:name w:val="No List"/>
    <w:semiHidden/>
    <w:rsid w:val="000B6FD4"/>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rsid w:val="000B6FD4"/>
    <w:rPr>
      <w:color w:val="0000FF"/>
      <w:vertAlign w:val="superscript"/>
    </w:rPr>
  </w:style>
  <w:style w:type="character" w:customStyle="1" w:styleId="FnoteRef">
    <w:name w:val="FnoteRef"/>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qFormat/>
    <w:rsid w:val="000B6FD4"/>
    <w:rPr>
      <w:i/>
      <w:iCs/>
    </w:rPr>
  </w:style>
  <w:style w:type="paragraph" w:customStyle="1" w:styleId="GroupAuthor">
    <w:name w:val="GroupAuthor"/>
    <w:basedOn w:val="Author"/>
    <w:rsid w:val="000B6FD4"/>
    <w:rPr>
      <w:b/>
      <w:i/>
    </w:rPr>
  </w:style>
  <w:style w:type="character" w:styleId="CommentReference">
    <w:name w:val="annotation reference"/>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0">
    <w:name w:val="SubTitle"/>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rsid w:val="000B6FD4"/>
    <w:rPr>
      <w:i/>
      <w:iCs/>
    </w:rPr>
  </w:style>
  <w:style w:type="character" w:styleId="HTMLCode">
    <w:name w:val="HTML Code"/>
    <w:rsid w:val="000B6FD4"/>
    <w:rPr>
      <w:rFonts w:ascii="Courier New" w:hAnsi="Courier New"/>
      <w:sz w:val="20"/>
      <w:szCs w:val="20"/>
    </w:rPr>
  </w:style>
  <w:style w:type="character" w:styleId="HTMLDefinition">
    <w:name w:val="HTML Definition"/>
    <w:rsid w:val="000B6FD4"/>
    <w:rPr>
      <w:i/>
      <w:iCs/>
    </w:rPr>
  </w:style>
  <w:style w:type="character" w:styleId="HTMLKeyboard">
    <w:name w:val="HTML Keyboard"/>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rsid w:val="000B6FD4"/>
    <w:rPr>
      <w:rFonts w:ascii="Courier New" w:hAnsi="Courier New"/>
    </w:rPr>
  </w:style>
  <w:style w:type="character" w:styleId="HTMLTypewriter">
    <w:name w:val="HTML Typewriter"/>
    <w:rsid w:val="000B6FD4"/>
    <w:rPr>
      <w:rFonts w:ascii="Courier New" w:hAnsi="Courier New"/>
      <w:sz w:val="20"/>
      <w:szCs w:val="20"/>
    </w:rPr>
  </w:style>
  <w:style w:type="character" w:styleId="HTMLVariable">
    <w:name w:val="HTML Variable"/>
    <w:rsid w:val="000B6FD4"/>
    <w:rPr>
      <w:i/>
      <w:iCs/>
    </w:rPr>
  </w:style>
  <w:style w:type="character" w:styleId="Hyperlink">
    <w:name w:val="Hyperlink"/>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bidi="ar-SA"/>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31</TotalTime>
  <Pages>10</Pages>
  <Words>3319</Words>
  <Characters>18919</Characters>
  <Application>Microsoft Office Word</Application>
  <DocSecurity>0</DocSecurity>
  <Lines>157</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pplouffe</dc:creator>
  <cp:keywords/>
  <dc:description/>
  <cp:lastModifiedBy>Nattamon  Niyomdecha</cp:lastModifiedBy>
  <cp:revision>20</cp:revision>
  <cp:lastPrinted>2007-09-19T03:02:00Z</cp:lastPrinted>
  <dcterms:created xsi:type="dcterms:W3CDTF">2024-03-14T06:22:00Z</dcterms:created>
  <dcterms:modified xsi:type="dcterms:W3CDTF">2024-03-14T12:43:00Z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