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0A2" w:rsidRPr="00FF6DF2" w:rsidRDefault="00B040A2" w:rsidP="00B040A2">
      <w:pPr>
        <w:spacing w:line="480" w:lineRule="auto"/>
        <w:rPr>
          <w:rFonts w:cs="Times New Roman"/>
          <w:b/>
          <w:bCs/>
          <w:sz w:val="24"/>
          <w:szCs w:val="24"/>
        </w:rPr>
      </w:pPr>
      <w:hyperlink r:id="rId6" w:history="1">
        <w:r w:rsidRPr="00FF6DF2">
          <w:rPr>
            <w:rFonts w:cs="Times New Roman"/>
            <w:b/>
            <w:bCs/>
            <w:sz w:val="24"/>
            <w:szCs w:val="24"/>
          </w:rPr>
          <w:t>Supplementary</w:t>
        </w:r>
      </w:hyperlink>
      <w:r w:rsidRPr="00FF6DF2">
        <w:rPr>
          <w:rFonts w:cs="Times New Roman"/>
          <w:b/>
          <w:bCs/>
          <w:sz w:val="24"/>
          <w:szCs w:val="24"/>
        </w:rPr>
        <w:t xml:space="preserve"> Table 2. </w:t>
      </w:r>
      <w:bookmarkStart w:id="0" w:name="OLE_LINK10"/>
      <w:r w:rsidRPr="00FF6DF2">
        <w:rPr>
          <w:rFonts w:cs="Times New Roman"/>
          <w:b/>
          <w:bCs/>
          <w:sz w:val="24"/>
          <w:szCs w:val="24"/>
        </w:rPr>
        <w:t>Knowledge</w:t>
      </w:r>
      <w:bookmarkEnd w:id="0"/>
      <w:r w:rsidRPr="00FF6DF2">
        <w:rPr>
          <w:rFonts w:cs="Times New Roman"/>
          <w:b/>
          <w:bCs/>
          <w:sz w:val="24"/>
          <w:szCs w:val="24"/>
        </w:rPr>
        <w:t xml:space="preserve"> questionnaire and correct rates</w:t>
      </w:r>
    </w:p>
    <w:tbl>
      <w:tblPr>
        <w:tblW w:w="5000" w:type="pct"/>
        <w:tblBorders>
          <w:top w:val="none" w:sz="4" w:space="0" w:color="auto"/>
          <w:left w:val="none" w:sz="4" w:space="0" w:color="auto"/>
          <w:bottom w:val="single" w:sz="4" w:space="0" w:color="auto"/>
          <w:right w:val="none" w:sz="4" w:space="0" w:color="auto"/>
          <w:insideH w:val="none" w:sz="4" w:space="0" w:color="auto"/>
          <w:insideV w:val="none" w:sz="4" w:space="0" w:color="auto"/>
        </w:tblBorders>
        <w:tblLook w:val="04A0" w:firstRow="1" w:lastRow="0" w:firstColumn="1" w:lastColumn="0" w:noHBand="0" w:noVBand="1"/>
      </w:tblPr>
      <w:tblGrid>
        <w:gridCol w:w="13041"/>
        <w:gridCol w:w="917"/>
      </w:tblGrid>
      <w:tr w:rsidR="00B040A2" w:rsidRPr="00FF6DF2" w:rsidTr="00D24BE2">
        <w:trPr>
          <w:trHeight w:val="368"/>
        </w:trPr>
        <w:tc>
          <w:tcPr>
            <w:tcW w:w="4284" w:type="pct"/>
            <w:tcBorders>
              <w:top w:val="single" w:sz="4" w:space="0" w:color="auto"/>
              <w:bottom w:val="single" w:sz="4" w:space="0" w:color="auto"/>
            </w:tcBorders>
            <w:noWrap/>
            <w:vAlign w:val="center"/>
          </w:tcPr>
          <w:p w:rsidR="00B040A2" w:rsidRPr="00FF6DF2" w:rsidRDefault="00B040A2" w:rsidP="00D24BE2">
            <w:pPr>
              <w:spacing w:line="480" w:lineRule="auto"/>
              <w:rPr>
                <w:rFonts w:cs="Times New Roman"/>
                <w:b/>
                <w:kern w:val="0"/>
                <w:sz w:val="24"/>
                <w:szCs w:val="24"/>
              </w:rPr>
            </w:pPr>
            <w:r w:rsidRPr="00FF6DF2">
              <w:rPr>
                <w:rFonts w:cs="Times New Roman"/>
                <w:sz w:val="24"/>
                <w:szCs w:val="24"/>
              </w:rPr>
              <w:t>Knowledge, n (%)</w:t>
            </w:r>
          </w:p>
        </w:tc>
        <w:tc>
          <w:tcPr>
            <w:tcW w:w="716" w:type="pct"/>
            <w:tcBorders>
              <w:top w:val="single" w:sz="4" w:space="0" w:color="auto"/>
              <w:bottom w:val="single" w:sz="4" w:space="0" w:color="auto"/>
            </w:tcBorders>
            <w:noWrap/>
            <w:vAlign w:val="center"/>
          </w:tcPr>
          <w:p w:rsidR="00B040A2" w:rsidRPr="00FF6DF2" w:rsidRDefault="00B040A2" w:rsidP="00D24BE2">
            <w:pPr>
              <w:spacing w:line="480" w:lineRule="auto"/>
              <w:jc w:val="center"/>
              <w:rPr>
                <w:rFonts w:eastAsia="微软雅黑" w:cs="Times New Roman"/>
                <w:b/>
                <w:kern w:val="0"/>
                <w:sz w:val="24"/>
                <w:szCs w:val="24"/>
              </w:rPr>
            </w:pPr>
            <w:r w:rsidRPr="00FF6DF2">
              <w:rPr>
                <w:rFonts w:eastAsia="微软雅黑" w:cs="Times New Roman"/>
                <w:bCs/>
                <w:kern w:val="0"/>
                <w:sz w:val="24"/>
                <w:szCs w:val="24"/>
              </w:rPr>
              <w:t>Correct rates</w:t>
            </w:r>
          </w:p>
        </w:tc>
      </w:tr>
      <w:tr w:rsidR="00B040A2" w:rsidRPr="00FF6DF2" w:rsidTr="00D24BE2">
        <w:trPr>
          <w:trHeight w:val="387"/>
        </w:trPr>
        <w:tc>
          <w:tcPr>
            <w:tcW w:w="4284" w:type="pct"/>
            <w:tcBorders>
              <w:top w:val="single" w:sz="4" w:space="0" w:color="auto"/>
            </w:tcBorders>
            <w:noWrap/>
          </w:tcPr>
          <w:p w:rsidR="00B040A2" w:rsidRPr="00FF6DF2" w:rsidRDefault="00B040A2" w:rsidP="00D24BE2">
            <w:pPr>
              <w:spacing w:line="480" w:lineRule="auto"/>
              <w:rPr>
                <w:rFonts w:eastAsia="微软雅黑" w:cs="Times New Roman"/>
                <w:b/>
                <w:kern w:val="0"/>
                <w:sz w:val="24"/>
                <w:szCs w:val="24"/>
              </w:rPr>
            </w:pPr>
            <w:r w:rsidRPr="00FF6DF2">
              <w:rPr>
                <w:rFonts w:cs="Times New Roman"/>
                <w:sz w:val="24"/>
                <w:szCs w:val="24"/>
              </w:rPr>
              <w:t>Hyperuricemia is a chronic metabolic disorder associated with abnormal purine metabolism.</w:t>
            </w:r>
          </w:p>
        </w:tc>
        <w:tc>
          <w:tcPr>
            <w:tcW w:w="716" w:type="pct"/>
            <w:tcBorders>
              <w:top w:val="single" w:sz="4" w:space="0" w:color="auto"/>
            </w:tcBorders>
            <w:noWrap/>
            <w:vAlign w:val="center"/>
          </w:tcPr>
          <w:p w:rsidR="00B040A2" w:rsidRPr="00FF6DF2" w:rsidRDefault="00B040A2" w:rsidP="00D24BE2">
            <w:pPr>
              <w:spacing w:line="480" w:lineRule="auto"/>
              <w:jc w:val="center"/>
              <w:rPr>
                <w:rFonts w:cs="Times New Roman"/>
                <w:sz w:val="24"/>
                <w:szCs w:val="24"/>
              </w:rPr>
            </w:pPr>
            <w:r w:rsidRPr="00FF6DF2">
              <w:rPr>
                <w:rFonts w:cs="Times New Roman"/>
                <w:sz w:val="24"/>
                <w:szCs w:val="24"/>
              </w:rPr>
              <w:t>209 (96.8)</w:t>
            </w:r>
          </w:p>
        </w:tc>
      </w:tr>
      <w:tr w:rsidR="00B040A2" w:rsidRPr="00FF6DF2" w:rsidTr="00D24BE2">
        <w:trPr>
          <w:trHeight w:val="375"/>
        </w:trPr>
        <w:tc>
          <w:tcPr>
            <w:tcW w:w="4284" w:type="pct"/>
            <w:noWrap/>
          </w:tcPr>
          <w:p w:rsidR="00B040A2" w:rsidRPr="00FF6DF2" w:rsidRDefault="00B040A2" w:rsidP="00D24BE2">
            <w:pPr>
              <w:spacing w:line="480" w:lineRule="auto"/>
              <w:rPr>
                <w:rFonts w:eastAsia="微软雅黑" w:cs="Times New Roman"/>
                <w:b/>
                <w:kern w:val="0"/>
                <w:sz w:val="24"/>
                <w:szCs w:val="24"/>
              </w:rPr>
            </w:pPr>
            <w:r w:rsidRPr="00FF6DF2">
              <w:rPr>
                <w:rFonts w:cs="Times New Roman"/>
                <w:sz w:val="24"/>
                <w:szCs w:val="24"/>
              </w:rPr>
              <w:t>An individual with hyperuricemia due to congenital metabolic abnormalities may also have obesity, type 2 diabetes, hypertension, and hyperlipidemia, which is termed metabolic syndrome.</w:t>
            </w:r>
          </w:p>
        </w:tc>
        <w:tc>
          <w:tcPr>
            <w:tcW w:w="716" w:type="pct"/>
            <w:noWrap/>
            <w:vAlign w:val="center"/>
          </w:tcPr>
          <w:p w:rsidR="00B040A2" w:rsidRPr="00FF6DF2" w:rsidRDefault="00B040A2" w:rsidP="00D24BE2">
            <w:pPr>
              <w:spacing w:line="480" w:lineRule="auto"/>
              <w:jc w:val="center"/>
              <w:rPr>
                <w:rFonts w:cs="Times New Roman"/>
                <w:sz w:val="24"/>
                <w:szCs w:val="24"/>
              </w:rPr>
            </w:pPr>
            <w:r w:rsidRPr="00FF6DF2">
              <w:rPr>
                <w:rFonts w:cs="Times New Roman"/>
                <w:sz w:val="24"/>
                <w:szCs w:val="24"/>
              </w:rPr>
              <w:t>204 (94.4)</w:t>
            </w:r>
          </w:p>
        </w:tc>
      </w:tr>
      <w:tr w:rsidR="00B040A2" w:rsidRPr="00FF6DF2" w:rsidTr="00D24BE2">
        <w:trPr>
          <w:trHeight w:val="375"/>
        </w:trPr>
        <w:tc>
          <w:tcPr>
            <w:tcW w:w="4284" w:type="pct"/>
            <w:noWrap/>
          </w:tcPr>
          <w:p w:rsidR="00B040A2" w:rsidRPr="00FF6DF2" w:rsidRDefault="00B040A2" w:rsidP="00D24BE2">
            <w:pPr>
              <w:spacing w:line="480" w:lineRule="auto"/>
              <w:rPr>
                <w:rFonts w:eastAsia="微软雅黑" w:cs="Times New Roman"/>
                <w:b/>
                <w:kern w:val="0"/>
                <w:sz w:val="24"/>
                <w:szCs w:val="24"/>
              </w:rPr>
            </w:pPr>
            <w:r w:rsidRPr="00FF6DF2">
              <w:rPr>
                <w:rFonts w:eastAsia="微软雅黑" w:cs="Times New Roman"/>
                <w:bCs/>
                <w:kern w:val="0"/>
                <w:sz w:val="24"/>
                <w:szCs w:val="24"/>
              </w:rPr>
              <w:t>Acquired diseases (e.g. leukaemia, chronic kidney disease) or drugs that inhibit uric acid excretion (e.g. aspirin) may lead to hyperuricaemia</w:t>
            </w:r>
          </w:p>
        </w:tc>
        <w:tc>
          <w:tcPr>
            <w:tcW w:w="716" w:type="pct"/>
            <w:noWrap/>
            <w:vAlign w:val="center"/>
          </w:tcPr>
          <w:p w:rsidR="00B040A2" w:rsidRPr="00FF6DF2" w:rsidRDefault="00B040A2" w:rsidP="00D24BE2">
            <w:pPr>
              <w:spacing w:line="480" w:lineRule="auto"/>
              <w:jc w:val="center"/>
              <w:rPr>
                <w:rFonts w:cs="Times New Roman"/>
                <w:sz w:val="24"/>
                <w:szCs w:val="24"/>
              </w:rPr>
            </w:pPr>
            <w:r w:rsidRPr="00FF6DF2">
              <w:rPr>
                <w:rFonts w:cs="Times New Roman"/>
                <w:sz w:val="24"/>
                <w:szCs w:val="24"/>
              </w:rPr>
              <w:t>183(84.7)</w:t>
            </w:r>
          </w:p>
        </w:tc>
      </w:tr>
      <w:tr w:rsidR="00B040A2" w:rsidRPr="00FF6DF2" w:rsidTr="00D24BE2">
        <w:trPr>
          <w:trHeight w:val="375"/>
        </w:trPr>
        <w:tc>
          <w:tcPr>
            <w:tcW w:w="4284" w:type="pct"/>
            <w:noWrap/>
          </w:tcPr>
          <w:p w:rsidR="00B040A2" w:rsidRPr="00FF6DF2" w:rsidRDefault="00B040A2" w:rsidP="00D24BE2">
            <w:pPr>
              <w:spacing w:line="480" w:lineRule="auto"/>
              <w:rPr>
                <w:rFonts w:eastAsia="微软雅黑" w:cs="Times New Roman"/>
                <w:b/>
                <w:kern w:val="0"/>
                <w:sz w:val="24"/>
                <w:szCs w:val="24"/>
              </w:rPr>
            </w:pPr>
            <w:r w:rsidRPr="00FF6DF2">
              <w:rPr>
                <w:rFonts w:cs="Times New Roman"/>
                <w:sz w:val="24"/>
                <w:szCs w:val="24"/>
              </w:rPr>
              <w:t>In most cases of hyperuricemia, patients have no obvious symptoms other than increased blood uric acid levels, which is referred to as "asymptomatic hyperuricemia".</w:t>
            </w:r>
          </w:p>
        </w:tc>
        <w:tc>
          <w:tcPr>
            <w:tcW w:w="716" w:type="pct"/>
            <w:noWrap/>
            <w:vAlign w:val="center"/>
          </w:tcPr>
          <w:p w:rsidR="00B040A2" w:rsidRPr="00FF6DF2" w:rsidRDefault="00B040A2" w:rsidP="00D24BE2">
            <w:pPr>
              <w:spacing w:line="480" w:lineRule="auto"/>
              <w:jc w:val="center"/>
              <w:rPr>
                <w:rFonts w:cs="Times New Roman"/>
                <w:sz w:val="24"/>
                <w:szCs w:val="24"/>
              </w:rPr>
            </w:pPr>
            <w:r w:rsidRPr="00FF6DF2">
              <w:rPr>
                <w:rFonts w:cs="Times New Roman"/>
                <w:sz w:val="24"/>
                <w:szCs w:val="24"/>
              </w:rPr>
              <w:t>188 (87.0)</w:t>
            </w:r>
          </w:p>
        </w:tc>
      </w:tr>
      <w:tr w:rsidR="00B040A2" w:rsidRPr="00FF6DF2" w:rsidTr="00D24BE2">
        <w:trPr>
          <w:trHeight w:val="375"/>
        </w:trPr>
        <w:tc>
          <w:tcPr>
            <w:tcW w:w="4284" w:type="pct"/>
            <w:noWrap/>
          </w:tcPr>
          <w:p w:rsidR="00B040A2" w:rsidRPr="00FF6DF2" w:rsidRDefault="00B040A2" w:rsidP="00D24BE2">
            <w:pPr>
              <w:spacing w:line="480" w:lineRule="auto"/>
              <w:rPr>
                <w:rFonts w:eastAsia="微软雅黑" w:cs="Times New Roman"/>
                <w:b/>
                <w:kern w:val="0"/>
                <w:sz w:val="24"/>
                <w:szCs w:val="24"/>
              </w:rPr>
            </w:pPr>
            <w:r w:rsidRPr="00FF6DF2">
              <w:rPr>
                <w:rFonts w:cs="Times New Roman"/>
                <w:sz w:val="24"/>
                <w:szCs w:val="24"/>
              </w:rPr>
              <w:t>Asymptomatic hyperuricemia may progress to gout.</w:t>
            </w:r>
          </w:p>
        </w:tc>
        <w:tc>
          <w:tcPr>
            <w:tcW w:w="716" w:type="pct"/>
            <w:noWrap/>
            <w:vAlign w:val="center"/>
          </w:tcPr>
          <w:p w:rsidR="00B040A2" w:rsidRPr="00FF6DF2" w:rsidRDefault="00B040A2" w:rsidP="00D24BE2">
            <w:pPr>
              <w:spacing w:line="480" w:lineRule="auto"/>
              <w:jc w:val="center"/>
              <w:rPr>
                <w:rFonts w:cs="Times New Roman"/>
                <w:sz w:val="24"/>
                <w:szCs w:val="24"/>
              </w:rPr>
            </w:pPr>
            <w:r w:rsidRPr="00FF6DF2">
              <w:rPr>
                <w:rFonts w:cs="Times New Roman"/>
                <w:sz w:val="24"/>
                <w:szCs w:val="24"/>
              </w:rPr>
              <w:t>182 (84.3)</w:t>
            </w:r>
          </w:p>
        </w:tc>
      </w:tr>
      <w:tr w:rsidR="00B040A2" w:rsidRPr="00FF6DF2" w:rsidTr="00D24BE2">
        <w:trPr>
          <w:trHeight w:val="375"/>
        </w:trPr>
        <w:tc>
          <w:tcPr>
            <w:tcW w:w="4284" w:type="pct"/>
            <w:noWrap/>
          </w:tcPr>
          <w:p w:rsidR="00B040A2" w:rsidRPr="00FF6DF2" w:rsidRDefault="00B040A2" w:rsidP="00D24BE2">
            <w:pPr>
              <w:spacing w:line="480" w:lineRule="auto"/>
              <w:rPr>
                <w:rFonts w:eastAsia="微软雅黑" w:cs="Times New Roman"/>
                <w:b/>
                <w:kern w:val="0"/>
                <w:sz w:val="24"/>
                <w:szCs w:val="24"/>
              </w:rPr>
            </w:pPr>
            <w:r w:rsidRPr="00FF6DF2">
              <w:rPr>
                <w:rFonts w:cs="Times New Roman"/>
                <w:sz w:val="24"/>
                <w:szCs w:val="24"/>
              </w:rPr>
              <w:lastRenderedPageBreak/>
              <w:t>Hyperuricemia is diagnosed by two fasting blood uric acid levels greater than 420 µmol/L on different days.</w:t>
            </w:r>
          </w:p>
        </w:tc>
        <w:tc>
          <w:tcPr>
            <w:tcW w:w="716" w:type="pct"/>
            <w:noWrap/>
            <w:vAlign w:val="center"/>
          </w:tcPr>
          <w:p w:rsidR="00B040A2" w:rsidRPr="00FF6DF2" w:rsidRDefault="00B040A2" w:rsidP="00D24BE2">
            <w:pPr>
              <w:spacing w:line="480" w:lineRule="auto"/>
              <w:jc w:val="center"/>
              <w:rPr>
                <w:rFonts w:cs="Times New Roman"/>
                <w:sz w:val="24"/>
                <w:szCs w:val="24"/>
              </w:rPr>
            </w:pPr>
            <w:r w:rsidRPr="00FF6DF2">
              <w:rPr>
                <w:rFonts w:cs="Times New Roman"/>
                <w:sz w:val="24"/>
                <w:szCs w:val="24"/>
              </w:rPr>
              <w:t>149 (69.0)</w:t>
            </w:r>
          </w:p>
        </w:tc>
      </w:tr>
      <w:tr w:rsidR="00B040A2" w:rsidRPr="00FF6DF2" w:rsidTr="00D24BE2">
        <w:trPr>
          <w:trHeight w:val="375"/>
        </w:trPr>
        <w:tc>
          <w:tcPr>
            <w:tcW w:w="4284" w:type="pct"/>
            <w:noWrap/>
          </w:tcPr>
          <w:p w:rsidR="00B040A2" w:rsidRPr="00FF6DF2" w:rsidRDefault="00B040A2" w:rsidP="00D24BE2">
            <w:pPr>
              <w:spacing w:line="480" w:lineRule="auto"/>
              <w:rPr>
                <w:rFonts w:eastAsia="微软雅黑" w:cs="Times New Roman"/>
                <w:b/>
                <w:kern w:val="0"/>
                <w:sz w:val="24"/>
                <w:szCs w:val="24"/>
              </w:rPr>
            </w:pPr>
            <w:r w:rsidRPr="00FF6DF2">
              <w:rPr>
                <w:rFonts w:cs="Times New Roman"/>
                <w:sz w:val="24"/>
                <w:szCs w:val="24"/>
              </w:rPr>
              <w:t>All patients with hyperuricemia should control their weight and exercise regularly while limiting their intake of high-purine and high-fructose foods.</w:t>
            </w:r>
          </w:p>
        </w:tc>
        <w:tc>
          <w:tcPr>
            <w:tcW w:w="716" w:type="pct"/>
            <w:noWrap/>
            <w:vAlign w:val="center"/>
          </w:tcPr>
          <w:p w:rsidR="00B040A2" w:rsidRPr="00FF6DF2" w:rsidRDefault="00B040A2" w:rsidP="00D24BE2">
            <w:pPr>
              <w:spacing w:line="480" w:lineRule="auto"/>
              <w:jc w:val="center"/>
              <w:rPr>
                <w:rFonts w:cs="Times New Roman"/>
                <w:sz w:val="24"/>
                <w:szCs w:val="24"/>
              </w:rPr>
            </w:pPr>
            <w:r w:rsidRPr="00FF6DF2">
              <w:rPr>
                <w:rFonts w:cs="Times New Roman"/>
                <w:sz w:val="24"/>
                <w:szCs w:val="24"/>
              </w:rPr>
              <w:t>176 (81.5)</w:t>
            </w:r>
          </w:p>
        </w:tc>
      </w:tr>
      <w:tr w:rsidR="00B040A2" w:rsidRPr="00FF6DF2" w:rsidTr="00D24BE2">
        <w:trPr>
          <w:trHeight w:val="375"/>
        </w:trPr>
        <w:tc>
          <w:tcPr>
            <w:tcW w:w="4284" w:type="pct"/>
            <w:noWrap/>
          </w:tcPr>
          <w:p w:rsidR="00B040A2" w:rsidRPr="00FF6DF2" w:rsidRDefault="00B040A2" w:rsidP="00D24BE2">
            <w:pPr>
              <w:spacing w:line="480" w:lineRule="auto"/>
              <w:rPr>
                <w:rFonts w:eastAsia="微软雅黑" w:cs="Times New Roman"/>
                <w:b/>
                <w:kern w:val="0"/>
                <w:sz w:val="24"/>
                <w:szCs w:val="24"/>
              </w:rPr>
            </w:pPr>
            <w:r w:rsidRPr="00FF6DF2">
              <w:rPr>
                <w:rFonts w:cs="Times New Roman"/>
                <w:sz w:val="24"/>
                <w:szCs w:val="24"/>
              </w:rPr>
              <w:t>It is recommended that patients with hyperuricemia consume more dairy products and fresh vegetables, drink moderate amounts of water, and limit their intake of soy products.</w:t>
            </w:r>
          </w:p>
        </w:tc>
        <w:tc>
          <w:tcPr>
            <w:tcW w:w="716" w:type="pct"/>
            <w:noWrap/>
            <w:vAlign w:val="center"/>
          </w:tcPr>
          <w:p w:rsidR="00B040A2" w:rsidRPr="00FF6DF2" w:rsidRDefault="00B040A2" w:rsidP="00D24BE2">
            <w:pPr>
              <w:spacing w:line="480" w:lineRule="auto"/>
              <w:jc w:val="center"/>
              <w:rPr>
                <w:rFonts w:cs="Times New Roman"/>
                <w:sz w:val="24"/>
                <w:szCs w:val="24"/>
              </w:rPr>
            </w:pPr>
            <w:r w:rsidRPr="00FF6DF2">
              <w:rPr>
                <w:rFonts w:cs="Times New Roman"/>
                <w:sz w:val="24"/>
                <w:szCs w:val="24"/>
              </w:rPr>
              <w:t>201 (93.1)</w:t>
            </w:r>
          </w:p>
        </w:tc>
      </w:tr>
      <w:tr w:rsidR="00B040A2" w:rsidRPr="00FF6DF2" w:rsidTr="00D24BE2">
        <w:trPr>
          <w:trHeight w:val="375"/>
        </w:trPr>
        <w:tc>
          <w:tcPr>
            <w:tcW w:w="4284" w:type="pct"/>
            <w:noWrap/>
          </w:tcPr>
          <w:p w:rsidR="00B040A2" w:rsidRPr="00FF6DF2" w:rsidRDefault="00B040A2" w:rsidP="00D24BE2">
            <w:pPr>
              <w:spacing w:line="480" w:lineRule="auto"/>
              <w:rPr>
                <w:rFonts w:eastAsia="微软雅黑" w:cs="Times New Roman"/>
                <w:b/>
                <w:kern w:val="0"/>
                <w:sz w:val="24"/>
                <w:szCs w:val="24"/>
              </w:rPr>
            </w:pPr>
            <w:r w:rsidRPr="00FF6DF2">
              <w:rPr>
                <w:rFonts w:cs="Times New Roman"/>
                <w:sz w:val="24"/>
                <w:szCs w:val="24"/>
              </w:rPr>
              <w:t>In patients with asymptomatic hyperuricemia with uric acid levels ≥ 540 µmol/L or 480 µmol/L and comorbidities, drug therapy is recommended.</w:t>
            </w:r>
          </w:p>
        </w:tc>
        <w:tc>
          <w:tcPr>
            <w:tcW w:w="716" w:type="pct"/>
            <w:noWrap/>
            <w:vAlign w:val="center"/>
          </w:tcPr>
          <w:p w:rsidR="00B040A2" w:rsidRPr="00FF6DF2" w:rsidRDefault="00B040A2" w:rsidP="00D24BE2">
            <w:pPr>
              <w:spacing w:line="480" w:lineRule="auto"/>
              <w:jc w:val="center"/>
              <w:rPr>
                <w:rFonts w:cs="Times New Roman"/>
                <w:sz w:val="24"/>
                <w:szCs w:val="24"/>
              </w:rPr>
            </w:pPr>
            <w:r w:rsidRPr="00FF6DF2">
              <w:rPr>
                <w:rFonts w:cs="Times New Roman"/>
                <w:sz w:val="24"/>
                <w:szCs w:val="24"/>
              </w:rPr>
              <w:t>146 (67.6)</w:t>
            </w:r>
          </w:p>
        </w:tc>
      </w:tr>
      <w:tr w:rsidR="00B040A2" w:rsidRPr="00FF6DF2" w:rsidTr="00D24BE2">
        <w:trPr>
          <w:trHeight w:val="375"/>
        </w:trPr>
        <w:tc>
          <w:tcPr>
            <w:tcW w:w="4284" w:type="pct"/>
            <w:noWrap/>
          </w:tcPr>
          <w:p w:rsidR="00B040A2" w:rsidRPr="00FF6DF2" w:rsidRDefault="00B040A2" w:rsidP="00D24BE2">
            <w:pPr>
              <w:spacing w:line="480" w:lineRule="auto"/>
              <w:rPr>
                <w:rFonts w:eastAsia="微软雅黑" w:cs="Times New Roman"/>
                <w:b/>
                <w:kern w:val="0"/>
                <w:sz w:val="24"/>
                <w:szCs w:val="24"/>
              </w:rPr>
            </w:pPr>
            <w:r w:rsidRPr="00FF6DF2">
              <w:rPr>
                <w:rFonts w:cs="Times New Roman"/>
                <w:sz w:val="24"/>
                <w:szCs w:val="24"/>
              </w:rPr>
              <w:t>In addition to its ability to lower uric acid levels, allopurinol is associated with hypersensitivity reactions when used in the Chinese population, and caution should be exercised when administered to patients with chronic kidney disease.</w:t>
            </w:r>
          </w:p>
        </w:tc>
        <w:tc>
          <w:tcPr>
            <w:tcW w:w="716" w:type="pct"/>
            <w:noWrap/>
            <w:vAlign w:val="center"/>
          </w:tcPr>
          <w:p w:rsidR="00B040A2" w:rsidRPr="00FF6DF2" w:rsidRDefault="00B040A2" w:rsidP="00D24BE2">
            <w:pPr>
              <w:spacing w:line="480" w:lineRule="auto"/>
              <w:jc w:val="center"/>
              <w:rPr>
                <w:rFonts w:cs="Times New Roman"/>
                <w:sz w:val="24"/>
                <w:szCs w:val="24"/>
              </w:rPr>
            </w:pPr>
            <w:r w:rsidRPr="00FF6DF2">
              <w:rPr>
                <w:rFonts w:cs="Times New Roman"/>
                <w:sz w:val="24"/>
                <w:szCs w:val="24"/>
              </w:rPr>
              <w:t>179 (82.9)</w:t>
            </w:r>
          </w:p>
        </w:tc>
      </w:tr>
      <w:tr w:rsidR="00B040A2" w:rsidRPr="00FF6DF2" w:rsidTr="00D24BE2">
        <w:trPr>
          <w:trHeight w:val="375"/>
        </w:trPr>
        <w:tc>
          <w:tcPr>
            <w:tcW w:w="4284" w:type="pct"/>
            <w:noWrap/>
          </w:tcPr>
          <w:p w:rsidR="00B040A2" w:rsidRPr="00FF6DF2" w:rsidRDefault="00B040A2" w:rsidP="00D24BE2">
            <w:pPr>
              <w:spacing w:line="480" w:lineRule="auto"/>
              <w:rPr>
                <w:rFonts w:eastAsia="微软雅黑" w:cs="Times New Roman"/>
                <w:b/>
                <w:kern w:val="0"/>
                <w:sz w:val="24"/>
                <w:szCs w:val="24"/>
              </w:rPr>
            </w:pPr>
            <w:r w:rsidRPr="00FF6DF2">
              <w:rPr>
                <w:rFonts w:cs="Times New Roman"/>
                <w:sz w:val="24"/>
                <w:szCs w:val="24"/>
              </w:rPr>
              <w:t>Patients suffering from asymptomatic hyperuricemia with or without complications should have their uric acid level maintained within 360/420 µmol/L.</w:t>
            </w:r>
          </w:p>
        </w:tc>
        <w:tc>
          <w:tcPr>
            <w:tcW w:w="716" w:type="pct"/>
            <w:noWrap/>
            <w:vAlign w:val="center"/>
          </w:tcPr>
          <w:p w:rsidR="00B040A2" w:rsidRPr="00FF6DF2" w:rsidRDefault="00B040A2" w:rsidP="00D24BE2">
            <w:pPr>
              <w:spacing w:line="480" w:lineRule="auto"/>
              <w:jc w:val="center"/>
              <w:rPr>
                <w:rFonts w:cs="Times New Roman"/>
                <w:sz w:val="24"/>
                <w:szCs w:val="24"/>
              </w:rPr>
            </w:pPr>
            <w:r w:rsidRPr="00FF6DF2">
              <w:rPr>
                <w:rFonts w:cs="Times New Roman"/>
                <w:sz w:val="24"/>
                <w:szCs w:val="24"/>
              </w:rPr>
              <w:t>137 (63.4)</w:t>
            </w:r>
          </w:p>
        </w:tc>
      </w:tr>
      <w:tr w:rsidR="00B040A2" w:rsidRPr="00FF6DF2" w:rsidTr="00D24BE2">
        <w:trPr>
          <w:trHeight w:val="375"/>
        </w:trPr>
        <w:tc>
          <w:tcPr>
            <w:tcW w:w="4284" w:type="pct"/>
            <w:noWrap/>
          </w:tcPr>
          <w:p w:rsidR="00B040A2" w:rsidRPr="00FF6DF2" w:rsidRDefault="00B040A2" w:rsidP="00D24BE2">
            <w:pPr>
              <w:spacing w:line="480" w:lineRule="auto"/>
              <w:rPr>
                <w:rFonts w:eastAsia="微软雅黑" w:cs="Times New Roman"/>
                <w:b/>
                <w:kern w:val="0"/>
                <w:sz w:val="24"/>
                <w:szCs w:val="24"/>
              </w:rPr>
            </w:pPr>
            <w:r w:rsidRPr="00FF6DF2">
              <w:rPr>
                <w:rFonts w:cs="Times New Roman"/>
                <w:sz w:val="24"/>
                <w:szCs w:val="24"/>
              </w:rPr>
              <w:lastRenderedPageBreak/>
              <w:t>Uric acid levels should be monitored regularly in patients with hyperuricemia.</w:t>
            </w:r>
          </w:p>
        </w:tc>
        <w:tc>
          <w:tcPr>
            <w:tcW w:w="716" w:type="pct"/>
            <w:noWrap/>
            <w:vAlign w:val="center"/>
          </w:tcPr>
          <w:p w:rsidR="00B040A2" w:rsidRPr="00FF6DF2" w:rsidRDefault="00B040A2" w:rsidP="00D24BE2">
            <w:pPr>
              <w:spacing w:line="480" w:lineRule="auto"/>
              <w:jc w:val="center"/>
              <w:rPr>
                <w:rFonts w:cs="Times New Roman"/>
                <w:sz w:val="24"/>
                <w:szCs w:val="24"/>
              </w:rPr>
            </w:pPr>
            <w:r w:rsidRPr="00FF6DF2">
              <w:rPr>
                <w:rFonts w:cs="Times New Roman"/>
                <w:sz w:val="24"/>
                <w:szCs w:val="24"/>
              </w:rPr>
              <w:t>201 (93.1)</w:t>
            </w:r>
          </w:p>
        </w:tc>
      </w:tr>
      <w:tr w:rsidR="00B040A2" w:rsidRPr="00FF6DF2" w:rsidTr="00D24BE2">
        <w:trPr>
          <w:trHeight w:val="375"/>
        </w:trPr>
        <w:tc>
          <w:tcPr>
            <w:tcW w:w="4284" w:type="pct"/>
            <w:noWrap/>
          </w:tcPr>
          <w:p w:rsidR="00B040A2" w:rsidRPr="00FF6DF2" w:rsidRDefault="00B040A2" w:rsidP="00D24BE2">
            <w:pPr>
              <w:spacing w:line="480" w:lineRule="auto"/>
              <w:rPr>
                <w:rFonts w:eastAsia="微软雅黑" w:cs="Times New Roman"/>
                <w:b/>
                <w:kern w:val="0"/>
                <w:sz w:val="24"/>
                <w:szCs w:val="24"/>
              </w:rPr>
            </w:pPr>
            <w:r w:rsidRPr="00FF6DF2">
              <w:rPr>
                <w:rFonts w:cs="Times New Roman"/>
                <w:sz w:val="24"/>
                <w:szCs w:val="24"/>
              </w:rPr>
              <w:t>A failure to treat hyperuricemia on time can lead to cardiovascular and cerebrovascular damage.</w:t>
            </w:r>
          </w:p>
        </w:tc>
        <w:tc>
          <w:tcPr>
            <w:tcW w:w="716" w:type="pct"/>
            <w:noWrap/>
            <w:vAlign w:val="center"/>
          </w:tcPr>
          <w:p w:rsidR="00B040A2" w:rsidRPr="00FF6DF2" w:rsidRDefault="00B040A2" w:rsidP="00D24BE2">
            <w:pPr>
              <w:spacing w:line="480" w:lineRule="auto"/>
              <w:jc w:val="center"/>
              <w:rPr>
                <w:rFonts w:cs="Times New Roman"/>
                <w:sz w:val="24"/>
                <w:szCs w:val="24"/>
              </w:rPr>
            </w:pPr>
            <w:r w:rsidRPr="00FF6DF2">
              <w:rPr>
                <w:rFonts w:cs="Times New Roman"/>
                <w:sz w:val="24"/>
                <w:szCs w:val="24"/>
              </w:rPr>
              <w:t>182 (84.3)</w:t>
            </w:r>
          </w:p>
        </w:tc>
      </w:tr>
      <w:tr w:rsidR="00B040A2" w:rsidRPr="00FF6DF2" w:rsidTr="00D24BE2">
        <w:trPr>
          <w:trHeight w:val="375"/>
        </w:trPr>
        <w:tc>
          <w:tcPr>
            <w:tcW w:w="4284" w:type="pct"/>
            <w:noWrap/>
          </w:tcPr>
          <w:p w:rsidR="00B040A2" w:rsidRPr="00FF6DF2" w:rsidRDefault="00B040A2" w:rsidP="00D24BE2">
            <w:pPr>
              <w:spacing w:line="480" w:lineRule="auto"/>
              <w:rPr>
                <w:rFonts w:eastAsia="微软雅黑" w:cs="Times New Roman"/>
                <w:b/>
                <w:kern w:val="0"/>
                <w:sz w:val="24"/>
                <w:szCs w:val="24"/>
              </w:rPr>
            </w:pPr>
            <w:r w:rsidRPr="00FF6DF2">
              <w:rPr>
                <w:rFonts w:cs="Times New Roman"/>
                <w:sz w:val="24"/>
                <w:szCs w:val="24"/>
              </w:rPr>
              <w:t>Hyperuricemia may damage multiple organs and is causally related to diseases such as kidney stones and chronic kidney disease.</w:t>
            </w:r>
          </w:p>
        </w:tc>
        <w:tc>
          <w:tcPr>
            <w:tcW w:w="716" w:type="pct"/>
            <w:noWrap/>
            <w:vAlign w:val="center"/>
          </w:tcPr>
          <w:p w:rsidR="00B040A2" w:rsidRPr="00FF6DF2" w:rsidRDefault="00B040A2" w:rsidP="00D24BE2">
            <w:pPr>
              <w:spacing w:line="480" w:lineRule="auto"/>
              <w:jc w:val="center"/>
              <w:rPr>
                <w:rFonts w:cs="Times New Roman"/>
                <w:sz w:val="24"/>
                <w:szCs w:val="24"/>
              </w:rPr>
            </w:pPr>
            <w:r w:rsidRPr="00FF6DF2">
              <w:rPr>
                <w:rFonts w:cs="Times New Roman"/>
                <w:sz w:val="24"/>
                <w:szCs w:val="24"/>
              </w:rPr>
              <w:t>173 (80.1)</w:t>
            </w:r>
          </w:p>
        </w:tc>
      </w:tr>
    </w:tbl>
    <w:p w:rsidR="00DB328F" w:rsidRPr="00B040A2" w:rsidRDefault="00343C80" w:rsidP="00B040A2">
      <w:pPr>
        <w:spacing w:line="480" w:lineRule="auto"/>
        <w:rPr>
          <w:rFonts w:cs="Times New Roman" w:hint="eastAsia"/>
          <w:color w:val="FF0000"/>
          <w:sz w:val="24"/>
          <w:szCs w:val="24"/>
        </w:rPr>
      </w:pPr>
      <w:bookmarkStart w:id="1" w:name="_GoBack"/>
      <w:bookmarkEnd w:id="1"/>
    </w:p>
    <w:sectPr w:rsidR="00DB328F" w:rsidRPr="00B040A2" w:rsidSect="00B040A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C80" w:rsidRDefault="00343C80" w:rsidP="00B040A2">
      <w:r>
        <w:separator/>
      </w:r>
    </w:p>
  </w:endnote>
  <w:endnote w:type="continuationSeparator" w:id="0">
    <w:p w:rsidR="00343C80" w:rsidRDefault="00343C80" w:rsidP="00B0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C80" w:rsidRDefault="00343C80" w:rsidP="00B040A2">
      <w:r>
        <w:separator/>
      </w:r>
    </w:p>
  </w:footnote>
  <w:footnote w:type="continuationSeparator" w:id="0">
    <w:p w:rsidR="00343C80" w:rsidRDefault="00343C80" w:rsidP="00B04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2A"/>
    <w:rsid w:val="00117261"/>
    <w:rsid w:val="00343C80"/>
    <w:rsid w:val="005E7990"/>
    <w:rsid w:val="00B040A2"/>
    <w:rsid w:val="00CA532A"/>
    <w:rsid w:val="00D31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7BDCA1-FD0B-4F89-B4AD-E2ED54FC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0A2"/>
    <w:pPr>
      <w:jc w:val="both"/>
    </w:pPr>
    <w:rPr>
      <w:rFonts w:ascii="Times New Roman" w:eastAsia="宋体"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0A2"/>
    <w:pPr>
      <w:widowControl w:val="0"/>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rsid w:val="00B040A2"/>
    <w:rPr>
      <w:sz w:val="18"/>
      <w:szCs w:val="18"/>
    </w:rPr>
  </w:style>
  <w:style w:type="paragraph" w:styleId="a4">
    <w:name w:val="footer"/>
    <w:basedOn w:val="a"/>
    <w:link w:val="Char0"/>
    <w:uiPriority w:val="99"/>
    <w:unhideWhenUsed/>
    <w:rsid w:val="00B040A2"/>
    <w:pPr>
      <w:widowControl w:val="0"/>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rsid w:val="00B040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cp:revision>
  <dcterms:created xsi:type="dcterms:W3CDTF">2023-11-30T09:36:00Z</dcterms:created>
  <dcterms:modified xsi:type="dcterms:W3CDTF">2023-11-30T09:36:00Z</dcterms:modified>
</cp:coreProperties>
</file>