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E3" w:rsidRPr="00FF6DF2" w:rsidRDefault="007404E3" w:rsidP="007404E3">
      <w:pPr>
        <w:spacing w:line="480" w:lineRule="auto"/>
        <w:rPr>
          <w:rFonts w:cs="Times New Roman"/>
          <w:b/>
          <w:bCs/>
          <w:sz w:val="24"/>
          <w:szCs w:val="24"/>
        </w:rPr>
      </w:pPr>
      <w:hyperlink r:id="rId6" w:history="1">
        <w:r w:rsidRPr="00FF6DF2">
          <w:rPr>
            <w:rFonts w:cs="Times New Roman"/>
            <w:b/>
            <w:bCs/>
            <w:sz w:val="24"/>
            <w:szCs w:val="24"/>
          </w:rPr>
          <w:t>Supplementary</w:t>
        </w:r>
      </w:hyperlink>
      <w:r w:rsidRPr="00FF6DF2">
        <w:rPr>
          <w:rFonts w:cs="Times New Roman"/>
          <w:b/>
          <w:bCs/>
          <w:sz w:val="24"/>
          <w:szCs w:val="24"/>
        </w:rPr>
        <w:t xml:space="preserve"> Table 4. Practice questionnaire and response distribution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25"/>
        <w:gridCol w:w="1424"/>
        <w:gridCol w:w="1325"/>
        <w:gridCol w:w="1239"/>
        <w:gridCol w:w="1469"/>
        <w:gridCol w:w="896"/>
      </w:tblGrid>
      <w:tr w:rsidR="007404E3" w:rsidRPr="00FF6DF2" w:rsidTr="00D24BE2">
        <w:trPr>
          <w:trHeight w:val="408"/>
        </w:trPr>
        <w:tc>
          <w:tcPr>
            <w:tcW w:w="2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Practice, n (%)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Always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Usually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Neutral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Occasionally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Never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recommend drug therapy for patients with hyperuricemia.</w:t>
            </w:r>
            <w:r w:rsidRPr="00FF6DF2">
              <w:rPr>
                <w:rFonts w:eastAsia="微软雅黑" w:cs="Times New Roman"/>
                <w:sz w:val="24"/>
                <w:szCs w:val="24"/>
              </w:rPr>
              <w:t>*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19 (14.5)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56 (42.7)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 (35.9)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8 (6.1)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 (0.8)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modify the treatment strategy if underlying diseases are present.</w:t>
            </w:r>
            <w:r w:rsidRPr="00FF6DF2">
              <w:rPr>
                <w:rFonts w:eastAsia="微软雅黑" w:cs="Times New Roman"/>
                <w:sz w:val="24"/>
                <w:szCs w:val="24"/>
              </w:rPr>
              <w:t>*</w:t>
            </w:r>
          </w:p>
        </w:tc>
        <w:tc>
          <w:tcPr>
            <w:tcW w:w="49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 (35.9)</w:t>
            </w:r>
          </w:p>
        </w:tc>
        <w:tc>
          <w:tcPr>
            <w:tcW w:w="457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62 (47.3)</w:t>
            </w:r>
          </w:p>
        </w:tc>
        <w:tc>
          <w:tcPr>
            <w:tcW w:w="428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20 (15.3)</w:t>
            </w:r>
          </w:p>
        </w:tc>
        <w:tc>
          <w:tcPr>
            <w:tcW w:w="47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 (1.5)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recommend blood uric acid testing for patients with metabolic diseases.</w:t>
            </w:r>
            <w:r w:rsidRPr="00FF6DF2">
              <w:rPr>
                <w:rFonts w:eastAsia="微软雅黑" w:cs="Times New Roman"/>
                <w:sz w:val="24"/>
                <w:szCs w:val="24"/>
              </w:rPr>
              <w:t>*</w:t>
            </w:r>
          </w:p>
        </w:tc>
        <w:tc>
          <w:tcPr>
            <w:tcW w:w="49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75 (57.3)</w:t>
            </w:r>
          </w:p>
        </w:tc>
        <w:tc>
          <w:tcPr>
            <w:tcW w:w="457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42 (32.1)</w:t>
            </w:r>
          </w:p>
        </w:tc>
        <w:tc>
          <w:tcPr>
            <w:tcW w:w="428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13 (9.9)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 (0.8)</w:t>
            </w:r>
          </w:p>
        </w:tc>
      </w:tr>
      <w:tr w:rsidR="007404E3" w:rsidRPr="00FF6DF2" w:rsidTr="00D24BE2">
        <w:trPr>
          <w:trHeight w:val="90"/>
        </w:trPr>
        <w:tc>
          <w:tcPr>
            <w:tcW w:w="2842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recommend that patients with hyperuricemia have their cardiovascular and cerebrovascular systems examined.</w:t>
            </w:r>
            <w:r w:rsidRPr="00FF6DF2">
              <w:rPr>
                <w:rFonts w:eastAsia="微软雅黑" w:cs="Times New Roman"/>
                <w:sz w:val="24"/>
                <w:szCs w:val="24"/>
              </w:rPr>
              <w:t>*</w:t>
            </w:r>
          </w:p>
        </w:tc>
        <w:tc>
          <w:tcPr>
            <w:tcW w:w="49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57 (43.5)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49 (37.4)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22 (16.8)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 (1.5)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 (0.8)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advise patients with hyperuricemia to improve their lifestyles.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144 (66.7)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57 (26.4)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14 (6.5)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 (0.5)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advise patients with hyperuricemia receiving regular checkups at the hospital.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134 (62.0)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67 (31.0)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15 (6.9)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am willing to participate in education programs for hyperuricemia patients.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131 (60.6)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67 (31.0)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16 (7.4)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 (0.9)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am responsible for informing patients about the dangers of hyperuricemia in a clear and concise manner.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128 (59.3)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74 (34.3)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11 (5.1)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3 (1.4)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pay particular attention to the conditions of the joints of patients with hyperuricemia.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120 (55.6)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72 (33.3)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22 (10.2)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 (0.9)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404E3" w:rsidRPr="00FF6DF2" w:rsidRDefault="007404E3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lastRenderedPageBreak/>
              <w:t>I advise patients with hyperuricemia to consume more water and to urinate more frequently.</w:t>
            </w:r>
          </w:p>
        </w:tc>
        <w:tc>
          <w:tcPr>
            <w:tcW w:w="49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137 (63.4)</w:t>
            </w:r>
          </w:p>
        </w:tc>
        <w:tc>
          <w:tcPr>
            <w:tcW w:w="457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56 (25.9)</w:t>
            </w:r>
          </w:p>
        </w:tc>
        <w:tc>
          <w:tcPr>
            <w:tcW w:w="428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20 (9.3)</w:t>
            </w:r>
          </w:p>
        </w:tc>
        <w:tc>
          <w:tcPr>
            <w:tcW w:w="47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 (0.5)</w:t>
            </w:r>
          </w:p>
        </w:tc>
        <w:tc>
          <w:tcPr>
            <w:tcW w:w="31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 (0.9)</w:t>
            </w:r>
          </w:p>
        </w:tc>
      </w:tr>
      <w:tr w:rsidR="007404E3" w:rsidRPr="00FF6DF2" w:rsidTr="00D24BE2">
        <w:trPr>
          <w:trHeight w:val="374"/>
        </w:trPr>
        <w:tc>
          <w:tcPr>
            <w:tcW w:w="2842" w:type="pct"/>
            <w:shd w:val="clear" w:color="auto" w:fill="auto"/>
            <w:vAlign w:val="center"/>
          </w:tcPr>
          <w:p w:rsidR="007404E3" w:rsidRPr="00FF6DF2" w:rsidRDefault="007404E3" w:rsidP="00D24BE2">
            <w:pPr>
              <w:spacing w:line="480" w:lineRule="auto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 advise patients with hyperuricemia to take sodium bicarbonate to alkalize the urine.</w:t>
            </w:r>
          </w:p>
        </w:tc>
        <w:tc>
          <w:tcPr>
            <w:tcW w:w="49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58 (26.9)</w:t>
            </w:r>
          </w:p>
        </w:tc>
        <w:tc>
          <w:tcPr>
            <w:tcW w:w="457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60 (27.8)</w:t>
            </w:r>
          </w:p>
        </w:tc>
        <w:tc>
          <w:tcPr>
            <w:tcW w:w="428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63 (29.2)</w:t>
            </w:r>
          </w:p>
        </w:tc>
        <w:tc>
          <w:tcPr>
            <w:tcW w:w="47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18 (8.3)</w:t>
            </w:r>
          </w:p>
        </w:tc>
        <w:tc>
          <w:tcPr>
            <w:tcW w:w="311" w:type="pct"/>
            <w:shd w:val="clear" w:color="auto" w:fill="auto"/>
          </w:tcPr>
          <w:p w:rsidR="007404E3" w:rsidRPr="00FF6DF2" w:rsidRDefault="007404E3" w:rsidP="00D24BE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17 (7.9)</w:t>
            </w:r>
          </w:p>
        </w:tc>
      </w:tr>
    </w:tbl>
    <w:p w:rsidR="00DB328F" w:rsidRPr="007404E3" w:rsidRDefault="007404E3" w:rsidP="007404E3">
      <w:pPr>
        <w:spacing w:line="480" w:lineRule="auto"/>
        <w:rPr>
          <w:rFonts w:cs="Times New Roman" w:hint="eastAsia"/>
          <w:sz w:val="24"/>
          <w:szCs w:val="24"/>
        </w:rPr>
      </w:pPr>
      <w:r w:rsidRPr="00FF6DF2">
        <w:rPr>
          <w:rFonts w:cs="Times New Roman"/>
          <w:sz w:val="24"/>
          <w:szCs w:val="24"/>
        </w:rPr>
        <w:t>* Only replied by physicians (n=131);</w:t>
      </w:r>
      <w:bookmarkStart w:id="0" w:name="_GoBack"/>
      <w:bookmarkEnd w:id="0"/>
    </w:p>
    <w:sectPr w:rsidR="00DB328F" w:rsidRPr="007404E3" w:rsidSect="00586E3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8F" w:rsidRDefault="0090428F" w:rsidP="007404E3">
      <w:r>
        <w:separator/>
      </w:r>
    </w:p>
  </w:endnote>
  <w:endnote w:type="continuationSeparator" w:id="0">
    <w:p w:rsidR="0090428F" w:rsidRDefault="0090428F" w:rsidP="0074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8F" w:rsidRDefault="0090428F" w:rsidP="007404E3">
      <w:r>
        <w:separator/>
      </w:r>
    </w:p>
  </w:footnote>
  <w:footnote w:type="continuationSeparator" w:id="0">
    <w:p w:rsidR="0090428F" w:rsidRDefault="0090428F" w:rsidP="0074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43"/>
    <w:rsid w:val="00117261"/>
    <w:rsid w:val="005E7990"/>
    <w:rsid w:val="006C1643"/>
    <w:rsid w:val="007404E3"/>
    <w:rsid w:val="0090428F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E5359-955A-4978-B7DF-42425CEA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E3"/>
    <w:pPr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4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4E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4E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404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2023-11-30T09:37:00Z</dcterms:created>
  <dcterms:modified xsi:type="dcterms:W3CDTF">2023-11-30T09:37:00Z</dcterms:modified>
</cp:coreProperties>
</file>