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17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9"/>
        <w:gridCol w:w="6775"/>
      </w:tblGrid>
      <w:tr w:rsidR="00C467A9" w:rsidRPr="00C467A9" w:rsidTr="009652D6">
        <w:tc>
          <w:tcPr>
            <w:tcW w:w="14174" w:type="dxa"/>
            <w:gridSpan w:val="2"/>
            <w:tcBorders>
              <w:top w:val="nil"/>
              <w:bottom w:val="single" w:sz="4" w:space="0" w:color="auto"/>
            </w:tcBorders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Part I-</w:t>
            </w:r>
            <w:r w:rsidRPr="00C467A9">
              <w:rPr>
                <w:rFonts w:eastAsia="楷体"/>
                <w:b/>
                <w:sz w:val="24"/>
                <w:szCs w:val="24"/>
              </w:rPr>
              <w:t>基本信息</w:t>
            </w:r>
          </w:p>
        </w:tc>
      </w:tr>
      <w:tr w:rsidR="00C467A9" w:rsidRPr="00C467A9" w:rsidTr="009652D6">
        <w:tc>
          <w:tcPr>
            <w:tcW w:w="7399" w:type="dxa"/>
            <w:tcBorders>
              <w:righ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sz w:val="24"/>
                <w:szCs w:val="24"/>
              </w:rPr>
            </w:pPr>
            <w:r w:rsidRPr="00C467A9">
              <w:rPr>
                <w:rFonts w:eastAsia="楷体"/>
                <w:b/>
                <w:sz w:val="24"/>
                <w:szCs w:val="24"/>
              </w:rPr>
              <w:t>1.</w:t>
            </w:r>
            <w:r w:rsidRPr="00C467A9">
              <w:rPr>
                <w:rFonts w:eastAsia="楷体"/>
                <w:b/>
                <w:sz w:val="24"/>
                <w:szCs w:val="24"/>
              </w:rPr>
              <w:t>您的年龄：</w:t>
            </w:r>
          </w:p>
        </w:tc>
        <w:tc>
          <w:tcPr>
            <w:tcW w:w="6775" w:type="dxa"/>
            <w:tcBorders>
              <w:lef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  <w:u w:val="single"/>
              </w:rPr>
              <w:t xml:space="preserve">  </w:t>
            </w:r>
            <w:r w:rsidRPr="00C467A9">
              <w:rPr>
                <w:rFonts w:eastAsia="楷体"/>
                <w:sz w:val="24"/>
                <w:szCs w:val="24"/>
              </w:rPr>
              <w:t>岁</w:t>
            </w:r>
          </w:p>
        </w:tc>
      </w:tr>
      <w:tr w:rsidR="00C467A9" w:rsidRPr="00C467A9" w:rsidTr="009652D6">
        <w:tc>
          <w:tcPr>
            <w:tcW w:w="7399" w:type="dxa"/>
            <w:tcBorders>
              <w:righ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sz w:val="24"/>
                <w:szCs w:val="24"/>
              </w:rPr>
            </w:pPr>
            <w:r w:rsidRPr="00C467A9">
              <w:rPr>
                <w:rFonts w:eastAsia="楷体"/>
                <w:b/>
                <w:sz w:val="24"/>
                <w:szCs w:val="24"/>
              </w:rPr>
              <w:t>2.</w:t>
            </w:r>
            <w:r w:rsidRPr="00C467A9">
              <w:rPr>
                <w:rFonts w:eastAsia="楷体"/>
                <w:b/>
                <w:sz w:val="24"/>
                <w:szCs w:val="24"/>
              </w:rPr>
              <w:t>您的性别</w:t>
            </w:r>
          </w:p>
        </w:tc>
        <w:tc>
          <w:tcPr>
            <w:tcW w:w="6775" w:type="dxa"/>
            <w:tcBorders>
              <w:lef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  <w:u w:val="single"/>
              </w:rPr>
            </w:pPr>
            <w:r w:rsidRPr="00C467A9">
              <w:rPr>
                <w:rFonts w:eastAsia="楷体"/>
                <w:sz w:val="24"/>
                <w:szCs w:val="24"/>
                <w:u w:val="single"/>
              </w:rPr>
              <w:t>a.</w:t>
            </w:r>
            <w:r w:rsidRPr="00C467A9">
              <w:rPr>
                <w:rFonts w:eastAsia="楷体"/>
                <w:sz w:val="24"/>
                <w:szCs w:val="24"/>
                <w:u w:val="single"/>
              </w:rPr>
              <w:t>男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  <w:u w:val="single"/>
              </w:rPr>
            </w:pPr>
            <w:r w:rsidRPr="00C467A9">
              <w:rPr>
                <w:rFonts w:eastAsia="楷体"/>
                <w:sz w:val="24"/>
                <w:szCs w:val="24"/>
                <w:u w:val="single"/>
              </w:rPr>
              <w:t>b.</w:t>
            </w:r>
            <w:r w:rsidRPr="00C467A9">
              <w:rPr>
                <w:rFonts w:eastAsia="楷体"/>
                <w:sz w:val="24"/>
                <w:szCs w:val="24"/>
                <w:u w:val="single"/>
              </w:rPr>
              <w:t>女</w:t>
            </w:r>
          </w:p>
        </w:tc>
      </w:tr>
      <w:tr w:rsidR="00C467A9" w:rsidRPr="00C467A9" w:rsidTr="009652D6">
        <w:tc>
          <w:tcPr>
            <w:tcW w:w="7399" w:type="dxa"/>
            <w:tcBorders>
              <w:righ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sz w:val="24"/>
                <w:szCs w:val="24"/>
              </w:rPr>
            </w:pPr>
            <w:r w:rsidRPr="00C467A9">
              <w:rPr>
                <w:rFonts w:eastAsia="楷体"/>
                <w:b/>
                <w:sz w:val="24"/>
                <w:szCs w:val="24"/>
              </w:rPr>
              <w:t>3.</w:t>
            </w:r>
            <w:r w:rsidRPr="00C467A9">
              <w:rPr>
                <w:rFonts w:eastAsia="楷体"/>
                <w:b/>
                <w:sz w:val="24"/>
                <w:szCs w:val="24"/>
              </w:rPr>
              <w:t>您的居住地：</w:t>
            </w:r>
          </w:p>
        </w:tc>
        <w:tc>
          <w:tcPr>
            <w:tcW w:w="6775" w:type="dxa"/>
            <w:tcBorders>
              <w:lef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a.</w:t>
            </w:r>
            <w:r w:rsidRPr="00C467A9">
              <w:rPr>
                <w:rFonts w:eastAsia="楷体"/>
                <w:sz w:val="24"/>
                <w:szCs w:val="24"/>
              </w:rPr>
              <w:t>农村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b.</w:t>
            </w:r>
            <w:r w:rsidRPr="00C467A9">
              <w:rPr>
                <w:rFonts w:eastAsia="楷体"/>
                <w:sz w:val="24"/>
                <w:szCs w:val="24"/>
              </w:rPr>
              <w:t>城市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c.</w:t>
            </w:r>
            <w:r w:rsidRPr="00C467A9">
              <w:rPr>
                <w:rFonts w:eastAsia="楷体"/>
                <w:sz w:val="24"/>
                <w:szCs w:val="24"/>
              </w:rPr>
              <w:t>城郊</w:t>
            </w:r>
          </w:p>
        </w:tc>
      </w:tr>
      <w:tr w:rsidR="00C467A9" w:rsidRPr="00C467A9" w:rsidTr="009652D6">
        <w:tc>
          <w:tcPr>
            <w:tcW w:w="7399" w:type="dxa"/>
            <w:tcBorders>
              <w:righ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sz w:val="24"/>
                <w:szCs w:val="24"/>
              </w:rPr>
            </w:pPr>
            <w:r w:rsidRPr="00C467A9">
              <w:rPr>
                <w:rFonts w:eastAsia="楷体"/>
                <w:b/>
                <w:sz w:val="24"/>
                <w:szCs w:val="24"/>
              </w:rPr>
              <w:t>4.</w:t>
            </w:r>
            <w:r w:rsidRPr="00C467A9">
              <w:rPr>
                <w:rFonts w:eastAsia="楷体"/>
                <w:b/>
                <w:sz w:val="24"/>
                <w:szCs w:val="24"/>
              </w:rPr>
              <w:t>您的民族：</w:t>
            </w:r>
          </w:p>
        </w:tc>
        <w:tc>
          <w:tcPr>
            <w:tcW w:w="6775" w:type="dxa"/>
            <w:tcBorders>
              <w:lef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a.</w:t>
            </w:r>
            <w:r w:rsidRPr="00C467A9">
              <w:rPr>
                <w:rFonts w:eastAsia="楷体"/>
                <w:sz w:val="24"/>
                <w:szCs w:val="24"/>
              </w:rPr>
              <w:t>汉族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b.</w:t>
            </w:r>
            <w:r w:rsidRPr="00C467A9">
              <w:rPr>
                <w:rFonts w:eastAsia="楷体"/>
                <w:sz w:val="24"/>
                <w:szCs w:val="24"/>
              </w:rPr>
              <w:t>少数民族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如您属于少数民族，则您的民族是：</w:t>
            </w:r>
            <w:r w:rsidRPr="00C467A9">
              <w:rPr>
                <w:rFonts w:eastAsia="楷体"/>
                <w:sz w:val="24"/>
                <w:szCs w:val="24"/>
                <w:u w:val="single"/>
              </w:rPr>
              <w:t xml:space="preserve">   </w:t>
            </w:r>
          </w:p>
        </w:tc>
      </w:tr>
      <w:tr w:rsidR="00C467A9" w:rsidRPr="00C467A9" w:rsidTr="009652D6">
        <w:tc>
          <w:tcPr>
            <w:tcW w:w="7399" w:type="dxa"/>
            <w:tcBorders>
              <w:righ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sz w:val="24"/>
                <w:szCs w:val="24"/>
              </w:rPr>
            </w:pPr>
            <w:r w:rsidRPr="00C467A9">
              <w:rPr>
                <w:rFonts w:eastAsia="楷体"/>
                <w:b/>
                <w:sz w:val="24"/>
                <w:szCs w:val="24"/>
              </w:rPr>
              <w:t>5.</w:t>
            </w:r>
            <w:r w:rsidRPr="00C467A9">
              <w:rPr>
                <w:rFonts w:eastAsia="楷体"/>
                <w:b/>
                <w:sz w:val="24"/>
                <w:szCs w:val="24"/>
              </w:rPr>
              <w:t>您的教育程度：</w:t>
            </w:r>
          </w:p>
        </w:tc>
        <w:tc>
          <w:tcPr>
            <w:tcW w:w="6775" w:type="dxa"/>
            <w:tcBorders>
              <w:lef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a.</w:t>
            </w:r>
            <w:r w:rsidRPr="00C467A9">
              <w:rPr>
                <w:rFonts w:eastAsia="楷体"/>
                <w:sz w:val="24"/>
                <w:szCs w:val="24"/>
              </w:rPr>
              <w:t>大专及以下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b.</w:t>
            </w:r>
            <w:r w:rsidRPr="00C467A9">
              <w:rPr>
                <w:rFonts w:eastAsia="楷体"/>
                <w:sz w:val="24"/>
                <w:szCs w:val="24"/>
              </w:rPr>
              <w:t>本科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c.</w:t>
            </w:r>
            <w:r w:rsidRPr="00C467A9">
              <w:rPr>
                <w:rFonts w:eastAsia="楷体"/>
                <w:sz w:val="24"/>
                <w:szCs w:val="24"/>
              </w:rPr>
              <w:t>硕士及以上</w:t>
            </w:r>
          </w:p>
        </w:tc>
      </w:tr>
      <w:tr w:rsidR="00C467A9" w:rsidRPr="00C467A9" w:rsidTr="009652D6">
        <w:tc>
          <w:tcPr>
            <w:tcW w:w="7399" w:type="dxa"/>
            <w:tcBorders>
              <w:righ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sz w:val="24"/>
                <w:szCs w:val="24"/>
              </w:rPr>
            </w:pPr>
            <w:r w:rsidRPr="00C467A9">
              <w:rPr>
                <w:rFonts w:eastAsia="楷体"/>
                <w:b/>
                <w:sz w:val="24"/>
                <w:szCs w:val="24"/>
              </w:rPr>
              <w:lastRenderedPageBreak/>
              <w:t>6.</w:t>
            </w:r>
            <w:r w:rsidRPr="00C467A9">
              <w:rPr>
                <w:rFonts w:eastAsia="楷体"/>
                <w:b/>
                <w:sz w:val="24"/>
                <w:szCs w:val="24"/>
              </w:rPr>
              <w:t>您的职业类型：</w:t>
            </w:r>
          </w:p>
        </w:tc>
        <w:tc>
          <w:tcPr>
            <w:tcW w:w="6775" w:type="dxa"/>
            <w:tcBorders>
              <w:lef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a.</w:t>
            </w:r>
            <w:r w:rsidRPr="00C467A9">
              <w:rPr>
                <w:rFonts w:eastAsia="楷体"/>
                <w:sz w:val="24"/>
                <w:szCs w:val="24"/>
              </w:rPr>
              <w:t>医生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b.</w:t>
            </w:r>
            <w:r w:rsidRPr="00C467A9">
              <w:rPr>
                <w:rFonts w:eastAsia="楷体"/>
                <w:sz w:val="24"/>
                <w:szCs w:val="24"/>
              </w:rPr>
              <w:t>护士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c.</w:t>
            </w:r>
            <w:r w:rsidRPr="00C467A9">
              <w:rPr>
                <w:rFonts w:eastAsia="楷体"/>
                <w:sz w:val="24"/>
                <w:szCs w:val="24"/>
              </w:rPr>
              <w:t>其它：</w:t>
            </w:r>
          </w:p>
        </w:tc>
      </w:tr>
      <w:tr w:rsidR="00C467A9" w:rsidRPr="00C467A9" w:rsidTr="009652D6">
        <w:tc>
          <w:tcPr>
            <w:tcW w:w="7399" w:type="dxa"/>
            <w:tcBorders>
              <w:righ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sz w:val="24"/>
                <w:szCs w:val="24"/>
              </w:rPr>
            </w:pPr>
            <w:r w:rsidRPr="00C467A9">
              <w:rPr>
                <w:rFonts w:eastAsia="楷体"/>
                <w:b/>
                <w:sz w:val="24"/>
                <w:szCs w:val="24"/>
              </w:rPr>
              <w:t>7.</w:t>
            </w:r>
            <w:r w:rsidRPr="00C467A9">
              <w:rPr>
                <w:rFonts w:eastAsia="楷体"/>
                <w:b/>
                <w:sz w:val="24"/>
                <w:szCs w:val="24"/>
              </w:rPr>
              <w:t>您的职称</w:t>
            </w:r>
          </w:p>
        </w:tc>
        <w:tc>
          <w:tcPr>
            <w:tcW w:w="6775" w:type="dxa"/>
            <w:tcBorders>
              <w:lef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a.</w:t>
            </w:r>
            <w:r w:rsidRPr="00C467A9">
              <w:rPr>
                <w:rFonts w:eastAsia="楷体"/>
                <w:sz w:val="24"/>
                <w:szCs w:val="24"/>
              </w:rPr>
              <w:t>初级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b.</w:t>
            </w:r>
            <w:r w:rsidRPr="00C467A9">
              <w:rPr>
                <w:rFonts w:eastAsia="楷体"/>
                <w:sz w:val="24"/>
                <w:szCs w:val="24"/>
              </w:rPr>
              <w:t>中级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c.</w:t>
            </w:r>
            <w:r w:rsidRPr="00C467A9">
              <w:rPr>
                <w:rFonts w:eastAsia="楷体"/>
                <w:sz w:val="24"/>
                <w:szCs w:val="24"/>
              </w:rPr>
              <w:t>副高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d.</w:t>
            </w:r>
            <w:r w:rsidRPr="00C467A9">
              <w:rPr>
                <w:rFonts w:eastAsia="楷体"/>
                <w:sz w:val="24"/>
                <w:szCs w:val="24"/>
              </w:rPr>
              <w:t>正高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e.</w:t>
            </w:r>
            <w:r w:rsidRPr="00C467A9">
              <w:rPr>
                <w:rFonts w:eastAsia="楷体"/>
                <w:sz w:val="24"/>
                <w:szCs w:val="24"/>
              </w:rPr>
              <w:t>无职称</w:t>
            </w:r>
          </w:p>
        </w:tc>
      </w:tr>
      <w:tr w:rsidR="00C467A9" w:rsidRPr="00C467A9" w:rsidTr="009652D6">
        <w:tc>
          <w:tcPr>
            <w:tcW w:w="7399" w:type="dxa"/>
            <w:tcBorders>
              <w:righ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sz w:val="24"/>
                <w:szCs w:val="24"/>
              </w:rPr>
            </w:pPr>
            <w:r w:rsidRPr="00C467A9">
              <w:rPr>
                <w:rFonts w:eastAsia="楷体"/>
                <w:b/>
                <w:sz w:val="24"/>
                <w:szCs w:val="24"/>
              </w:rPr>
              <w:t>8.</w:t>
            </w:r>
            <w:r w:rsidRPr="00C467A9">
              <w:rPr>
                <w:rFonts w:eastAsia="楷体"/>
                <w:b/>
                <w:sz w:val="24"/>
                <w:szCs w:val="24"/>
              </w:rPr>
              <w:t>您所工作的科室是</w:t>
            </w:r>
          </w:p>
        </w:tc>
        <w:tc>
          <w:tcPr>
            <w:tcW w:w="6775" w:type="dxa"/>
            <w:tcBorders>
              <w:lef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a.</w:t>
            </w:r>
            <w:r w:rsidRPr="00C467A9">
              <w:rPr>
                <w:rFonts w:eastAsia="楷体"/>
                <w:sz w:val="24"/>
                <w:szCs w:val="24"/>
              </w:rPr>
              <w:t>神经内科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b.</w:t>
            </w:r>
            <w:r w:rsidRPr="00C467A9">
              <w:rPr>
                <w:rFonts w:eastAsia="楷体"/>
                <w:sz w:val="24"/>
                <w:szCs w:val="24"/>
              </w:rPr>
              <w:t>神经外科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c.</w:t>
            </w:r>
            <w:r w:rsidRPr="00C467A9">
              <w:rPr>
                <w:rFonts w:eastAsia="楷体"/>
                <w:sz w:val="24"/>
                <w:szCs w:val="24"/>
              </w:rPr>
              <w:t>心内科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d.</w:t>
            </w:r>
            <w:bookmarkStart w:id="0" w:name="OLE_LINK14"/>
            <w:r w:rsidRPr="00C467A9">
              <w:rPr>
                <w:rFonts w:eastAsia="楷体"/>
                <w:sz w:val="24"/>
                <w:szCs w:val="24"/>
              </w:rPr>
              <w:t>心外科</w:t>
            </w:r>
            <w:bookmarkEnd w:id="0"/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e.</w:t>
            </w:r>
            <w:r w:rsidRPr="00C467A9">
              <w:rPr>
                <w:rFonts w:eastAsia="楷体"/>
                <w:sz w:val="24"/>
                <w:szCs w:val="24"/>
              </w:rPr>
              <w:t>疼痛科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lastRenderedPageBreak/>
              <w:t>f.</w:t>
            </w:r>
            <w:r w:rsidRPr="00C467A9">
              <w:rPr>
                <w:rFonts w:eastAsia="楷体"/>
                <w:sz w:val="24"/>
                <w:szCs w:val="24"/>
              </w:rPr>
              <w:t>骨外科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g.</w:t>
            </w:r>
            <w:r w:rsidRPr="00C467A9">
              <w:rPr>
                <w:rFonts w:eastAsia="楷体"/>
                <w:sz w:val="24"/>
                <w:szCs w:val="24"/>
              </w:rPr>
              <w:t>泌尿外科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h.</w:t>
            </w:r>
            <w:r w:rsidRPr="00C467A9">
              <w:rPr>
                <w:rFonts w:eastAsia="楷体"/>
                <w:sz w:val="24"/>
                <w:szCs w:val="24"/>
              </w:rPr>
              <w:t>肾内科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i.</w:t>
            </w:r>
            <w:r w:rsidRPr="00C467A9">
              <w:rPr>
                <w:rFonts w:eastAsia="楷体"/>
                <w:sz w:val="24"/>
                <w:szCs w:val="24"/>
              </w:rPr>
              <w:t>内分泌科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j</w:t>
            </w:r>
            <w:r w:rsidRPr="00C467A9">
              <w:rPr>
                <w:rFonts w:eastAsia="楷体"/>
                <w:color w:val="000000" w:themeColor="text1"/>
                <w:sz w:val="24"/>
                <w:szCs w:val="24"/>
              </w:rPr>
              <w:t>.</w:t>
            </w:r>
            <w:r w:rsidRPr="00C467A9">
              <w:rPr>
                <w:rFonts w:eastAsia="楷体"/>
                <w:color w:val="000000" w:themeColor="text1"/>
                <w:sz w:val="24"/>
                <w:szCs w:val="24"/>
              </w:rPr>
              <w:t>消化科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k.</w:t>
            </w:r>
            <w:r w:rsidRPr="00C467A9">
              <w:rPr>
                <w:rFonts w:eastAsia="楷体"/>
                <w:sz w:val="24"/>
                <w:szCs w:val="24"/>
              </w:rPr>
              <w:t>其它：</w:t>
            </w:r>
          </w:p>
        </w:tc>
      </w:tr>
      <w:tr w:rsidR="00C467A9" w:rsidRPr="00C467A9" w:rsidTr="009652D6">
        <w:tc>
          <w:tcPr>
            <w:tcW w:w="7399" w:type="dxa"/>
            <w:tcBorders>
              <w:righ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sz w:val="24"/>
                <w:szCs w:val="24"/>
              </w:rPr>
            </w:pPr>
            <w:r w:rsidRPr="00C467A9">
              <w:rPr>
                <w:rFonts w:eastAsia="楷体"/>
                <w:b/>
                <w:sz w:val="24"/>
                <w:szCs w:val="24"/>
              </w:rPr>
              <w:lastRenderedPageBreak/>
              <w:t>9.</w:t>
            </w:r>
            <w:r w:rsidRPr="00C467A9">
              <w:rPr>
                <w:rFonts w:eastAsia="楷体"/>
                <w:b/>
                <w:sz w:val="24"/>
                <w:szCs w:val="24"/>
              </w:rPr>
              <w:t>您的工作年限为：</w:t>
            </w:r>
          </w:p>
        </w:tc>
        <w:tc>
          <w:tcPr>
            <w:tcW w:w="6775" w:type="dxa"/>
            <w:tcBorders>
              <w:lef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  <w:u w:val="single"/>
              </w:rPr>
              <w:t xml:space="preserve">    </w:t>
            </w:r>
            <w:r w:rsidRPr="00C467A9">
              <w:rPr>
                <w:rFonts w:eastAsia="楷体"/>
                <w:sz w:val="24"/>
                <w:szCs w:val="24"/>
              </w:rPr>
              <w:t>年</w:t>
            </w:r>
          </w:p>
        </w:tc>
      </w:tr>
      <w:tr w:rsidR="00C467A9" w:rsidRPr="00C467A9" w:rsidTr="009652D6">
        <w:tc>
          <w:tcPr>
            <w:tcW w:w="7399" w:type="dxa"/>
            <w:tcBorders>
              <w:righ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sz w:val="24"/>
                <w:szCs w:val="24"/>
              </w:rPr>
            </w:pPr>
            <w:r w:rsidRPr="00C467A9">
              <w:rPr>
                <w:rFonts w:eastAsia="楷体"/>
                <w:b/>
                <w:sz w:val="24"/>
                <w:szCs w:val="24"/>
              </w:rPr>
              <w:t>10.</w:t>
            </w:r>
            <w:r w:rsidRPr="00C467A9">
              <w:rPr>
                <w:rFonts w:eastAsia="楷体"/>
                <w:b/>
                <w:sz w:val="24"/>
                <w:szCs w:val="24"/>
              </w:rPr>
              <w:t>您所在的医院类型为</w:t>
            </w:r>
          </w:p>
        </w:tc>
        <w:tc>
          <w:tcPr>
            <w:tcW w:w="6775" w:type="dxa"/>
            <w:tcBorders>
              <w:lef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a.</w:t>
            </w:r>
            <w:r w:rsidRPr="00C467A9">
              <w:rPr>
                <w:rFonts w:eastAsia="楷体"/>
                <w:sz w:val="24"/>
                <w:szCs w:val="24"/>
              </w:rPr>
              <w:t>公立一级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b.</w:t>
            </w:r>
            <w:r w:rsidRPr="00C467A9">
              <w:rPr>
                <w:rFonts w:eastAsia="楷体"/>
                <w:sz w:val="24"/>
                <w:szCs w:val="24"/>
              </w:rPr>
              <w:t>公立二级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c.</w:t>
            </w:r>
            <w:bookmarkStart w:id="1" w:name="OLE_LINK15"/>
            <w:r w:rsidRPr="00C467A9">
              <w:rPr>
                <w:rFonts w:eastAsia="楷体"/>
                <w:sz w:val="24"/>
                <w:szCs w:val="24"/>
              </w:rPr>
              <w:t>公立三级</w:t>
            </w:r>
            <w:bookmarkEnd w:id="1"/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d.</w:t>
            </w:r>
            <w:r w:rsidRPr="00C467A9">
              <w:rPr>
                <w:rFonts w:eastAsia="楷体"/>
                <w:sz w:val="24"/>
                <w:szCs w:val="24"/>
              </w:rPr>
              <w:t>专科医院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e.</w:t>
            </w:r>
            <w:r w:rsidRPr="00C467A9">
              <w:rPr>
                <w:rFonts w:eastAsia="楷体"/>
                <w:sz w:val="24"/>
                <w:szCs w:val="24"/>
              </w:rPr>
              <w:t>私立医疗机构</w:t>
            </w:r>
          </w:p>
        </w:tc>
      </w:tr>
      <w:tr w:rsidR="00C467A9" w:rsidRPr="00C467A9" w:rsidTr="009652D6">
        <w:tc>
          <w:tcPr>
            <w:tcW w:w="7399" w:type="dxa"/>
            <w:tcBorders>
              <w:righ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sz w:val="24"/>
                <w:szCs w:val="24"/>
              </w:rPr>
            </w:pPr>
            <w:r w:rsidRPr="00C467A9">
              <w:rPr>
                <w:rFonts w:eastAsia="楷体"/>
                <w:b/>
                <w:sz w:val="24"/>
                <w:szCs w:val="24"/>
              </w:rPr>
              <w:t>11.</w:t>
            </w:r>
            <w:r w:rsidRPr="00C467A9">
              <w:rPr>
                <w:rFonts w:eastAsia="楷体"/>
                <w:b/>
                <w:sz w:val="24"/>
                <w:szCs w:val="24"/>
              </w:rPr>
              <w:t>您是否治疗</w:t>
            </w:r>
            <w:r w:rsidRPr="00C467A9">
              <w:rPr>
                <w:rFonts w:eastAsia="楷体"/>
                <w:b/>
                <w:sz w:val="24"/>
                <w:szCs w:val="24"/>
              </w:rPr>
              <w:t>/</w:t>
            </w:r>
            <w:r w:rsidRPr="00C467A9">
              <w:rPr>
                <w:rFonts w:eastAsia="楷体"/>
                <w:b/>
                <w:sz w:val="24"/>
                <w:szCs w:val="24"/>
              </w:rPr>
              <w:t>护理过高尿酸血症患者：</w:t>
            </w:r>
          </w:p>
        </w:tc>
        <w:tc>
          <w:tcPr>
            <w:tcW w:w="6775" w:type="dxa"/>
            <w:tcBorders>
              <w:left w:val="nil"/>
            </w:tcBorders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bookmarkStart w:id="2" w:name="OLE_LINK12"/>
            <w:r w:rsidRPr="00C467A9">
              <w:rPr>
                <w:rFonts w:eastAsia="楷体"/>
                <w:sz w:val="24"/>
                <w:szCs w:val="24"/>
              </w:rPr>
              <w:t>a.</w:t>
            </w:r>
            <w:r w:rsidRPr="00C467A9">
              <w:rPr>
                <w:rFonts w:eastAsia="楷体"/>
                <w:sz w:val="24"/>
                <w:szCs w:val="24"/>
              </w:rPr>
              <w:t>是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lastRenderedPageBreak/>
              <w:t>b.</w:t>
            </w:r>
            <w:r w:rsidRPr="00C467A9">
              <w:rPr>
                <w:rFonts w:eastAsia="楷体"/>
                <w:sz w:val="24"/>
                <w:szCs w:val="24"/>
              </w:rPr>
              <w:t>否</w:t>
            </w:r>
          </w:p>
          <w:p w:rsidR="00C467A9" w:rsidRPr="00C467A9" w:rsidRDefault="00C467A9" w:rsidP="00C467A9">
            <w:pPr>
              <w:spacing w:line="480" w:lineRule="auto"/>
              <w:rPr>
                <w:rFonts w:eastAsia="楷体"/>
                <w:sz w:val="24"/>
                <w:szCs w:val="24"/>
              </w:rPr>
            </w:pPr>
            <w:r w:rsidRPr="00C467A9">
              <w:rPr>
                <w:rFonts w:eastAsia="楷体"/>
                <w:sz w:val="24"/>
                <w:szCs w:val="24"/>
              </w:rPr>
              <w:t>c.</w:t>
            </w:r>
            <w:r w:rsidRPr="00C467A9">
              <w:rPr>
                <w:rFonts w:eastAsia="楷体"/>
                <w:sz w:val="24"/>
                <w:szCs w:val="24"/>
              </w:rPr>
              <w:t>不清楚</w:t>
            </w:r>
            <w:bookmarkEnd w:id="2"/>
          </w:p>
        </w:tc>
      </w:tr>
    </w:tbl>
    <w:p w:rsidR="00C467A9" w:rsidRPr="00C467A9" w:rsidRDefault="00C467A9" w:rsidP="00C467A9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C467A9" w:rsidRPr="00C467A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467A9" w:rsidRPr="00C467A9" w:rsidRDefault="00C467A9" w:rsidP="00C467A9">
      <w:pPr>
        <w:spacing w:line="480" w:lineRule="auto"/>
        <w:jc w:val="center"/>
        <w:rPr>
          <w:rFonts w:ascii="Times New Roman" w:eastAsia="微软雅黑" w:hAnsi="Times New Roman" w:cs="Times New Roman"/>
          <w:b/>
          <w:bCs/>
          <w:color w:val="212121"/>
          <w:sz w:val="24"/>
          <w:szCs w:val="24"/>
          <w:lang w:val="en"/>
        </w:rPr>
      </w:pPr>
      <w:r w:rsidRPr="00C467A9">
        <w:rPr>
          <w:rFonts w:ascii="Times New Roman" w:eastAsia="微软雅黑" w:hAnsi="Times New Roman" w:cs="Times New Roman"/>
          <w:b/>
          <w:bCs/>
          <w:sz w:val="24"/>
          <w:szCs w:val="24"/>
        </w:rPr>
        <w:lastRenderedPageBreak/>
        <w:t>Part II-</w:t>
      </w:r>
      <w:r w:rsidRPr="00C467A9">
        <w:rPr>
          <w:rFonts w:ascii="Times New Roman" w:eastAsia="微软雅黑" w:hAnsi="Times New Roman" w:cs="Times New Roman"/>
          <w:b/>
          <w:bCs/>
          <w:color w:val="212121"/>
          <w:sz w:val="24"/>
          <w:szCs w:val="24"/>
          <w:lang w:val="en"/>
        </w:rPr>
        <w:t>知识</w:t>
      </w:r>
    </w:p>
    <w:p w:rsidR="00C467A9" w:rsidRPr="00C467A9" w:rsidRDefault="00C467A9" w:rsidP="00C467A9">
      <w:pPr>
        <w:spacing w:line="480" w:lineRule="auto"/>
        <w:jc w:val="center"/>
        <w:rPr>
          <w:rStyle w:val="shorttext"/>
          <w:rFonts w:ascii="Times New Roman" w:eastAsia="微软雅黑" w:hAnsi="Times New Roman" w:cs="Times New Roman"/>
          <w:b/>
          <w:bCs/>
          <w:sz w:val="24"/>
          <w:szCs w:val="24"/>
        </w:rPr>
      </w:pPr>
      <w:r w:rsidRPr="00C467A9">
        <w:rPr>
          <w:rStyle w:val="shorttext"/>
          <w:rFonts w:ascii="Times New Roman" w:eastAsia="微软雅黑" w:hAnsi="Times New Roman" w:cs="Times New Roman"/>
          <w:b/>
          <w:bCs/>
          <w:sz w:val="24"/>
          <w:szCs w:val="24"/>
        </w:rPr>
        <w:t>请您根据您对问题的了解情况选择</w:t>
      </w:r>
      <w:r w:rsidRPr="00C467A9">
        <w:rPr>
          <w:rStyle w:val="shorttext"/>
          <w:rFonts w:ascii="Times New Roman" w:eastAsia="微软雅黑" w:hAnsi="Times New Roman" w:cs="Times New Roman"/>
          <w:b/>
          <w:bCs/>
          <w:sz w:val="24"/>
          <w:szCs w:val="24"/>
        </w:rPr>
        <w:t>“</w:t>
      </w:r>
      <w:r w:rsidRPr="00C467A9">
        <w:rPr>
          <w:rStyle w:val="shorttext"/>
          <w:rFonts w:ascii="Times New Roman" w:eastAsia="微软雅黑" w:hAnsi="Times New Roman" w:cs="Times New Roman"/>
          <w:b/>
          <w:bCs/>
          <w:sz w:val="24"/>
          <w:szCs w:val="24"/>
        </w:rPr>
        <w:t>对</w:t>
      </w:r>
      <w:r w:rsidRPr="00C467A9">
        <w:rPr>
          <w:rStyle w:val="shorttext"/>
          <w:rFonts w:ascii="Times New Roman" w:eastAsia="微软雅黑" w:hAnsi="Times New Roman" w:cs="Times New Roman"/>
          <w:b/>
          <w:bCs/>
          <w:sz w:val="24"/>
          <w:szCs w:val="24"/>
        </w:rPr>
        <w:t>”</w:t>
      </w:r>
      <w:r w:rsidRPr="00C467A9">
        <w:rPr>
          <w:rStyle w:val="shorttext"/>
          <w:rFonts w:ascii="Times New Roman" w:eastAsia="微软雅黑" w:hAnsi="Times New Roman" w:cs="Times New Roman"/>
          <w:b/>
          <w:bCs/>
          <w:sz w:val="24"/>
          <w:szCs w:val="24"/>
        </w:rPr>
        <w:t>或</w:t>
      </w:r>
      <w:r w:rsidRPr="00C467A9">
        <w:rPr>
          <w:rStyle w:val="shorttext"/>
          <w:rFonts w:ascii="Times New Roman" w:eastAsia="微软雅黑" w:hAnsi="Times New Roman" w:cs="Times New Roman"/>
          <w:b/>
          <w:bCs/>
          <w:sz w:val="24"/>
          <w:szCs w:val="24"/>
        </w:rPr>
        <w:t>“</w:t>
      </w:r>
      <w:r w:rsidRPr="00C467A9">
        <w:rPr>
          <w:rStyle w:val="shorttext"/>
          <w:rFonts w:ascii="Times New Roman" w:eastAsia="微软雅黑" w:hAnsi="Times New Roman" w:cs="Times New Roman"/>
          <w:b/>
          <w:bCs/>
          <w:sz w:val="24"/>
          <w:szCs w:val="24"/>
        </w:rPr>
        <w:t>错</w:t>
      </w:r>
      <w:r w:rsidRPr="00C467A9">
        <w:rPr>
          <w:rStyle w:val="shorttext"/>
          <w:rFonts w:ascii="Times New Roman" w:eastAsia="微软雅黑" w:hAnsi="Times New Roman" w:cs="Times New Roman"/>
          <w:b/>
          <w:bCs/>
          <w:sz w:val="24"/>
          <w:szCs w:val="24"/>
        </w:rPr>
        <w:t>”</w:t>
      </w:r>
      <w:r w:rsidRPr="00C467A9">
        <w:rPr>
          <w:rStyle w:val="shorttext"/>
          <w:rFonts w:ascii="Times New Roman" w:eastAsia="微软雅黑" w:hAnsi="Times New Roman" w:cs="Times New Roman"/>
          <w:b/>
          <w:bCs/>
          <w:sz w:val="24"/>
          <w:szCs w:val="24"/>
        </w:rPr>
        <w:t>。若您不确定问题的答案，请选择</w:t>
      </w:r>
      <w:r w:rsidRPr="00C467A9">
        <w:rPr>
          <w:rStyle w:val="shorttext"/>
          <w:rFonts w:ascii="Times New Roman" w:eastAsia="微软雅黑" w:hAnsi="Times New Roman" w:cs="Times New Roman"/>
          <w:b/>
          <w:bCs/>
          <w:sz w:val="24"/>
          <w:szCs w:val="24"/>
        </w:rPr>
        <w:t>“</w:t>
      </w:r>
      <w:r w:rsidRPr="00C467A9">
        <w:rPr>
          <w:rStyle w:val="shorttext"/>
          <w:rFonts w:ascii="Times New Roman" w:eastAsia="微软雅黑" w:hAnsi="Times New Roman" w:cs="Times New Roman"/>
          <w:b/>
          <w:bCs/>
          <w:sz w:val="24"/>
          <w:szCs w:val="24"/>
        </w:rPr>
        <w:t>不确定</w:t>
      </w:r>
      <w:r w:rsidRPr="00C467A9">
        <w:rPr>
          <w:rStyle w:val="shorttext"/>
          <w:rFonts w:ascii="Times New Roman" w:eastAsia="微软雅黑" w:hAnsi="Times New Roman" w:cs="Times New Roman"/>
          <w:b/>
          <w:bCs/>
          <w:sz w:val="24"/>
          <w:szCs w:val="24"/>
        </w:rPr>
        <w:t>”</w:t>
      </w:r>
      <w:r w:rsidRPr="00C467A9">
        <w:rPr>
          <w:rStyle w:val="shorttext"/>
          <w:rFonts w:ascii="Times New Roman" w:eastAsia="微软雅黑" w:hAnsi="Times New Roman" w:cs="Times New Roman"/>
          <w:b/>
          <w:bCs/>
          <w:sz w:val="24"/>
          <w:szCs w:val="24"/>
        </w:rPr>
        <w:t>。</w:t>
      </w:r>
    </w:p>
    <w:tbl>
      <w:tblPr>
        <w:tblStyle w:val="a3"/>
        <w:tblW w:w="14163" w:type="dxa"/>
        <w:tblLayout w:type="fixed"/>
        <w:tblLook w:val="04A0" w:firstRow="1" w:lastRow="0" w:firstColumn="1" w:lastColumn="0" w:noHBand="0" w:noVBand="1"/>
      </w:tblPr>
      <w:tblGrid>
        <w:gridCol w:w="10363"/>
        <w:gridCol w:w="1482"/>
        <w:gridCol w:w="1071"/>
        <w:gridCol w:w="1247"/>
      </w:tblGrid>
      <w:tr w:rsidR="00C467A9" w:rsidRPr="00C467A9" w:rsidTr="009652D6">
        <w:tc>
          <w:tcPr>
            <w:tcW w:w="10363" w:type="dxa"/>
          </w:tcPr>
          <w:p w:rsidR="00C467A9" w:rsidRPr="00C467A9" w:rsidRDefault="00C467A9" w:rsidP="00C467A9">
            <w:pPr>
              <w:spacing w:line="480" w:lineRule="auto"/>
              <w:rPr>
                <w:rStyle w:val="shorttext"/>
                <w:rFonts w:eastAsia="楷体"/>
                <w:b/>
                <w:bCs/>
                <w:sz w:val="24"/>
                <w:szCs w:val="24"/>
              </w:rPr>
            </w:pPr>
            <w:bookmarkStart w:id="3" w:name="OLE_LINK3" w:colFirst="1" w:colLast="3"/>
            <w:r w:rsidRPr="00C467A9">
              <w:rPr>
                <w:rFonts w:eastAsia="楷体"/>
                <w:b/>
                <w:bCs/>
                <w:sz w:val="24"/>
                <w:szCs w:val="24"/>
              </w:rPr>
              <w:t>1.</w:t>
            </w:r>
            <w:bookmarkStart w:id="4" w:name="OLE_LINK1"/>
            <w:r w:rsidRPr="00C467A9">
              <w:rPr>
                <w:rFonts w:eastAsia="楷体"/>
                <w:b/>
                <w:bCs/>
                <w:sz w:val="24"/>
                <w:szCs w:val="24"/>
              </w:rPr>
              <w:t>高尿酸血症</w:t>
            </w:r>
            <w:bookmarkEnd w:id="4"/>
            <w:r w:rsidRPr="00C467A9">
              <w:rPr>
                <w:rFonts w:eastAsia="楷体"/>
                <w:b/>
                <w:bCs/>
                <w:sz w:val="24"/>
                <w:szCs w:val="24"/>
              </w:rPr>
              <w:t>是一种由嘌呤代谢障碍所引起的慢性代谢疾病</w:t>
            </w:r>
          </w:p>
        </w:tc>
        <w:tc>
          <w:tcPr>
            <w:tcW w:w="148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Style w:val="shorttext"/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Style w:val="shorttext"/>
                <w:rFonts w:eastAsia="楷体"/>
                <w:b/>
                <w:bCs/>
                <w:sz w:val="24"/>
                <w:szCs w:val="24"/>
              </w:rPr>
              <w:t>a.</w:t>
            </w:r>
            <w:r w:rsidRPr="00C467A9">
              <w:rPr>
                <w:rStyle w:val="shorttext"/>
                <w:rFonts w:eastAsia="楷体"/>
                <w:b/>
                <w:bCs/>
                <w:sz w:val="24"/>
                <w:szCs w:val="24"/>
              </w:rPr>
              <w:t>对</w:t>
            </w:r>
          </w:p>
        </w:tc>
        <w:tc>
          <w:tcPr>
            <w:tcW w:w="107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Style w:val="shorttext"/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Style w:val="shorttext"/>
                <w:rFonts w:eastAsia="楷体"/>
                <w:b/>
                <w:bCs/>
                <w:sz w:val="24"/>
                <w:szCs w:val="24"/>
              </w:rPr>
              <w:t>b.</w:t>
            </w:r>
            <w:r w:rsidRPr="00C467A9">
              <w:rPr>
                <w:rStyle w:val="shorttext"/>
                <w:rFonts w:eastAsia="楷体"/>
                <w:b/>
                <w:bCs/>
                <w:sz w:val="24"/>
                <w:szCs w:val="24"/>
              </w:rPr>
              <w:t>错</w:t>
            </w:r>
          </w:p>
        </w:tc>
        <w:tc>
          <w:tcPr>
            <w:tcW w:w="124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Style w:val="shorttext"/>
                <w:rFonts w:eastAsia="楷体"/>
                <w:b/>
                <w:bCs/>
                <w:sz w:val="24"/>
                <w:szCs w:val="24"/>
              </w:rPr>
            </w:pPr>
            <w:bookmarkStart w:id="5" w:name="OLE_LINK5"/>
            <w:r w:rsidRPr="00C467A9">
              <w:rPr>
                <w:rStyle w:val="shorttext"/>
                <w:rFonts w:eastAsia="楷体"/>
                <w:b/>
                <w:bCs/>
                <w:sz w:val="24"/>
                <w:szCs w:val="24"/>
              </w:rPr>
              <w:t>c.</w:t>
            </w:r>
            <w:r w:rsidRPr="00C467A9">
              <w:rPr>
                <w:rStyle w:val="shorttext"/>
                <w:rFonts w:eastAsia="楷体"/>
                <w:b/>
                <w:bCs/>
                <w:sz w:val="24"/>
                <w:szCs w:val="24"/>
              </w:rPr>
              <w:t>不确定</w:t>
            </w:r>
            <w:bookmarkEnd w:id="5"/>
          </w:p>
        </w:tc>
      </w:tr>
      <w:tr w:rsidR="00C467A9" w:rsidRPr="00C467A9" w:rsidTr="009652D6">
        <w:tc>
          <w:tcPr>
            <w:tcW w:w="10363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2.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先天性代谢异常所引起的高尿酸血症常伴有肥胖，二型糖尿病，高血压，高血脂等，临床上称为代谢综合征</w:t>
            </w:r>
          </w:p>
        </w:tc>
        <w:tc>
          <w:tcPr>
            <w:tcW w:w="148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c>
          <w:tcPr>
            <w:tcW w:w="10363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bookmarkStart w:id="6" w:name="OLE_LINK8" w:colFirst="1" w:colLast="3"/>
            <w:r w:rsidRPr="00C467A9">
              <w:rPr>
                <w:rFonts w:eastAsia="楷体"/>
                <w:b/>
                <w:bCs/>
                <w:sz w:val="24"/>
                <w:szCs w:val="24"/>
              </w:rPr>
              <w:t>3.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后天疾病（如白血病、慢性肾病）或抑制尿酸排泄的药物（如阿司匹林）可能导致高尿酸血症</w:t>
            </w:r>
          </w:p>
        </w:tc>
        <w:tc>
          <w:tcPr>
            <w:tcW w:w="148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bookmarkEnd w:id="6"/>
      <w:tr w:rsidR="00C467A9" w:rsidRPr="00C467A9" w:rsidTr="009652D6">
        <w:tc>
          <w:tcPr>
            <w:tcW w:w="10363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4.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多数高尿酸血症患者除血液尿酸增高外，通常无明显症状，称为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“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无症状性高尿酸血症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48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c>
          <w:tcPr>
            <w:tcW w:w="10363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5.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无症状性高尿酸血症可能会发展为痛风</w:t>
            </w:r>
          </w:p>
        </w:tc>
        <w:tc>
          <w:tcPr>
            <w:tcW w:w="148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c>
          <w:tcPr>
            <w:tcW w:w="10363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6.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高尿酸血症的诊断标准为非同日，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2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次空腹血尿酸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 xml:space="preserve">≥420 </w:t>
            </w:r>
            <w:r w:rsidRPr="00C467A9">
              <w:rPr>
                <w:rFonts w:eastAsia="微软雅黑"/>
                <w:b/>
                <w:bCs/>
                <w:sz w:val="24"/>
                <w:szCs w:val="24"/>
              </w:rPr>
              <w:t>μ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mol/L</w:t>
            </w:r>
          </w:p>
        </w:tc>
        <w:tc>
          <w:tcPr>
            <w:tcW w:w="148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c>
          <w:tcPr>
            <w:tcW w:w="10363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7.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对所有高尿酸血症患者，都推荐控制体重并保持规律运动，同时限制高嘌呤，高果糖食品的摄入</w:t>
            </w:r>
          </w:p>
        </w:tc>
        <w:tc>
          <w:tcPr>
            <w:tcW w:w="148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c>
          <w:tcPr>
            <w:tcW w:w="10363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bookmarkStart w:id="7" w:name="OLE_LINK11" w:colFirst="1" w:colLast="3"/>
            <w:r w:rsidRPr="00C467A9">
              <w:rPr>
                <w:rFonts w:eastAsia="楷体"/>
                <w:b/>
                <w:bCs/>
                <w:sz w:val="24"/>
                <w:szCs w:val="24"/>
              </w:rPr>
              <w:t>8.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对高尿酸血症患者，鼓励多摄入多摄入奶制品及新鲜蔬菜，适量饮水，同时限制豆制品的摄入</w:t>
            </w:r>
          </w:p>
        </w:tc>
        <w:tc>
          <w:tcPr>
            <w:tcW w:w="148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c>
          <w:tcPr>
            <w:tcW w:w="10363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bookmarkStart w:id="8" w:name="OLE_LINK9"/>
            <w:bookmarkEnd w:id="7"/>
            <w:r w:rsidRPr="00C467A9">
              <w:rPr>
                <w:rFonts w:eastAsia="楷体"/>
                <w:b/>
                <w:bCs/>
                <w:sz w:val="24"/>
                <w:szCs w:val="24"/>
              </w:rPr>
              <w:t>9.</w:t>
            </w:r>
            <w:bookmarkEnd w:id="8"/>
            <w:r w:rsidRPr="00C467A9">
              <w:rPr>
                <w:rFonts w:eastAsia="楷体"/>
                <w:b/>
                <w:bCs/>
                <w:sz w:val="24"/>
                <w:szCs w:val="24"/>
              </w:rPr>
              <w:t>对尿酸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 xml:space="preserve">≥540 </w:t>
            </w:r>
            <w:r w:rsidRPr="00C467A9">
              <w:rPr>
                <w:rFonts w:eastAsia="微软雅黑"/>
                <w:b/>
                <w:bCs/>
                <w:sz w:val="24"/>
                <w:szCs w:val="24"/>
              </w:rPr>
              <w:t>μ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mol/L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或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 xml:space="preserve">≥480 </w:t>
            </w:r>
            <w:r w:rsidRPr="00C467A9">
              <w:rPr>
                <w:rFonts w:eastAsia="微软雅黑"/>
                <w:b/>
                <w:bCs/>
                <w:sz w:val="24"/>
                <w:szCs w:val="24"/>
              </w:rPr>
              <w:t>μ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mol/L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且有合并症的无症状性高尿酸血症患者，推荐进行药物治疗</w:t>
            </w:r>
          </w:p>
        </w:tc>
        <w:tc>
          <w:tcPr>
            <w:tcW w:w="148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bookmarkEnd w:id="3"/>
      <w:tr w:rsidR="00C467A9" w:rsidRPr="00C467A9" w:rsidTr="009652D6">
        <w:trPr>
          <w:trHeight w:val="252"/>
        </w:trPr>
        <w:tc>
          <w:tcPr>
            <w:tcW w:w="10363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10.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别嘌醇具有良好的降尿酸效果，但在中国人群中使用时应关注超敏反应，同时对慢性肾病患者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lastRenderedPageBreak/>
              <w:t>需慎用</w:t>
            </w:r>
          </w:p>
        </w:tc>
        <w:tc>
          <w:tcPr>
            <w:tcW w:w="148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c>
          <w:tcPr>
            <w:tcW w:w="10363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lastRenderedPageBreak/>
              <w:t>11.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对有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/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无合并症的无症状性高尿酸血症患者，推荐将尿酸控制在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 xml:space="preserve">360/420 </w:t>
            </w:r>
            <w:r w:rsidRPr="00C467A9">
              <w:rPr>
                <w:rFonts w:eastAsia="微软雅黑"/>
                <w:b/>
                <w:bCs/>
                <w:sz w:val="24"/>
                <w:szCs w:val="24"/>
              </w:rPr>
              <w:t>μ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mol/L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以内</w:t>
            </w:r>
          </w:p>
        </w:tc>
        <w:tc>
          <w:tcPr>
            <w:tcW w:w="148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c>
          <w:tcPr>
            <w:tcW w:w="10363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12.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高尿酸血症患者需定期检测尿酸水平</w:t>
            </w:r>
          </w:p>
        </w:tc>
        <w:tc>
          <w:tcPr>
            <w:tcW w:w="148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rPr>
          <w:trHeight w:val="90"/>
        </w:trPr>
        <w:tc>
          <w:tcPr>
            <w:tcW w:w="10363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13.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高尿酸血症如不及时治疗，可能会危害心脑血管系统</w:t>
            </w:r>
          </w:p>
        </w:tc>
        <w:tc>
          <w:tcPr>
            <w:tcW w:w="148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c>
          <w:tcPr>
            <w:tcW w:w="10363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14.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高尿酸血症可能导致多个器官受损，与肾结石、慢性肾病等疾病有明确的因果关系</w:t>
            </w:r>
          </w:p>
        </w:tc>
        <w:tc>
          <w:tcPr>
            <w:tcW w:w="148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c>
          <w:tcPr>
            <w:tcW w:w="10363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15.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对所有无症状性高尿酸血症患者，推荐进行药物治疗</w:t>
            </w:r>
          </w:p>
        </w:tc>
        <w:tc>
          <w:tcPr>
            <w:tcW w:w="148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</w:tbl>
    <w:p w:rsidR="00C467A9" w:rsidRPr="00C467A9" w:rsidRDefault="00C467A9" w:rsidP="00C467A9">
      <w:pPr>
        <w:spacing w:line="480" w:lineRule="auto"/>
        <w:rPr>
          <w:rStyle w:val="shorttext"/>
          <w:rFonts w:ascii="Times New Roman" w:eastAsia="微软雅黑" w:hAnsi="Times New Roman" w:cs="Times New Roman"/>
          <w:b/>
          <w:bCs/>
          <w:sz w:val="24"/>
          <w:szCs w:val="24"/>
          <w:lang w:val="en"/>
        </w:rPr>
        <w:sectPr w:rsidR="00C467A9" w:rsidRPr="00C467A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467A9" w:rsidRPr="00C467A9" w:rsidRDefault="00C467A9" w:rsidP="00C467A9">
      <w:pPr>
        <w:spacing w:line="480" w:lineRule="auto"/>
        <w:jc w:val="center"/>
        <w:rPr>
          <w:rFonts w:ascii="Times New Roman" w:eastAsia="微软雅黑" w:hAnsi="Times New Roman" w:cs="Times New Roman"/>
          <w:b/>
          <w:sz w:val="24"/>
          <w:szCs w:val="24"/>
        </w:rPr>
      </w:pPr>
      <w:r w:rsidRPr="00C467A9">
        <w:rPr>
          <w:rFonts w:ascii="Times New Roman" w:eastAsia="微软雅黑" w:hAnsi="Times New Roman" w:cs="Times New Roman"/>
          <w:b/>
          <w:bCs/>
          <w:sz w:val="24"/>
          <w:szCs w:val="24"/>
        </w:rPr>
        <w:lastRenderedPageBreak/>
        <w:t xml:space="preserve">Part-III 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态度</w:t>
      </w:r>
    </w:p>
    <w:p w:rsidR="00C467A9" w:rsidRPr="00C467A9" w:rsidRDefault="00C467A9" w:rsidP="00C467A9">
      <w:pPr>
        <w:spacing w:line="480" w:lineRule="auto"/>
        <w:jc w:val="center"/>
        <w:rPr>
          <w:rFonts w:ascii="Times New Roman" w:eastAsia="微软雅黑" w:hAnsi="Times New Roman" w:cs="Times New Roman"/>
          <w:b/>
          <w:sz w:val="24"/>
          <w:szCs w:val="24"/>
        </w:rPr>
      </w:pP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请您根据是否赞同问题中的描述选择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“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非常同意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”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到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“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非常不同意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”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中的一项。</w:t>
      </w:r>
    </w:p>
    <w:tbl>
      <w:tblPr>
        <w:tblStyle w:val="a3"/>
        <w:tblW w:w="14163" w:type="dxa"/>
        <w:tblLayout w:type="fixed"/>
        <w:tblLook w:val="04A0" w:firstRow="1" w:lastRow="0" w:firstColumn="1" w:lastColumn="0" w:noHBand="0" w:noVBand="1"/>
      </w:tblPr>
      <w:tblGrid>
        <w:gridCol w:w="7081"/>
        <w:gridCol w:w="1961"/>
        <w:gridCol w:w="1394"/>
        <w:gridCol w:w="944"/>
        <w:gridCol w:w="1131"/>
        <w:gridCol w:w="1652"/>
      </w:tblGrid>
      <w:tr w:rsidR="00C467A9" w:rsidRPr="00C467A9" w:rsidTr="009652D6">
        <w:trPr>
          <w:trHeight w:val="492"/>
        </w:trPr>
        <w:tc>
          <w:tcPr>
            <w:tcW w:w="7081" w:type="dxa"/>
          </w:tcPr>
          <w:p w:rsidR="00C467A9" w:rsidRPr="00C467A9" w:rsidRDefault="00C467A9" w:rsidP="00C467A9">
            <w:pPr>
              <w:pStyle w:val="1"/>
              <w:tabs>
                <w:tab w:val="left" w:pos="1170"/>
              </w:tabs>
              <w:spacing w:line="480" w:lineRule="auto"/>
              <w:ind w:left="0"/>
              <w:rPr>
                <w:rFonts w:eastAsia="楷体"/>
                <w:b/>
                <w:bCs/>
                <w:sz w:val="24"/>
                <w:szCs w:val="24"/>
              </w:rPr>
            </w:pPr>
            <w:bookmarkStart w:id="9" w:name="OLE_LINK2" w:colFirst="1" w:colLast="5"/>
            <w:bookmarkStart w:id="10" w:name="OLE_LINK4"/>
            <w:r w:rsidRPr="00C467A9">
              <w:rPr>
                <w:rFonts w:eastAsia="楷体"/>
                <w:b/>
                <w:bCs/>
                <w:sz w:val="24"/>
                <w:szCs w:val="24"/>
              </w:rPr>
              <w:t>1.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高尿酸血症是一种需要重视的疾病</w:t>
            </w:r>
          </w:p>
        </w:tc>
        <w:tc>
          <w:tcPr>
            <w:tcW w:w="196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a.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非常同意</w:t>
            </w:r>
          </w:p>
        </w:tc>
        <w:tc>
          <w:tcPr>
            <w:tcW w:w="139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b.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同意</w:t>
            </w:r>
          </w:p>
        </w:tc>
        <w:tc>
          <w:tcPr>
            <w:tcW w:w="94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c.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中立</w:t>
            </w:r>
          </w:p>
        </w:tc>
        <w:tc>
          <w:tcPr>
            <w:tcW w:w="113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d.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不同意</w:t>
            </w:r>
          </w:p>
        </w:tc>
        <w:tc>
          <w:tcPr>
            <w:tcW w:w="165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e.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非常不同意</w:t>
            </w:r>
          </w:p>
        </w:tc>
      </w:tr>
      <w:bookmarkEnd w:id="9"/>
      <w:tr w:rsidR="00C467A9" w:rsidRPr="00C467A9" w:rsidTr="009652D6">
        <w:trPr>
          <w:trHeight w:val="492"/>
        </w:trPr>
        <w:tc>
          <w:tcPr>
            <w:tcW w:w="7081" w:type="dxa"/>
          </w:tcPr>
          <w:p w:rsidR="00C467A9" w:rsidRPr="00C467A9" w:rsidRDefault="00C467A9" w:rsidP="00C467A9">
            <w:pPr>
              <w:pStyle w:val="1"/>
              <w:tabs>
                <w:tab w:val="left" w:pos="1170"/>
              </w:tabs>
              <w:spacing w:line="480" w:lineRule="auto"/>
              <w:ind w:left="0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2.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无症状性高尿酸血症患者需要通过干预来控制尿酸</w:t>
            </w:r>
          </w:p>
        </w:tc>
        <w:tc>
          <w:tcPr>
            <w:tcW w:w="196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rPr>
          <w:trHeight w:val="492"/>
        </w:trPr>
        <w:tc>
          <w:tcPr>
            <w:tcW w:w="7081" w:type="dxa"/>
          </w:tcPr>
          <w:p w:rsidR="00C467A9" w:rsidRPr="00C467A9" w:rsidRDefault="00C467A9" w:rsidP="00C467A9">
            <w:pPr>
              <w:pStyle w:val="1"/>
              <w:tabs>
                <w:tab w:val="left" w:pos="1170"/>
              </w:tabs>
              <w:spacing w:line="480" w:lineRule="auto"/>
              <w:ind w:left="0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3.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对于合并基础疾病的患者比其它患者更需要通过干预来控制尿酸</w:t>
            </w:r>
          </w:p>
        </w:tc>
        <w:tc>
          <w:tcPr>
            <w:tcW w:w="196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rPr>
          <w:trHeight w:val="492"/>
        </w:trPr>
        <w:tc>
          <w:tcPr>
            <w:tcW w:w="7081" w:type="dxa"/>
          </w:tcPr>
          <w:p w:rsidR="00C467A9" w:rsidRPr="00C467A9" w:rsidRDefault="00C467A9" w:rsidP="00C467A9">
            <w:pPr>
              <w:pStyle w:val="1"/>
              <w:tabs>
                <w:tab w:val="left" w:pos="1170"/>
              </w:tabs>
              <w:spacing w:line="480" w:lineRule="auto"/>
              <w:ind w:left="0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4.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对于无症状性高尿酸血症患者，没必要使用药物来控制尿酸</w:t>
            </w:r>
          </w:p>
        </w:tc>
        <w:tc>
          <w:tcPr>
            <w:tcW w:w="196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rPr>
          <w:trHeight w:val="492"/>
        </w:trPr>
        <w:tc>
          <w:tcPr>
            <w:tcW w:w="7081" w:type="dxa"/>
          </w:tcPr>
          <w:p w:rsidR="00C467A9" w:rsidRPr="00C467A9" w:rsidRDefault="00C467A9" w:rsidP="00C467A9">
            <w:pPr>
              <w:pStyle w:val="1"/>
              <w:tabs>
                <w:tab w:val="left" w:pos="1170"/>
              </w:tabs>
              <w:spacing w:line="480" w:lineRule="auto"/>
              <w:ind w:left="0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5.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对于控制尿酸，养成健康的生活习惯与药物治疗同样重要</w:t>
            </w:r>
          </w:p>
        </w:tc>
        <w:tc>
          <w:tcPr>
            <w:tcW w:w="196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rPr>
          <w:trHeight w:val="492"/>
        </w:trPr>
        <w:tc>
          <w:tcPr>
            <w:tcW w:w="7081" w:type="dxa"/>
          </w:tcPr>
          <w:p w:rsidR="00C467A9" w:rsidRPr="00C467A9" w:rsidRDefault="00C467A9" w:rsidP="00C467A9">
            <w:pPr>
              <w:pStyle w:val="1"/>
              <w:tabs>
                <w:tab w:val="left" w:pos="1170"/>
              </w:tabs>
              <w:spacing w:line="480" w:lineRule="auto"/>
              <w:ind w:left="0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6.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对于控制尿酸，患者自身的行动比医护人员更重要</w:t>
            </w:r>
          </w:p>
        </w:tc>
        <w:tc>
          <w:tcPr>
            <w:tcW w:w="196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rPr>
          <w:trHeight w:val="492"/>
        </w:trPr>
        <w:tc>
          <w:tcPr>
            <w:tcW w:w="7081" w:type="dxa"/>
          </w:tcPr>
          <w:p w:rsidR="00C467A9" w:rsidRPr="00C467A9" w:rsidRDefault="00C467A9" w:rsidP="00C467A9">
            <w:pPr>
              <w:pStyle w:val="1"/>
              <w:tabs>
                <w:tab w:val="left" w:pos="1170"/>
              </w:tabs>
              <w:spacing w:line="480" w:lineRule="auto"/>
              <w:ind w:left="0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7.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医生与护士同时参与到高尿酸血症患者的管理有助于控制尿酸水平</w:t>
            </w:r>
          </w:p>
        </w:tc>
        <w:tc>
          <w:tcPr>
            <w:tcW w:w="196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rPr>
          <w:trHeight w:val="492"/>
        </w:trPr>
        <w:tc>
          <w:tcPr>
            <w:tcW w:w="7081" w:type="dxa"/>
          </w:tcPr>
          <w:p w:rsidR="00C467A9" w:rsidRPr="00C467A9" w:rsidRDefault="00C467A9" w:rsidP="00C467A9">
            <w:pPr>
              <w:pStyle w:val="1"/>
              <w:tabs>
                <w:tab w:val="left" w:pos="1170"/>
              </w:tabs>
              <w:spacing w:line="480" w:lineRule="auto"/>
              <w:ind w:left="0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8.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医护人员有责任让患者意识到高尿酸血症的危害</w:t>
            </w:r>
          </w:p>
        </w:tc>
        <w:tc>
          <w:tcPr>
            <w:tcW w:w="196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bookmarkEnd w:id="10"/>
    </w:tbl>
    <w:p w:rsidR="00C467A9" w:rsidRPr="00C467A9" w:rsidRDefault="00C467A9" w:rsidP="00C467A9">
      <w:pPr>
        <w:spacing w:line="480" w:lineRule="auto"/>
        <w:rPr>
          <w:rStyle w:val="shorttext"/>
          <w:rFonts w:ascii="Times New Roman" w:eastAsia="微软雅黑" w:hAnsi="Times New Roman" w:cs="Times New Roman"/>
          <w:b/>
          <w:bCs/>
          <w:sz w:val="24"/>
          <w:szCs w:val="24"/>
          <w:lang w:val="en"/>
        </w:rPr>
        <w:sectPr w:rsidR="00C467A9" w:rsidRPr="00C467A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467A9" w:rsidRPr="00C467A9" w:rsidRDefault="00C467A9" w:rsidP="00C467A9">
      <w:pPr>
        <w:spacing w:line="480" w:lineRule="auto"/>
        <w:jc w:val="center"/>
        <w:rPr>
          <w:rFonts w:ascii="Times New Roman" w:eastAsia="微软雅黑" w:hAnsi="Times New Roman" w:cs="Times New Roman"/>
          <w:b/>
          <w:bCs/>
          <w:sz w:val="24"/>
          <w:szCs w:val="24"/>
        </w:rPr>
      </w:pPr>
      <w:bookmarkStart w:id="11" w:name="OLE_LINK6"/>
      <w:r w:rsidRPr="00C467A9">
        <w:rPr>
          <w:rFonts w:ascii="Times New Roman" w:eastAsia="微软雅黑" w:hAnsi="Times New Roman" w:cs="Times New Roman"/>
          <w:b/>
          <w:bCs/>
          <w:sz w:val="24"/>
          <w:szCs w:val="24"/>
        </w:rPr>
        <w:lastRenderedPageBreak/>
        <w:t xml:space="preserve">Part IV- </w:t>
      </w:r>
      <w:r w:rsidRPr="00C467A9">
        <w:rPr>
          <w:rFonts w:ascii="Times New Roman" w:eastAsia="微软雅黑" w:hAnsi="Times New Roman" w:cs="Times New Roman"/>
          <w:b/>
          <w:bCs/>
          <w:sz w:val="24"/>
          <w:szCs w:val="24"/>
        </w:rPr>
        <w:t>实践</w:t>
      </w:r>
      <w:bookmarkEnd w:id="11"/>
    </w:p>
    <w:p w:rsidR="00C467A9" w:rsidRPr="00C467A9" w:rsidRDefault="00C467A9" w:rsidP="00C467A9">
      <w:pPr>
        <w:spacing w:line="480" w:lineRule="auto"/>
        <w:rPr>
          <w:rFonts w:ascii="Times New Roman" w:eastAsia="微软雅黑" w:hAnsi="Times New Roman" w:cs="Times New Roman"/>
          <w:b/>
          <w:sz w:val="24"/>
          <w:szCs w:val="24"/>
        </w:rPr>
      </w:pP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若您的身份为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“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医生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”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，请回答实践部分的第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1~11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题；若您的身份为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“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护士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”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，请回答实践部分的第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5~11</w:t>
      </w:r>
      <w:r w:rsidRPr="00C467A9">
        <w:rPr>
          <w:rFonts w:ascii="Times New Roman" w:eastAsia="微软雅黑" w:hAnsi="Times New Roman" w:cs="Times New Roman"/>
          <w:b/>
          <w:sz w:val="24"/>
          <w:szCs w:val="24"/>
        </w:rPr>
        <w:t>题。</w:t>
      </w:r>
    </w:p>
    <w:tbl>
      <w:tblPr>
        <w:tblStyle w:val="a3"/>
        <w:tblW w:w="14163" w:type="dxa"/>
        <w:tblLayout w:type="fixed"/>
        <w:tblLook w:val="04A0" w:firstRow="1" w:lastRow="0" w:firstColumn="1" w:lastColumn="0" w:noHBand="0" w:noVBand="1"/>
      </w:tblPr>
      <w:tblGrid>
        <w:gridCol w:w="7014"/>
        <w:gridCol w:w="1442"/>
        <w:gridCol w:w="1264"/>
        <w:gridCol w:w="1295"/>
        <w:gridCol w:w="1567"/>
        <w:gridCol w:w="1581"/>
      </w:tblGrid>
      <w:tr w:rsidR="00C467A9" w:rsidRPr="00C467A9" w:rsidTr="009652D6">
        <w:tc>
          <w:tcPr>
            <w:tcW w:w="7014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  <w:lang w:bidi="ar-JO"/>
              </w:rPr>
            </w:pPr>
            <w:bookmarkStart w:id="12" w:name="OLE_LINK10" w:colFirst="1" w:colLast="5"/>
            <w:r w:rsidRPr="00C467A9">
              <w:rPr>
                <w:rFonts w:eastAsia="楷体"/>
                <w:b/>
                <w:bCs/>
                <w:sz w:val="24"/>
                <w:szCs w:val="24"/>
                <w:lang w:bidi="ar-JO"/>
              </w:rPr>
              <w:t>1.</w:t>
            </w:r>
            <w:r w:rsidRPr="00C467A9">
              <w:rPr>
                <w:rFonts w:eastAsia="楷体"/>
                <w:b/>
                <w:bCs/>
                <w:sz w:val="24"/>
                <w:szCs w:val="24"/>
                <w:lang w:bidi="ar-JO"/>
              </w:rPr>
              <w:t>我会建议高尿酸血症患者接受药物治疗</w:t>
            </w:r>
          </w:p>
        </w:tc>
        <w:tc>
          <w:tcPr>
            <w:tcW w:w="144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a.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总是</w:t>
            </w:r>
          </w:p>
        </w:tc>
        <w:tc>
          <w:tcPr>
            <w:tcW w:w="126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b.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经常</w:t>
            </w:r>
          </w:p>
        </w:tc>
        <w:tc>
          <w:tcPr>
            <w:tcW w:w="1295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c.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一般</w:t>
            </w:r>
          </w:p>
        </w:tc>
        <w:tc>
          <w:tcPr>
            <w:tcW w:w="156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d.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偶尔</w:t>
            </w:r>
          </w:p>
        </w:tc>
        <w:tc>
          <w:tcPr>
            <w:tcW w:w="158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e.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从不</w:t>
            </w:r>
          </w:p>
        </w:tc>
      </w:tr>
      <w:tr w:rsidR="00C467A9" w:rsidRPr="00C467A9" w:rsidTr="009652D6">
        <w:tc>
          <w:tcPr>
            <w:tcW w:w="7014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  <w:lang w:bidi="ar-JO"/>
              </w:rPr>
            </w:pPr>
            <w:bookmarkStart w:id="13" w:name="OLE_LINK7" w:colFirst="1" w:colLast="2"/>
            <w:bookmarkEnd w:id="12"/>
            <w:r w:rsidRPr="00C467A9">
              <w:rPr>
                <w:rFonts w:eastAsia="楷体"/>
                <w:b/>
                <w:bCs/>
                <w:sz w:val="24"/>
                <w:szCs w:val="24"/>
                <w:lang w:bidi="ar-JO"/>
              </w:rPr>
              <w:t>2.</w:t>
            </w:r>
            <w:r w:rsidRPr="00C467A9">
              <w:rPr>
                <w:rFonts w:eastAsia="楷体"/>
                <w:b/>
                <w:bCs/>
                <w:sz w:val="24"/>
                <w:szCs w:val="24"/>
                <w:lang w:bidi="ar-JO"/>
              </w:rPr>
              <w:t>当患者合并基础疾病时，我会改变对患者的治疗策略</w:t>
            </w:r>
          </w:p>
        </w:tc>
        <w:tc>
          <w:tcPr>
            <w:tcW w:w="144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bookmarkEnd w:id="13"/>
      <w:tr w:rsidR="00C467A9" w:rsidRPr="00C467A9" w:rsidTr="009652D6">
        <w:tc>
          <w:tcPr>
            <w:tcW w:w="7014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3.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我会推荐有代谢疾病的患者进行血尿酸检查</w:t>
            </w:r>
          </w:p>
        </w:tc>
        <w:tc>
          <w:tcPr>
            <w:tcW w:w="144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c>
          <w:tcPr>
            <w:tcW w:w="7014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bookmarkStart w:id="14" w:name="OLE_LINK13" w:colFirst="1" w:colLast="5"/>
            <w:r w:rsidRPr="00C467A9">
              <w:rPr>
                <w:rFonts w:eastAsia="楷体"/>
                <w:b/>
                <w:bCs/>
                <w:sz w:val="24"/>
                <w:szCs w:val="24"/>
              </w:rPr>
              <w:t>4.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我会建议高尿酸血症患者接受心脑血管疾病的检查</w:t>
            </w:r>
          </w:p>
        </w:tc>
        <w:tc>
          <w:tcPr>
            <w:tcW w:w="144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c>
          <w:tcPr>
            <w:tcW w:w="7014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  <w:lang w:bidi="ar-JO"/>
              </w:rPr>
              <w:t>5.</w:t>
            </w:r>
            <w:r w:rsidRPr="00C467A9">
              <w:rPr>
                <w:rFonts w:eastAsia="楷体"/>
                <w:b/>
                <w:bCs/>
                <w:sz w:val="24"/>
                <w:szCs w:val="24"/>
                <w:lang w:bidi="ar-JO"/>
              </w:rPr>
              <w:t>我会建议高尿酸血症患者改善生活习惯</w:t>
            </w:r>
          </w:p>
        </w:tc>
        <w:tc>
          <w:tcPr>
            <w:tcW w:w="144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c>
          <w:tcPr>
            <w:tcW w:w="7014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  <w:lang w:bidi="ar-JO"/>
              </w:rPr>
              <w:t>6.</w:t>
            </w:r>
            <w:r w:rsidRPr="00C467A9">
              <w:rPr>
                <w:rFonts w:eastAsia="楷体"/>
                <w:b/>
                <w:bCs/>
                <w:sz w:val="24"/>
                <w:szCs w:val="24"/>
                <w:lang w:bidi="ar-JO"/>
              </w:rPr>
              <w:t>我会建议高尿酸血症患者定期回医院复查</w:t>
            </w:r>
          </w:p>
        </w:tc>
        <w:tc>
          <w:tcPr>
            <w:tcW w:w="144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c>
          <w:tcPr>
            <w:tcW w:w="7014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  <w:lang w:bidi="ar-JO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7.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我愿意参加对高尿酸血症患者的宣教活动</w:t>
            </w:r>
          </w:p>
        </w:tc>
        <w:tc>
          <w:tcPr>
            <w:tcW w:w="144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a.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非常愿意</w:t>
            </w:r>
          </w:p>
        </w:tc>
        <w:tc>
          <w:tcPr>
            <w:tcW w:w="126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b.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愿意</w:t>
            </w:r>
          </w:p>
        </w:tc>
        <w:tc>
          <w:tcPr>
            <w:tcW w:w="1295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c.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一般</w:t>
            </w:r>
          </w:p>
        </w:tc>
        <w:tc>
          <w:tcPr>
            <w:tcW w:w="156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d.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不愿意</w:t>
            </w:r>
          </w:p>
        </w:tc>
        <w:tc>
          <w:tcPr>
            <w:tcW w:w="158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e.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非常不愿意</w:t>
            </w:r>
          </w:p>
        </w:tc>
      </w:tr>
      <w:bookmarkEnd w:id="14"/>
      <w:tr w:rsidR="00C467A9" w:rsidRPr="00C467A9" w:rsidTr="009652D6">
        <w:trPr>
          <w:trHeight w:val="315"/>
        </w:trPr>
        <w:tc>
          <w:tcPr>
            <w:tcW w:w="7014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  <w:lang w:bidi="ar-JO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  <w:lang w:bidi="ar-JO"/>
              </w:rPr>
              <w:t>8.</w:t>
            </w:r>
            <w:r w:rsidRPr="00C467A9">
              <w:rPr>
                <w:rFonts w:eastAsia="楷体"/>
                <w:b/>
                <w:bCs/>
                <w:sz w:val="24"/>
                <w:szCs w:val="24"/>
                <w:lang w:bidi="ar-JO"/>
              </w:rPr>
              <w:t>我会明确告知患者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高尿酸血症的危害</w:t>
            </w:r>
          </w:p>
        </w:tc>
        <w:tc>
          <w:tcPr>
            <w:tcW w:w="144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a.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总是</w:t>
            </w:r>
          </w:p>
        </w:tc>
        <w:tc>
          <w:tcPr>
            <w:tcW w:w="126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b.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经常</w:t>
            </w:r>
          </w:p>
        </w:tc>
        <w:tc>
          <w:tcPr>
            <w:tcW w:w="1295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c.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一般</w:t>
            </w:r>
          </w:p>
        </w:tc>
        <w:tc>
          <w:tcPr>
            <w:tcW w:w="156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d.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偶尔</w:t>
            </w:r>
          </w:p>
        </w:tc>
        <w:tc>
          <w:tcPr>
            <w:tcW w:w="158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e.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从不</w:t>
            </w:r>
          </w:p>
        </w:tc>
      </w:tr>
      <w:tr w:rsidR="00C467A9" w:rsidRPr="00C467A9" w:rsidTr="009652D6">
        <w:tc>
          <w:tcPr>
            <w:tcW w:w="7014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  <w:lang w:bidi="ar-JO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9.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我会关注高尿酸血症患者的关节情况</w:t>
            </w:r>
          </w:p>
        </w:tc>
        <w:tc>
          <w:tcPr>
            <w:tcW w:w="144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c>
          <w:tcPr>
            <w:tcW w:w="7014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t>10.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我会建议高尿酸血症患者增加饮水及排尿</w:t>
            </w:r>
          </w:p>
        </w:tc>
        <w:tc>
          <w:tcPr>
            <w:tcW w:w="144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  <w:tr w:rsidR="00C467A9" w:rsidRPr="00C467A9" w:rsidTr="009652D6">
        <w:tc>
          <w:tcPr>
            <w:tcW w:w="7014" w:type="dxa"/>
          </w:tcPr>
          <w:p w:rsidR="00C467A9" w:rsidRPr="00C467A9" w:rsidRDefault="00C467A9" w:rsidP="00C467A9">
            <w:pPr>
              <w:spacing w:line="480" w:lineRule="auto"/>
              <w:rPr>
                <w:rFonts w:eastAsia="楷体"/>
                <w:b/>
                <w:bCs/>
                <w:sz w:val="24"/>
                <w:szCs w:val="24"/>
              </w:rPr>
            </w:pPr>
            <w:r w:rsidRPr="00C467A9">
              <w:rPr>
                <w:rFonts w:eastAsia="楷体"/>
                <w:b/>
                <w:bCs/>
                <w:sz w:val="24"/>
                <w:szCs w:val="24"/>
              </w:rPr>
              <w:lastRenderedPageBreak/>
              <w:t>11.</w:t>
            </w:r>
            <w:r w:rsidRPr="00C467A9">
              <w:rPr>
                <w:rFonts w:eastAsia="楷体"/>
                <w:b/>
                <w:bCs/>
                <w:sz w:val="24"/>
                <w:szCs w:val="24"/>
              </w:rPr>
              <w:t>我会建议高尿酸血症患者服用小苏打以碱化尿液</w:t>
            </w:r>
          </w:p>
        </w:tc>
        <w:tc>
          <w:tcPr>
            <w:tcW w:w="1442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C467A9" w:rsidRPr="00C467A9" w:rsidRDefault="00C467A9" w:rsidP="00C467A9">
            <w:pPr>
              <w:spacing w:line="480" w:lineRule="auto"/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</w:p>
        </w:tc>
      </w:tr>
    </w:tbl>
    <w:p w:rsidR="00DB328F" w:rsidRPr="00C467A9" w:rsidRDefault="00C467A9" w:rsidP="00C467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sectPr w:rsidR="00DB328F" w:rsidRPr="00C467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A9"/>
    <w:rsid w:val="00117261"/>
    <w:rsid w:val="005E7990"/>
    <w:rsid w:val="00C467A9"/>
    <w:rsid w:val="00D3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D46E7-94BE-43B4-88E6-5A788AFF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467A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qFormat/>
    <w:rsid w:val="00C467A9"/>
  </w:style>
  <w:style w:type="paragraph" w:customStyle="1" w:styleId="1">
    <w:name w:val="列表段落1"/>
    <w:basedOn w:val="a"/>
    <w:uiPriority w:val="34"/>
    <w:qFormat/>
    <w:rsid w:val="00C4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2023-12-06T01:07:00Z</dcterms:created>
  <dcterms:modified xsi:type="dcterms:W3CDTF">2023-12-06T01:08:00Z</dcterms:modified>
</cp:coreProperties>
</file>