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B15A4" w14:textId="77777777" w:rsidR="00F7171F" w:rsidRDefault="00F7171F" w:rsidP="00F7171F">
      <w:pPr>
        <w:widowControl/>
        <w:numPr>
          <w:ilvl w:val="0"/>
          <w:numId w:val="1"/>
        </w:numPr>
        <w:spacing w:line="360" w:lineRule="atLeast"/>
        <w:ind w:left="1095"/>
        <w:jc w:val="left"/>
        <w:rPr>
          <w:rFonts w:ascii="Helvetica Neue" w:eastAsia="宋体" w:hAnsi="Helvetica Neue" w:cs="宋体"/>
          <w:color w:val="4B5C66"/>
          <w:kern w:val="0"/>
          <w:sz w:val="24"/>
          <w14:ligatures w14:val="none"/>
        </w:rPr>
      </w:pPr>
      <w:r w:rsidRPr="00F7171F">
        <w:rPr>
          <w:rFonts w:ascii="Helvetica Neue" w:eastAsia="宋体" w:hAnsi="Helvetica Neue" w:cs="宋体"/>
          <w:color w:val="4B5C66"/>
          <w:kern w:val="0"/>
          <w:sz w:val="24"/>
          <w14:ligatures w14:val="none"/>
        </w:rPr>
        <w:t>The rationale for conducting the systematic review / meta-</w:t>
      </w:r>
      <w:proofErr w:type="gramStart"/>
      <w:r w:rsidRPr="00F7171F">
        <w:rPr>
          <w:rFonts w:ascii="Helvetica Neue" w:eastAsia="宋体" w:hAnsi="Helvetica Neue" w:cs="宋体"/>
          <w:color w:val="4B5C66"/>
          <w:kern w:val="0"/>
          <w:sz w:val="24"/>
          <w14:ligatures w14:val="none"/>
        </w:rPr>
        <w:t>analysis;</w:t>
      </w:r>
      <w:proofErr w:type="gramEnd"/>
    </w:p>
    <w:p w14:paraId="27413AD7" w14:textId="48B4A48C" w:rsidR="00F7171F" w:rsidRPr="00F7171F" w:rsidRDefault="00F7171F" w:rsidP="00F7171F">
      <w:pPr>
        <w:widowControl/>
        <w:spacing w:line="360" w:lineRule="atLeast"/>
        <w:ind w:left="735"/>
        <w:jc w:val="left"/>
        <w:rPr>
          <w:rFonts w:ascii="Helvetica Neue" w:eastAsia="宋体" w:hAnsi="Helvetica Neue" w:cs="宋体"/>
          <w:color w:val="4B5C66"/>
          <w:kern w:val="0"/>
          <w:sz w:val="24"/>
          <w14:ligatures w14:val="none"/>
        </w:rPr>
      </w:pPr>
      <w:r>
        <w:rPr>
          <w:rFonts w:ascii="Helvetica Neue" w:eastAsia="宋体" w:hAnsi="Helvetica Neue" w:cs="宋体" w:hint="eastAsia"/>
          <w:color w:val="4B5C66"/>
          <w:kern w:val="0"/>
          <w:sz w:val="24"/>
          <w14:ligatures w14:val="none"/>
        </w:rPr>
        <w:t>responds</w:t>
      </w:r>
      <w:r>
        <w:rPr>
          <w:rFonts w:ascii="Helvetica Neue" w:eastAsia="宋体" w:hAnsi="Helvetica Neue" w:cs="宋体"/>
          <w:color w:val="4B5C66"/>
          <w:kern w:val="0"/>
          <w:sz w:val="24"/>
          <w14:ligatures w14:val="none"/>
        </w:rPr>
        <w:t xml:space="preserve">: </w:t>
      </w:r>
      <w:proofErr w:type="spellStart"/>
      <w:r w:rsidRPr="000370B5">
        <w:rPr>
          <w:rFonts w:ascii="Times New Roman" w:hAnsi="Times New Roman" w:cs="Times New Roman"/>
          <w:sz w:val="24"/>
        </w:rPr>
        <w:t>Etrolizumab</w:t>
      </w:r>
      <w:proofErr w:type="spellEnd"/>
      <w:r w:rsidRPr="000370B5">
        <w:rPr>
          <w:rFonts w:ascii="Times New Roman" w:hAnsi="Times New Roman" w:cs="Times New Roman"/>
          <w:sz w:val="24"/>
        </w:rPr>
        <w:t xml:space="preserve"> is a humanized monoclonal IgG1 antibody directed against the β7 subunit of the heterodimeric integrins α4β7 and αEβ7. α4β7 integrin is a key mediator of leukocyte infiltration in the gastrointestinal tract by interacting with MAdCAM-1 on the vascular endothelium of mucosal tissues</w:t>
      </w:r>
      <w:r w:rsidRPr="009F7F84">
        <w:rPr>
          <w:rFonts w:ascii="Times New Roman" w:hAnsi="Times New Roman" w:cs="Times New Roman"/>
          <w:sz w:val="24"/>
        </w:rPr>
        <w:t xml:space="preserve">. However, the efficacy and safety of </w:t>
      </w:r>
      <w:proofErr w:type="spellStart"/>
      <w:r>
        <w:rPr>
          <w:rFonts w:ascii="Times New Roman" w:hAnsi="Times New Roman" w:cs="Times New Roman" w:hint="eastAsia"/>
          <w:sz w:val="24"/>
        </w:rPr>
        <w:t>e</w:t>
      </w:r>
      <w:r w:rsidRPr="009F7F84">
        <w:rPr>
          <w:rFonts w:ascii="Times New Roman" w:hAnsi="Times New Roman" w:cs="Times New Roman"/>
          <w:sz w:val="24"/>
        </w:rPr>
        <w:t>trolizumab</w:t>
      </w:r>
      <w:proofErr w:type="spellEnd"/>
      <w:r w:rsidRPr="009F7F84">
        <w:rPr>
          <w:rFonts w:ascii="Times New Roman" w:hAnsi="Times New Roman" w:cs="Times New Roman"/>
          <w:sz w:val="24"/>
        </w:rPr>
        <w:t xml:space="preserve"> for IBD are still controversial, so we hope to resolve these controversies with this study and provide new options for clinical patient treatment.</w:t>
      </w:r>
    </w:p>
    <w:p w14:paraId="614A0DD1" w14:textId="77777777" w:rsidR="00F7171F" w:rsidRDefault="00F7171F" w:rsidP="00F7171F">
      <w:pPr>
        <w:widowControl/>
        <w:numPr>
          <w:ilvl w:val="0"/>
          <w:numId w:val="1"/>
        </w:numPr>
        <w:spacing w:line="360" w:lineRule="atLeast"/>
        <w:ind w:left="1095"/>
        <w:jc w:val="left"/>
        <w:rPr>
          <w:rFonts w:ascii="Helvetica Neue" w:eastAsia="宋体" w:hAnsi="Helvetica Neue" w:cs="宋体"/>
          <w:color w:val="4B5C66"/>
          <w:kern w:val="0"/>
          <w:sz w:val="24"/>
          <w14:ligatures w14:val="none"/>
        </w:rPr>
      </w:pPr>
      <w:r w:rsidRPr="00F7171F">
        <w:rPr>
          <w:rFonts w:ascii="Helvetica Neue" w:eastAsia="宋体" w:hAnsi="Helvetica Neue" w:cs="宋体"/>
          <w:color w:val="4B5C66"/>
          <w:kern w:val="0"/>
          <w:sz w:val="24"/>
          <w14:ligatures w14:val="none"/>
        </w:rPr>
        <w:t xml:space="preserve">The contribution that it makes to knowledge </w:t>
      </w:r>
      <w:proofErr w:type="gramStart"/>
      <w:r w:rsidRPr="00F7171F">
        <w:rPr>
          <w:rFonts w:ascii="Helvetica Neue" w:eastAsia="宋体" w:hAnsi="Helvetica Neue" w:cs="宋体"/>
          <w:color w:val="4B5C66"/>
          <w:kern w:val="0"/>
          <w:sz w:val="24"/>
          <w14:ligatures w14:val="none"/>
        </w:rPr>
        <w:t>in light of</w:t>
      </w:r>
      <w:proofErr w:type="gramEnd"/>
      <w:r w:rsidRPr="00F7171F">
        <w:rPr>
          <w:rFonts w:ascii="Helvetica Neue" w:eastAsia="宋体" w:hAnsi="Helvetica Neue" w:cs="宋体"/>
          <w:color w:val="4B5C66"/>
          <w:kern w:val="0"/>
          <w:sz w:val="24"/>
          <w14:ligatures w14:val="none"/>
        </w:rPr>
        <w:t xml:space="preserve"> previously published related reports, including other meta-analyses and systematic reviews.</w:t>
      </w:r>
    </w:p>
    <w:p w14:paraId="4DE32965" w14:textId="6318891D" w:rsidR="00F7171F" w:rsidRPr="00F7171F" w:rsidRDefault="00F7171F" w:rsidP="00F7171F">
      <w:pPr>
        <w:widowControl/>
        <w:spacing w:line="360" w:lineRule="atLeast"/>
        <w:ind w:left="735"/>
        <w:jc w:val="left"/>
        <w:rPr>
          <w:rFonts w:ascii="Helvetica Neue" w:eastAsia="宋体" w:hAnsi="Helvetica Neue" w:cs="宋体" w:hint="eastAsia"/>
          <w:color w:val="4B5C66"/>
          <w:kern w:val="0"/>
          <w:sz w:val="24"/>
          <w14:ligatures w14:val="none"/>
        </w:rPr>
      </w:pPr>
      <w:r>
        <w:rPr>
          <w:rFonts w:ascii="Helvetica Neue" w:eastAsia="宋体" w:hAnsi="Helvetica Neue" w:cs="宋体" w:hint="eastAsia"/>
          <w:color w:val="4B5C66"/>
          <w:kern w:val="0"/>
          <w:sz w:val="24"/>
          <w14:ligatures w14:val="none"/>
        </w:rPr>
        <w:t>r</w:t>
      </w:r>
      <w:r>
        <w:rPr>
          <w:rFonts w:ascii="Helvetica Neue" w:eastAsia="宋体" w:hAnsi="Helvetica Neue" w:cs="宋体"/>
          <w:color w:val="4B5C66"/>
          <w:kern w:val="0"/>
          <w:sz w:val="24"/>
          <w14:ligatures w14:val="none"/>
        </w:rPr>
        <w:t>esponds:</w:t>
      </w:r>
      <w:r w:rsidRPr="00F7171F">
        <w:rPr>
          <w:rFonts w:ascii="Times New Roman" w:hAnsi="Times New Roman" w:cs="Times New Roman"/>
          <w:sz w:val="24"/>
        </w:rPr>
        <w:t xml:space="preserve"> </w:t>
      </w:r>
      <w:r w:rsidRPr="006A4DE0">
        <w:rPr>
          <w:rFonts w:ascii="Times New Roman" w:hAnsi="Times New Roman" w:cs="Times New Roman"/>
          <w:sz w:val="24"/>
        </w:rPr>
        <w:t xml:space="preserve">As far as we are concerned, this is not the first time </w:t>
      </w:r>
      <w:proofErr w:type="spellStart"/>
      <w:r w:rsidRPr="006A4DE0">
        <w:rPr>
          <w:rFonts w:ascii="Times New Roman" w:hAnsi="Times New Roman" w:cs="Times New Roman"/>
          <w:sz w:val="24"/>
        </w:rPr>
        <w:t>etrolizumab</w:t>
      </w:r>
      <w:proofErr w:type="spellEnd"/>
      <w:r w:rsidRPr="006A4DE0">
        <w:rPr>
          <w:rFonts w:ascii="Times New Roman" w:hAnsi="Times New Roman" w:cs="Times New Roman"/>
          <w:sz w:val="24"/>
        </w:rPr>
        <w:t xml:space="preserve"> treatment for IBD has been evaluated, but a previous Cochrane study</w:t>
      </w:r>
      <w:r>
        <w:rPr>
          <w:rFonts w:ascii="Times New Roman" w:hAnsi="Times New Roman" w:cs="Times New Roman"/>
          <w:sz w:val="24"/>
        </w:rPr>
        <w:fldChar w:fldCharType="begin">
          <w:fldData xml:space="preserve">PEVuZE5vdGU+PENpdGU+PEF1dGhvcj5Sb3NlbmZlbGQ8L0F1dGhvcj48WWVhcj4yMDE1PC9ZZWFy
PjxSZWNOdW0+NjkwPC9SZWNOdW0+PERpc3BsYXlUZXh0PigyNyk8L0Rpc3BsYXlUZXh0PjxyZWNv
cmQ+PHJlYy1udW1iZXI+NjkwPC9yZWMtbnVtYmVyPjxmb3JlaWduLWtleXM+PGtleSBhcHA9IkVO
IiBkYi1pZD0idmVhYXBydjlwZWVwdHNlMHphcnBlOXRhc3ByMHI1NXhkdDlmIiB0aW1lc3RhbXA9
IjE3MDMzOTcwMDQiPjY5MDwva2V5PjwvZm9yZWlnbi1rZXlzPjxyZWYtdHlwZSBuYW1lPSJKb3Vy
bmFsIEFydGljbGUiPjE3PC9yZWYtdHlwZT48Y29udHJpYnV0b3JzPjxhdXRob3JzPjxhdXRob3I+
Um9zZW5mZWxkLCBHLjwvYXV0aG9yPjxhdXRob3I+UGFya2VyLCBDLiBFLjwvYXV0aG9yPjxhdXRo
b3I+TWFjRG9uYWxkLCBKLiBLLjwvYXV0aG9yPjxhdXRob3I+QnJlc3NsZXIsIEIuPC9hdXRob3I+
PC9hdXRob3JzPjwvY29udHJpYnV0b3JzPjxhdXRoLWFkZHJlc3M+RGl2aXNpb24gb2YgR2FzdHJv
ZW50ZXJvbG9neSwgVW5pdmVyc2l0eSBvZiBCcml0aXNoIENvbHVtYmlhLCA3NzAtMTE5MCBIb3Ju
YnkgU3RyZWV0LCBWYW5jb3V2ZXIsIEJDLCBDYW5hZGEsIFY2WiAySzUuPC9hdXRoLWFkZHJlc3M+
PHRpdGxlcz48dGl0bGU+RXRyb2xpenVtYWIgZm9yIGluZHVjdGlvbiBvZiByZW1pc3Npb24gaW4g
dWxjZXJhdGl2ZSBjb2xpdGlzPC90aXRsZT48c2Vjb25kYXJ5LXRpdGxlPkNvY2hyYW5lIERhdGFi
YXNlIFN5c3QgUmV2PC9zZWNvbmRhcnktdGl0bGU+PC90aXRsZXM+PHBlcmlvZGljYWw+PGZ1bGwt
dGl0bGU+Q29jaHJhbmUgRGF0YWJhc2UgU3lzdCBSZXY8L2Z1bGwtdGl0bGU+PC9wZXJpb2RpY2Fs
PjxwYWdlcz5DZDAxMTY2MTwvcGFnZXM+PHZvbHVtZT4yMDE1PC92b2x1bWU+PG51bWJlcj4xMjwv
bnVtYmVyPjxlZGl0aW9uPjIwMTUvMTIvMDM8L2VkaXRpb24+PGtleXdvcmRzPjxrZXl3b3JkPkFu
dGlib2RpZXMsIE1vbm9jbG9uYWwsIEh1bWFuaXplZC9hZG1pbmlzdHJhdGlvbiAmYW1wOyBkb3Nh
Z2UvYWR2ZXJzZTwva2V5d29yZD48a2V5d29yZD5lZmZlY3RzLyp0aGVyYXBldXRpYyB1c2U8L2tl
eXdvcmQ+PGtleXdvcmQ+Q29saXRpcywgVWxjZXJhdGl2ZS8qZHJ1ZyB0aGVyYXB5PC9rZXl3b3Jk
PjxrZXl3b3JkPkh1bWFuczwva2V5d29yZD48a2V5d29yZD5JbmR1Y3Rpb24gQ2hlbW90aGVyYXB5
L2FkdmVyc2UgZWZmZWN0cy8qbWV0aG9kczwva2V5d29yZD48a2V5d29yZD5SYW5kb21pemVkIENv
bnRyb2xsZWQgVHJpYWxzIGFzIFRvcGljPC9rZXl3b3JkPjxrZXl3b3JkPlRpbWUgRmFjdG9yczwv
a2V5d29yZD48L2tleXdvcmRzPjxkYXRlcz48eWVhcj4yMDE1PC95ZWFyPjxwdWItZGF0ZXM+PGRh
dGU+RGVjIDI8L2RhdGU+PC9wdWItZGF0ZXM+PC9kYXRlcz48aXNibj4xMzYxLTYxMzc8L2lzYm4+
PGFjY2Vzc2lvbi1udW0+MjY2MzA0NTE8L2FjY2Vzc2lvbi1udW0+PHVybHM+PC91cmxzPjxjdXN0
b20yPlBNQzg2MTI2OTcgaGFzIHJlY2VpdmVkIGZlZXMgZnJvbSBBYmJ2aWUsIEphbnNzZW4gYW5k
IFNoaXJlIGZvciBsZWN0dXJlczsgYW5kIGZlZXMgZnJvbSBBYmJ2aWUgZm9yIGRldmVsb3BtZW50
IG9mIGVkdWNhdGlvbmFsIHByZXNlbnRhdGlvbnMuIEFsbCBvZiB0aGUgZmVlcyByZWNlaXZlZCBh
cmUgb3V0c2lkZSB0aGUgc2NvcGUgb2YgdGhlIHN1Ym1pdHRlZCB3b3JrLiBEciBSb3NlbmZlbGQg
aXMgYSBzdWLigJBpbnZlc3RpZ2F0b3IgZm9yIGEgUGhhc2UgSUlJIGNsaW5pY2FsIHRyaWFsIGlu
dmVzdGlnYXRpbmcgZXRyb2xpenVtYWIgZm9yIENyb2huJmFwb3M7cyBkaXNlYXNlIGFuZCB1bGNl
cmF0aXZlIGNvbGl0aXMuIENsYWlyZSBQYXJrZXIgaGFzIG5vIGtub3duIGNvbmZsaWN0cyB0byBk
ZWNsYXJlLiBKb2huIE1hY0RvbmFsZCBoYXMgbm8ga25vd24gY29uZmxpY3RzIHRvIGRlY2xhcmUu
IEJyaWFuIEJyZXNzbGVyIGhhcyByZWNlaXZlZCBmZWUocykgZnJvbSBKYW5zc2VuLCBBYmJ2aWUs
IENlbGx0cmlvbiwgYW5kIFRha2VkYSBmb3IgY29uc3VsdGFuY3k7IGhhcyBncmFudHMvZ3JhbnRz
IHBlbmRpbmcgZnJvbSBKYW5zc2VuOyBwYXltZW50IGZvciBsZWN0dXJlcyBmcm9tIFRha2VkYSwg
RmVycmluZywgQWN0YXZpcywgSmFuc3NlbiwgQWJidmllLCBhbmQgU2hpcmU7IHN0b2NrL3N0b2Nr
IG9wdGlvbnMgd2l0aCBRdSBCaW9sb2dpY3MgYW5kIHRyYXZlbCBleHBlbnNlcyBmcm9tIEphbnNz
ZW4sIGFuZCBBYmJ2aWUuIEFsbCBvZiB0aGVzZSBhY3Rpdml0aWVzIGFyZSBvdXRzaWRlIHRoZSBz
dWJtaXR0ZWQgd29yay48L2N1c3RvbTI+PGVsZWN0cm9uaWMtcmVzb3VyY2UtbnVtPjEwLjEwMDIv
MTQ2NTE4NTguQ0QwMTE2NjEucHViMjwvZWxlY3Ryb25pYy1yZXNvdXJjZS1udW0+PHJlbW90ZS1k
YXRhYmFzZS1wcm92aWRlcj5OTE08L3JlbW90ZS1kYXRhYmFzZS1wcm92aWRlcj48bGFuZ3VhZ2U+
ZW5nPC9sYW5ndWFnZT48L3JlY29yZD48L0NpdGU+PC9FbmROb3RlPgB=
</w:fldData>
        </w:fldChar>
      </w:r>
      <w:r>
        <w:rPr>
          <w:rFonts w:ascii="Times New Roman" w:hAnsi="Times New Roman" w:cs="Times New Roman"/>
          <w:sz w:val="24"/>
        </w:rPr>
        <w:instrText xml:space="preserve"> ADDIN EN.CITE </w:instrText>
      </w:r>
      <w:r>
        <w:rPr>
          <w:rFonts w:ascii="Times New Roman" w:hAnsi="Times New Roman" w:cs="Times New Roman"/>
          <w:sz w:val="24"/>
        </w:rPr>
        <w:fldChar w:fldCharType="begin">
          <w:fldData xml:space="preserve">PEVuZE5vdGU+PENpdGU+PEF1dGhvcj5Sb3NlbmZlbGQ8L0F1dGhvcj48WWVhcj4yMDE1PC9ZZWFy
PjxSZWNOdW0+NjkwPC9SZWNOdW0+PERpc3BsYXlUZXh0PigyNyk8L0Rpc3BsYXlUZXh0PjxyZWNv
cmQ+PHJlYy1udW1iZXI+NjkwPC9yZWMtbnVtYmVyPjxmb3JlaWduLWtleXM+PGtleSBhcHA9IkVO
IiBkYi1pZD0idmVhYXBydjlwZWVwdHNlMHphcnBlOXRhc3ByMHI1NXhkdDlmIiB0aW1lc3RhbXA9
IjE3MDMzOTcwMDQiPjY5MDwva2V5PjwvZm9yZWlnbi1rZXlzPjxyZWYtdHlwZSBuYW1lPSJKb3Vy
bmFsIEFydGljbGUiPjE3PC9yZWYtdHlwZT48Y29udHJpYnV0b3JzPjxhdXRob3JzPjxhdXRob3I+
Um9zZW5mZWxkLCBHLjwvYXV0aG9yPjxhdXRob3I+UGFya2VyLCBDLiBFLjwvYXV0aG9yPjxhdXRo
b3I+TWFjRG9uYWxkLCBKLiBLLjwvYXV0aG9yPjxhdXRob3I+QnJlc3NsZXIsIEIuPC9hdXRob3I+
PC9hdXRob3JzPjwvY29udHJpYnV0b3JzPjxhdXRoLWFkZHJlc3M+RGl2aXNpb24gb2YgR2FzdHJv
ZW50ZXJvbG9neSwgVW5pdmVyc2l0eSBvZiBCcml0aXNoIENvbHVtYmlhLCA3NzAtMTE5MCBIb3Ju
YnkgU3RyZWV0LCBWYW5jb3V2ZXIsIEJDLCBDYW5hZGEsIFY2WiAySzUuPC9hdXRoLWFkZHJlc3M+
PHRpdGxlcz48dGl0bGU+RXRyb2xpenVtYWIgZm9yIGluZHVjdGlvbiBvZiByZW1pc3Npb24gaW4g
dWxjZXJhdGl2ZSBjb2xpdGlzPC90aXRsZT48c2Vjb25kYXJ5LXRpdGxlPkNvY2hyYW5lIERhdGFi
YXNlIFN5c3QgUmV2PC9zZWNvbmRhcnktdGl0bGU+PC90aXRsZXM+PHBlcmlvZGljYWw+PGZ1bGwt
dGl0bGU+Q29jaHJhbmUgRGF0YWJhc2UgU3lzdCBSZXY8L2Z1bGwtdGl0bGU+PC9wZXJpb2RpY2Fs
PjxwYWdlcz5DZDAxMTY2MTwvcGFnZXM+PHZvbHVtZT4yMDE1PC92b2x1bWU+PG51bWJlcj4xMjwv
bnVtYmVyPjxlZGl0aW9uPjIwMTUvMTIvMDM8L2VkaXRpb24+PGtleXdvcmRzPjxrZXl3b3JkPkFu
dGlib2RpZXMsIE1vbm9jbG9uYWwsIEh1bWFuaXplZC9hZG1pbmlzdHJhdGlvbiAmYW1wOyBkb3Nh
Z2UvYWR2ZXJzZTwva2V5d29yZD48a2V5d29yZD5lZmZlY3RzLyp0aGVyYXBldXRpYyB1c2U8L2tl
eXdvcmQ+PGtleXdvcmQ+Q29saXRpcywgVWxjZXJhdGl2ZS8qZHJ1ZyB0aGVyYXB5PC9rZXl3b3Jk
PjxrZXl3b3JkPkh1bWFuczwva2V5d29yZD48a2V5d29yZD5JbmR1Y3Rpb24gQ2hlbW90aGVyYXB5
L2FkdmVyc2UgZWZmZWN0cy8qbWV0aG9kczwva2V5d29yZD48a2V5d29yZD5SYW5kb21pemVkIENv
bnRyb2xsZWQgVHJpYWxzIGFzIFRvcGljPC9rZXl3b3JkPjxrZXl3b3JkPlRpbWUgRmFjdG9yczwv
a2V5d29yZD48L2tleXdvcmRzPjxkYXRlcz48eWVhcj4yMDE1PC95ZWFyPjxwdWItZGF0ZXM+PGRh
dGU+RGVjIDI8L2RhdGU+PC9wdWItZGF0ZXM+PC9kYXRlcz48aXNibj4xMzYxLTYxMzc8L2lzYm4+
PGFjY2Vzc2lvbi1udW0+MjY2MzA0NTE8L2FjY2Vzc2lvbi1udW0+PHVybHM+PC91cmxzPjxjdXN0
b20yPlBNQzg2MTI2OTcgaGFzIHJlY2VpdmVkIGZlZXMgZnJvbSBBYmJ2aWUsIEphbnNzZW4gYW5k
IFNoaXJlIGZvciBsZWN0dXJlczsgYW5kIGZlZXMgZnJvbSBBYmJ2aWUgZm9yIGRldmVsb3BtZW50
IG9mIGVkdWNhdGlvbmFsIHByZXNlbnRhdGlvbnMuIEFsbCBvZiB0aGUgZmVlcyByZWNlaXZlZCBh
cmUgb3V0c2lkZSB0aGUgc2NvcGUgb2YgdGhlIHN1Ym1pdHRlZCB3b3JrLiBEciBSb3NlbmZlbGQg
aXMgYSBzdWLigJBpbnZlc3RpZ2F0b3IgZm9yIGEgUGhhc2UgSUlJIGNsaW5pY2FsIHRyaWFsIGlu
dmVzdGlnYXRpbmcgZXRyb2xpenVtYWIgZm9yIENyb2huJmFwb3M7cyBkaXNlYXNlIGFuZCB1bGNl
cmF0aXZlIGNvbGl0aXMuIENsYWlyZSBQYXJrZXIgaGFzIG5vIGtub3duIGNvbmZsaWN0cyB0byBk
ZWNsYXJlLiBKb2huIE1hY0RvbmFsZCBoYXMgbm8ga25vd24gY29uZmxpY3RzIHRvIGRlY2xhcmUu
IEJyaWFuIEJyZXNzbGVyIGhhcyByZWNlaXZlZCBmZWUocykgZnJvbSBKYW5zc2VuLCBBYmJ2aWUs
IENlbGx0cmlvbiwgYW5kIFRha2VkYSBmb3IgY29uc3VsdGFuY3k7IGhhcyBncmFudHMvZ3JhbnRz
IHBlbmRpbmcgZnJvbSBKYW5zc2VuOyBwYXltZW50IGZvciBsZWN0dXJlcyBmcm9tIFRha2VkYSwg
RmVycmluZywgQWN0YXZpcywgSmFuc3NlbiwgQWJidmllLCBhbmQgU2hpcmU7IHN0b2NrL3N0b2Nr
IG9wdGlvbnMgd2l0aCBRdSBCaW9sb2dpY3MgYW5kIHRyYXZlbCBleHBlbnNlcyBmcm9tIEphbnNz
ZW4sIGFuZCBBYmJ2aWUuIEFsbCBvZiB0aGVzZSBhY3Rpdml0aWVzIGFyZSBvdXRzaWRlIHRoZSBz
dWJtaXR0ZWQgd29yay48L2N1c3RvbTI+PGVsZWN0cm9uaWMtcmVzb3VyY2UtbnVtPjEwLjEwMDIv
MTQ2NTE4NTguQ0QwMTE2NjEucHViMjwvZWxlY3Ryb25pYy1yZXNvdXJjZS1udW0+PHJlbW90ZS1k
YXRhYmFzZS1wcm92aWRlcj5OTE08L3JlbW90ZS1kYXRhYmFzZS1wcm92aWRlcj48bGFuZ3VhZ2U+
ZW5nPC9sYW5ndWFnZT48L3JlY29yZD48L0NpdGU+PC9FbmROb3RlPgB=
</w:fldData>
        </w:fldChar>
      </w:r>
      <w:r>
        <w:rPr>
          <w:rFonts w:ascii="Times New Roman" w:hAnsi="Times New Roman" w:cs="Times New Roman"/>
          <w:sz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(27)</w:t>
      </w:r>
      <w:r>
        <w:rPr>
          <w:rFonts w:ascii="Times New Roman" w:hAnsi="Times New Roman" w:cs="Times New Roman"/>
          <w:sz w:val="24"/>
        </w:rPr>
        <w:fldChar w:fldCharType="end"/>
      </w:r>
      <w:r w:rsidRPr="006A4DE0">
        <w:rPr>
          <w:rFonts w:ascii="Times New Roman" w:hAnsi="Times New Roman" w:cs="Times New Roman"/>
          <w:sz w:val="24"/>
        </w:rPr>
        <w:t xml:space="preserve"> included only two original studies. a 2019 meta-analysis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ADDIN EN.CITE &lt;EndNote&gt;&lt;Cite&gt;&lt;Author&gt;Motaghi&lt;/Author&gt;&lt;Year&gt;2019&lt;/Year&gt;&lt;RecNum&gt;691&lt;/RecNum&gt;&lt;DisplayText&gt;(28)&lt;/DisplayText&gt;&lt;record&gt;&lt;rec-number&gt;691&lt;/rec-number&gt;&lt;foreign-keys&gt;&lt;key app="EN" db-id="veaaprv9peeptse0zarpe9taspr0r55xdt9f" timestamp="1703397122"&gt;691&lt;/key&gt;&lt;/foreign-keys&gt;&lt;ref-type name="Journal Article"&gt;17&lt;/ref-type&gt;&lt;contributors&gt;&lt;authors&gt;&lt;author&gt;Motaghi, E.&lt;/author&gt;&lt;author&gt;Ghasemi-Pirbaluti, M.&lt;/author&gt;&lt;author&gt;Zabihi, M.&lt;/author&gt;&lt;/authors&gt;&lt;/contributors&gt;&lt;auth-address&gt;Department of Physiology and Pharmacology, School of Medicine, Kurdistan University of Medical Sciences, Sanandaj, Iran. Electronic address: ehsanmotaghi@yahoo.com.&amp;#xD;Department of Immunology, School of Medicine, Shahrekord University of Medical Sciences, Shahrekord, Iran.&amp;#xD;Department of Pharmacology, School of Pharmacy and Pharmaceutical Sciences, Shahid Sadoughi University of Medical Sciences, Yazd, Iran.&lt;/auth-address&gt;&lt;titles&gt;&lt;title&gt;Etrolizumab versus infliximab in the treatment of induction phase of ulcerative colitis: A systematic review and indirect comparison&lt;/title&gt;&lt;secondary-title&gt;Pharmacol Res&lt;/secondary-title&gt;&lt;/titles&gt;&lt;periodical&gt;&lt;full-title&gt;Pharmacol Res&lt;/full-title&gt;&lt;/periodical&gt;&lt;pages&gt;120-125&lt;/pages&gt;&lt;volume&gt;139&lt;/volume&gt;&lt;edition&gt;2018/11/06&lt;/edition&gt;&lt;keywords&gt;&lt;keyword&gt;Antibodies, Monoclonal, Humanized/*therapeutic use&lt;/keyword&gt;&lt;keyword&gt;Colitis, Ulcerative/*drug therapy&lt;/keyword&gt;&lt;keyword&gt;Gastrointestinal Agents/*therapeutic use&lt;/keyword&gt;&lt;keyword&gt;Humans&lt;/keyword&gt;&lt;keyword&gt;Infliximab/*therapeutic use&lt;/keyword&gt;&lt;keyword&gt;Etrolizumab&lt;/keyword&gt;&lt;keyword&gt;Indirect comparison&lt;/keyword&gt;&lt;keyword&gt;Infliximab&lt;/keyword&gt;&lt;keyword&gt;Systematic review&lt;/keyword&gt;&lt;keyword&gt;Ulcerative colitis&lt;/keyword&gt;&lt;keyword&gt;rhuMAb Beta7&lt;/keyword&gt;&lt;/keywords&gt;&lt;dates&gt;&lt;year&gt;2019&lt;/year&gt;&lt;pub-dates&gt;&lt;date&gt;Jan&lt;/date&gt;&lt;/pub-dates&gt;&lt;/dates&gt;&lt;isbn&gt;1043-6618&lt;/isbn&gt;&lt;accession-num&gt;30395950&lt;/accession-num&gt;&lt;urls&gt;&lt;/urls&gt;&lt;electronic-resource-num&gt;10.1016/j.phrs.2018.11.003&lt;/electronic-resource-num&gt;&lt;remote-database-provider&gt;NLM&lt;/remote-database-provider&gt;&lt;language&gt;eng&lt;/language&gt;&lt;/record&gt;&lt;/Cite&gt;&lt;/EndNote&gt;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(28)</w:t>
      </w:r>
      <w:r>
        <w:rPr>
          <w:rFonts w:ascii="Times New Roman" w:hAnsi="Times New Roman" w:cs="Times New Roman"/>
          <w:sz w:val="24"/>
        </w:rPr>
        <w:fldChar w:fldCharType="end"/>
      </w:r>
      <w:r w:rsidRPr="006A4DE0">
        <w:rPr>
          <w:rFonts w:ascii="Times New Roman" w:hAnsi="Times New Roman" w:cs="Times New Roman"/>
          <w:sz w:val="24"/>
        </w:rPr>
        <w:t xml:space="preserve"> compared an indirect comparison of </w:t>
      </w:r>
      <w:proofErr w:type="spellStart"/>
      <w:r w:rsidRPr="006A4DE0">
        <w:rPr>
          <w:rFonts w:ascii="Times New Roman" w:hAnsi="Times New Roman" w:cs="Times New Roman"/>
          <w:sz w:val="24"/>
        </w:rPr>
        <w:t>etrolizumab</w:t>
      </w:r>
      <w:proofErr w:type="spellEnd"/>
      <w:r w:rsidRPr="006A4DE0">
        <w:rPr>
          <w:rFonts w:ascii="Times New Roman" w:hAnsi="Times New Roman" w:cs="Times New Roman"/>
          <w:sz w:val="24"/>
        </w:rPr>
        <w:t xml:space="preserve"> and infliximab. This is not consistent with our current meta-analysis inclusion metrics. Therefore, the current study included more high-quality studies and the conclusions are more credible.</w:t>
      </w:r>
      <w:r w:rsidRPr="00F7171F">
        <w:rPr>
          <w:rStyle w:val="10"/>
          <w:rFonts w:ascii="PingFang SC" w:eastAsia="PingFang SC" w:hAnsi="PingFang SC" w:hint="eastAsia"/>
          <w:color w:val="101214"/>
          <w:sz w:val="21"/>
          <w:szCs w:val="21"/>
        </w:rPr>
        <w:t xml:space="preserve"> </w:t>
      </w:r>
      <w:r>
        <w:rPr>
          <w:rStyle w:val="tgt"/>
          <w:rFonts w:ascii="PingFang SC" w:eastAsia="PingFang SC" w:hAnsi="PingFang SC" w:hint="eastAsia"/>
          <w:color w:val="101214"/>
          <w:szCs w:val="21"/>
        </w:rPr>
        <w:t xml:space="preserve">Our study confirms that </w:t>
      </w:r>
      <w:proofErr w:type="spellStart"/>
      <w:r>
        <w:rPr>
          <w:rStyle w:val="tgt"/>
          <w:rFonts w:ascii="PingFang SC" w:eastAsia="PingFang SC" w:hAnsi="PingFang SC" w:hint="eastAsia"/>
          <w:color w:val="101214"/>
          <w:szCs w:val="21"/>
        </w:rPr>
        <w:t>etrolizumab</w:t>
      </w:r>
      <w:proofErr w:type="spellEnd"/>
      <w:r>
        <w:rPr>
          <w:rStyle w:val="tgt"/>
          <w:rFonts w:ascii="PingFang SC" w:eastAsia="PingFang SC" w:hAnsi="PingFang SC" w:hint="eastAsia"/>
          <w:color w:val="101214"/>
          <w:szCs w:val="21"/>
        </w:rPr>
        <w:t xml:space="preserve"> is a promising drug in IBD. This suggests that </w:t>
      </w:r>
      <w:proofErr w:type="spellStart"/>
      <w:r>
        <w:rPr>
          <w:rStyle w:val="tgt"/>
          <w:rFonts w:ascii="PingFang SC" w:eastAsia="PingFang SC" w:hAnsi="PingFang SC" w:hint="eastAsia"/>
          <w:color w:val="101214"/>
          <w:szCs w:val="21"/>
        </w:rPr>
        <w:t>etrolizumab</w:t>
      </w:r>
      <w:proofErr w:type="spellEnd"/>
      <w:r>
        <w:rPr>
          <w:rStyle w:val="tgt"/>
          <w:rFonts w:ascii="PingFang SC" w:eastAsia="PingFang SC" w:hAnsi="PingFang SC" w:hint="eastAsia"/>
          <w:color w:val="101214"/>
          <w:szCs w:val="21"/>
        </w:rPr>
        <w:t xml:space="preserve"> can be used to improve response in future IBD patients.</w:t>
      </w:r>
    </w:p>
    <w:p w14:paraId="0014A584" w14:textId="77777777" w:rsidR="00133EC6" w:rsidRPr="00F7171F" w:rsidRDefault="00133EC6"/>
    <w:sectPr w:rsidR="00133EC6" w:rsidRPr="00F71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67CB7"/>
    <w:multiLevelType w:val="multilevel"/>
    <w:tmpl w:val="9B84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490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1F"/>
    <w:rsid w:val="00035E1F"/>
    <w:rsid w:val="00056494"/>
    <w:rsid w:val="000D682A"/>
    <w:rsid w:val="00107B6B"/>
    <w:rsid w:val="00131143"/>
    <w:rsid w:val="001332FF"/>
    <w:rsid w:val="00133EC6"/>
    <w:rsid w:val="001674E9"/>
    <w:rsid w:val="001C0DDB"/>
    <w:rsid w:val="001F4AE7"/>
    <w:rsid w:val="00227EE5"/>
    <w:rsid w:val="0032772B"/>
    <w:rsid w:val="00394A51"/>
    <w:rsid w:val="00457EFB"/>
    <w:rsid w:val="00471E69"/>
    <w:rsid w:val="00476B38"/>
    <w:rsid w:val="004A4EA8"/>
    <w:rsid w:val="0053251A"/>
    <w:rsid w:val="00540DAA"/>
    <w:rsid w:val="00571026"/>
    <w:rsid w:val="0063302B"/>
    <w:rsid w:val="0064173B"/>
    <w:rsid w:val="006454ED"/>
    <w:rsid w:val="00661A82"/>
    <w:rsid w:val="0073640D"/>
    <w:rsid w:val="00773263"/>
    <w:rsid w:val="00773D2C"/>
    <w:rsid w:val="007C0DE2"/>
    <w:rsid w:val="007E0549"/>
    <w:rsid w:val="008228A8"/>
    <w:rsid w:val="008A4A3A"/>
    <w:rsid w:val="008B2584"/>
    <w:rsid w:val="008B638B"/>
    <w:rsid w:val="008D4469"/>
    <w:rsid w:val="008F49C9"/>
    <w:rsid w:val="00904F58"/>
    <w:rsid w:val="0099241E"/>
    <w:rsid w:val="00A0737B"/>
    <w:rsid w:val="00A4745B"/>
    <w:rsid w:val="00AD67FE"/>
    <w:rsid w:val="00B24263"/>
    <w:rsid w:val="00B26D44"/>
    <w:rsid w:val="00B66014"/>
    <w:rsid w:val="00B85780"/>
    <w:rsid w:val="00BC5401"/>
    <w:rsid w:val="00BF1019"/>
    <w:rsid w:val="00C300E0"/>
    <w:rsid w:val="00C44809"/>
    <w:rsid w:val="00C56AAE"/>
    <w:rsid w:val="00C74F37"/>
    <w:rsid w:val="00C86CFE"/>
    <w:rsid w:val="00C91648"/>
    <w:rsid w:val="00CB6378"/>
    <w:rsid w:val="00CC07DA"/>
    <w:rsid w:val="00CF15BB"/>
    <w:rsid w:val="00D20D78"/>
    <w:rsid w:val="00D853DD"/>
    <w:rsid w:val="00D8799B"/>
    <w:rsid w:val="00DE4745"/>
    <w:rsid w:val="00DE61AA"/>
    <w:rsid w:val="00E2536A"/>
    <w:rsid w:val="00E43D5F"/>
    <w:rsid w:val="00E61F93"/>
    <w:rsid w:val="00F13A66"/>
    <w:rsid w:val="00F465CE"/>
    <w:rsid w:val="00F7171F"/>
    <w:rsid w:val="00FC6896"/>
    <w:rsid w:val="00FE6182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381B96"/>
  <w15:chartTrackingRefBased/>
  <w15:docId w15:val="{AA49F4F9-3C1A-CD41-A09B-FC9A01A1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1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71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71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71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71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71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71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71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71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71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71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7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7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7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71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71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7171F"/>
    <w:rPr>
      <w:b/>
      <w:bCs/>
      <w:smallCaps/>
      <w:color w:val="0F4761" w:themeColor="accent1" w:themeShade="BF"/>
      <w:spacing w:val="5"/>
    </w:rPr>
  </w:style>
  <w:style w:type="character" w:customStyle="1" w:styleId="tgt">
    <w:name w:val="tgt"/>
    <w:basedOn w:val="a0"/>
    <w:rsid w:val="00F71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</dc:creator>
  <cp:keywords/>
  <dc:description/>
  <cp:lastModifiedBy>O365</cp:lastModifiedBy>
  <cp:revision>1</cp:revision>
  <dcterms:created xsi:type="dcterms:W3CDTF">2024-01-24T05:52:00Z</dcterms:created>
  <dcterms:modified xsi:type="dcterms:W3CDTF">2024-01-24T05:55:00Z</dcterms:modified>
</cp:coreProperties>
</file>