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6E5A0" w14:textId="77777777" w:rsidR="00B90A6E" w:rsidRDefault="00B90A6E" w:rsidP="00B90A6E">
      <w:pPr>
        <w:pStyle w:val="Default"/>
        <w:jc w:val="center"/>
        <w:rPr>
          <w:rFonts w:asciiTheme="minorHAnsi" w:hAnsiTheme="minorHAnsi" w:cstheme="minorHAnsi"/>
          <w:sz w:val="28"/>
          <w:szCs w:val="28"/>
        </w:rPr>
      </w:pPr>
      <w:r>
        <w:rPr>
          <w:rFonts w:asciiTheme="minorHAnsi" w:hAnsiTheme="minorHAnsi" w:cstheme="minorHAnsi"/>
          <w:b/>
          <w:bCs/>
          <w:sz w:val="28"/>
          <w:szCs w:val="28"/>
        </w:rPr>
        <w:t>Supplementary Material 2:</w:t>
      </w:r>
    </w:p>
    <w:p w14:paraId="17441873" w14:textId="77777777" w:rsidR="00B90A6E" w:rsidRDefault="00B90A6E" w:rsidP="00B90A6E">
      <w:pPr>
        <w:pStyle w:val="Default"/>
        <w:jc w:val="center"/>
        <w:rPr>
          <w:rFonts w:asciiTheme="minorHAnsi" w:hAnsiTheme="minorHAnsi" w:cstheme="minorHAnsi"/>
          <w:b/>
          <w:bCs/>
          <w:sz w:val="28"/>
          <w:szCs w:val="28"/>
        </w:rPr>
      </w:pPr>
    </w:p>
    <w:p w14:paraId="2A6AA7C7" w14:textId="77777777" w:rsidR="00B90A6E" w:rsidRDefault="00B90A6E" w:rsidP="00B90A6E">
      <w:pPr>
        <w:pStyle w:val="Default"/>
        <w:jc w:val="center"/>
        <w:rPr>
          <w:rFonts w:asciiTheme="minorHAnsi" w:hAnsiTheme="minorHAnsi" w:cstheme="minorHAnsi"/>
          <w:sz w:val="28"/>
          <w:szCs w:val="28"/>
        </w:rPr>
      </w:pPr>
      <w:r>
        <w:rPr>
          <w:rFonts w:asciiTheme="minorHAnsi" w:hAnsiTheme="minorHAnsi" w:cstheme="minorHAnsi"/>
          <w:b/>
          <w:bCs/>
          <w:sz w:val="28"/>
          <w:szCs w:val="28"/>
        </w:rPr>
        <w:t>Policy targets and justification for risk register scoring</w:t>
      </w:r>
    </w:p>
    <w:p w14:paraId="58B35961" w14:textId="77777777" w:rsidR="00B90A6E" w:rsidRDefault="00B90A6E" w:rsidP="00B90A6E">
      <w:pPr>
        <w:jc w:val="center"/>
        <w:rPr>
          <w:rFonts w:cstheme="minorHAnsi"/>
        </w:rPr>
      </w:pPr>
    </w:p>
    <w:p w14:paraId="7378C124" w14:textId="59573ED2" w:rsidR="00B90A6E" w:rsidRDefault="00B90A6E" w:rsidP="00B90A6E">
      <w:pPr>
        <w:rPr>
          <w:rFonts w:cstheme="minorHAnsi"/>
        </w:rPr>
      </w:pPr>
      <w:r>
        <w:rPr>
          <w:rFonts w:cstheme="minorHAnsi"/>
        </w:rPr>
        <w:t>We set out here the policy targets (Table 1) and the assessment against these relating to the 1</w:t>
      </w:r>
      <w:r w:rsidR="00CF3086">
        <w:rPr>
          <w:rFonts w:cstheme="minorHAnsi"/>
        </w:rPr>
        <w:t>2</w:t>
      </w:r>
      <w:r w:rsidR="00756452">
        <w:rPr>
          <w:rFonts w:cstheme="minorHAnsi"/>
        </w:rPr>
        <w:t>0</w:t>
      </w:r>
      <w:r>
        <w:rPr>
          <w:rFonts w:cstheme="minorHAnsi"/>
        </w:rPr>
        <w:t xml:space="preserve"> asset benefit relationships, where there is a moderate to high link between the extent, condition or spatial configuration of the habitat assets and the flow of benefits (Table 3). The </w:t>
      </w:r>
      <w:r>
        <w:t>Extent, Condition or Spatial Configuration</w:t>
      </w:r>
      <w:r>
        <w:rPr>
          <w:rFonts w:cstheme="minorHAnsi"/>
        </w:rPr>
        <w:t xml:space="preserve"> status and trend of the seagrass assets are assessed in relation to a defined policy target (Table 1). </w:t>
      </w:r>
    </w:p>
    <w:p w14:paraId="7A967949" w14:textId="0503BAB2" w:rsidR="00B90A6E" w:rsidRDefault="00B90A6E" w:rsidP="00B90A6E">
      <w:pPr>
        <w:rPr>
          <w:rFonts w:cstheme="minorHAnsi"/>
          <w:highlight w:val="yellow"/>
        </w:rPr>
      </w:pPr>
      <w:r>
        <w:rPr>
          <w:rFonts w:cstheme="minorHAnsi"/>
        </w:rPr>
        <w:t>Table 2 below explains how the following asset and risk register can be read, following Mace et al., (2015). Using the evidence from Supplementary Material 1</w:t>
      </w:r>
      <w:r>
        <w:rPr>
          <w:rFonts w:cstheme="minorHAnsi"/>
          <w:color w:val="FF0000"/>
        </w:rPr>
        <w:t xml:space="preserve"> </w:t>
      </w:r>
      <w:r>
        <w:rPr>
          <w:rFonts w:cstheme="minorHAnsi"/>
          <w:color w:val="000000" w:themeColor="text1"/>
        </w:rPr>
        <w:t>the status and trend in data were assessed. The R (Red), Amber (A), Green (G) score is based on assessment (led by GH and verified by the wider team and project Steering Group) of the asset status in relation to the policy target and the trend over time.</w:t>
      </w:r>
      <w:r>
        <w:rPr>
          <w:rFonts w:cstheme="minorHAnsi"/>
        </w:rPr>
        <w:t xml:space="preserve"> Each RAG rating was assessed for the strength of evidence and agreement between data input sources on a scale of 1-4 for both status and trend. The overall confidence score is the sum of confidence scores for status and trend. Mace </w:t>
      </w:r>
      <w:r>
        <w:rPr>
          <w:rFonts w:cstheme="minorHAnsi"/>
          <w:i/>
        </w:rPr>
        <w:t>et al</w:t>
      </w:r>
      <w:r>
        <w:rPr>
          <w:rFonts w:cstheme="minorHAnsi"/>
        </w:rPr>
        <w:t>. (2015) presented total scores &lt;4 as high confidence (low uncertainty), and scores of &gt;5 as low confidence in the evidence, and so high uncertainty. In this study we have applied a precautionary approach and clarified this scoring with total scores of between 1 to 3 regarded as high confidence in the RAG rating (low uncertainty) and total scores of ≥4 regarded as low confidence in the RAG rating (high uncertainty).</w:t>
      </w:r>
    </w:p>
    <w:p w14:paraId="4B08CBCC" w14:textId="0C16D4F7" w:rsidR="00B90A6E" w:rsidRDefault="00B90A6E">
      <w:pPr>
        <w:spacing w:line="259" w:lineRule="auto"/>
      </w:pPr>
      <w:r>
        <w:br w:type="page"/>
      </w:r>
    </w:p>
    <w:p w14:paraId="28BBA909" w14:textId="79FD7ED8" w:rsidR="001741D3" w:rsidRDefault="001741D3" w:rsidP="008D30E2">
      <w:pPr>
        <w:pStyle w:val="Caption"/>
        <w:keepNext/>
      </w:pPr>
      <w:r>
        <w:lastRenderedPageBreak/>
        <w:t xml:space="preserve">Table </w:t>
      </w:r>
      <w:r w:rsidR="00942838">
        <w:fldChar w:fldCharType="begin"/>
      </w:r>
      <w:r w:rsidR="00942838">
        <w:instrText xml:space="preserve"> SEQ Table \* ARABIC </w:instrText>
      </w:r>
      <w:r w:rsidR="00942838">
        <w:fldChar w:fldCharType="separate"/>
      </w:r>
      <w:r w:rsidR="00781EC5">
        <w:rPr>
          <w:noProof/>
        </w:rPr>
        <w:t>1</w:t>
      </w:r>
      <w:r w:rsidR="00942838">
        <w:rPr>
          <w:noProof/>
        </w:rPr>
        <w:fldChar w:fldCharType="end"/>
      </w:r>
      <w:r w:rsidR="0058278A">
        <w:t xml:space="preserve">: </w:t>
      </w:r>
      <w:r w:rsidR="00B45370" w:rsidRPr="005672A6">
        <w:t xml:space="preserve">Summarised policy targets for </w:t>
      </w:r>
      <w:r w:rsidR="00B45370">
        <w:t>seagrass habitat</w:t>
      </w:r>
      <w:r w:rsidR="00B45370" w:rsidRPr="005672A6">
        <w:t xml:space="preserve"> assets across national (UK) and international policies</w:t>
      </w:r>
    </w:p>
    <w:tbl>
      <w:tblPr>
        <w:tblStyle w:val="TableGrid"/>
        <w:tblW w:w="14442" w:type="dxa"/>
        <w:tblLook w:val="04A0" w:firstRow="1" w:lastRow="0" w:firstColumn="1" w:lastColumn="0" w:noHBand="0" w:noVBand="1"/>
      </w:tblPr>
      <w:tblGrid>
        <w:gridCol w:w="2498"/>
        <w:gridCol w:w="2277"/>
        <w:gridCol w:w="2506"/>
        <w:gridCol w:w="7161"/>
      </w:tblGrid>
      <w:tr w:rsidR="00B90A6E" w:rsidRPr="008358B0" w14:paraId="46205539" w14:textId="77777777" w:rsidTr="00D537A0">
        <w:trPr>
          <w:trHeight w:val="518"/>
        </w:trPr>
        <w:tc>
          <w:tcPr>
            <w:tcW w:w="2498" w:type="dxa"/>
          </w:tcPr>
          <w:p w14:paraId="56736FFD" w14:textId="77777777" w:rsidR="00B90A6E" w:rsidRPr="008358B0" w:rsidRDefault="00B90A6E" w:rsidP="000D494D">
            <w:pPr>
              <w:rPr>
                <w:sz w:val="18"/>
                <w:szCs w:val="18"/>
              </w:rPr>
            </w:pPr>
            <w:r w:rsidRPr="008358B0">
              <w:rPr>
                <w:sz w:val="18"/>
                <w:szCs w:val="18"/>
              </w:rPr>
              <w:t xml:space="preserve">Seagrass Asset Status </w:t>
            </w:r>
          </w:p>
        </w:tc>
        <w:tc>
          <w:tcPr>
            <w:tcW w:w="2277" w:type="dxa"/>
          </w:tcPr>
          <w:p w14:paraId="259C1F85" w14:textId="77777777" w:rsidR="00B90A6E" w:rsidRPr="008358B0" w:rsidRDefault="00B90A6E" w:rsidP="000D494D">
            <w:pPr>
              <w:rPr>
                <w:sz w:val="18"/>
                <w:szCs w:val="18"/>
              </w:rPr>
            </w:pPr>
            <w:r w:rsidRPr="008358B0">
              <w:rPr>
                <w:sz w:val="18"/>
                <w:szCs w:val="18"/>
              </w:rPr>
              <w:t xml:space="preserve">Indicator </w:t>
            </w:r>
          </w:p>
        </w:tc>
        <w:tc>
          <w:tcPr>
            <w:tcW w:w="2506" w:type="dxa"/>
          </w:tcPr>
          <w:p w14:paraId="7171E64A" w14:textId="77777777" w:rsidR="00B90A6E" w:rsidRPr="008358B0" w:rsidRDefault="00B90A6E" w:rsidP="000D494D">
            <w:pPr>
              <w:rPr>
                <w:sz w:val="18"/>
                <w:szCs w:val="18"/>
              </w:rPr>
            </w:pPr>
            <w:r w:rsidRPr="008358B0">
              <w:rPr>
                <w:sz w:val="18"/>
                <w:szCs w:val="18"/>
              </w:rPr>
              <w:t xml:space="preserve">Policy </w:t>
            </w:r>
          </w:p>
        </w:tc>
        <w:tc>
          <w:tcPr>
            <w:tcW w:w="7161" w:type="dxa"/>
          </w:tcPr>
          <w:p w14:paraId="399C8ED5" w14:textId="77777777" w:rsidR="00B90A6E" w:rsidRPr="008358B0" w:rsidRDefault="00B90A6E" w:rsidP="000D494D">
            <w:pPr>
              <w:rPr>
                <w:sz w:val="18"/>
                <w:szCs w:val="18"/>
              </w:rPr>
            </w:pPr>
            <w:r w:rsidRPr="008358B0">
              <w:rPr>
                <w:sz w:val="18"/>
                <w:szCs w:val="18"/>
              </w:rPr>
              <w:t xml:space="preserve">Target </w:t>
            </w:r>
          </w:p>
        </w:tc>
      </w:tr>
      <w:tr w:rsidR="00B90A6E" w:rsidRPr="008358B0" w14:paraId="24689F56" w14:textId="77777777" w:rsidTr="00D537A0">
        <w:trPr>
          <w:trHeight w:val="533"/>
        </w:trPr>
        <w:tc>
          <w:tcPr>
            <w:tcW w:w="2498" w:type="dxa"/>
            <w:vMerge w:val="restart"/>
          </w:tcPr>
          <w:p w14:paraId="61724F5C" w14:textId="77777777" w:rsidR="00B90A6E" w:rsidRPr="008358B0" w:rsidRDefault="00B90A6E" w:rsidP="000D494D">
            <w:pPr>
              <w:rPr>
                <w:sz w:val="18"/>
                <w:szCs w:val="18"/>
              </w:rPr>
            </w:pPr>
            <w:r w:rsidRPr="008358B0">
              <w:rPr>
                <w:sz w:val="18"/>
                <w:szCs w:val="18"/>
              </w:rPr>
              <w:t>Extent</w:t>
            </w:r>
          </w:p>
        </w:tc>
        <w:tc>
          <w:tcPr>
            <w:tcW w:w="2277" w:type="dxa"/>
            <w:vMerge w:val="restart"/>
          </w:tcPr>
          <w:p w14:paraId="795B6C96" w14:textId="77777777" w:rsidR="00B90A6E" w:rsidRPr="008358B0" w:rsidRDefault="00B90A6E" w:rsidP="000D494D">
            <w:pPr>
              <w:rPr>
                <w:sz w:val="18"/>
                <w:szCs w:val="18"/>
              </w:rPr>
            </w:pPr>
            <w:r w:rsidRPr="008358B0">
              <w:rPr>
                <w:sz w:val="18"/>
                <w:szCs w:val="18"/>
              </w:rPr>
              <w:t>Area of habitat (km</w:t>
            </w:r>
            <w:r w:rsidRPr="00D537A0">
              <w:rPr>
                <w:sz w:val="18"/>
                <w:szCs w:val="18"/>
                <w:vertAlign w:val="superscript"/>
              </w:rPr>
              <w:t>2</w:t>
            </w:r>
            <w:r w:rsidRPr="008358B0">
              <w:rPr>
                <w:sz w:val="18"/>
                <w:szCs w:val="18"/>
              </w:rPr>
              <w:t>)</w:t>
            </w:r>
          </w:p>
        </w:tc>
        <w:tc>
          <w:tcPr>
            <w:tcW w:w="2506" w:type="dxa"/>
          </w:tcPr>
          <w:p w14:paraId="4361B379" w14:textId="77777777" w:rsidR="00B90A6E" w:rsidRPr="008358B0" w:rsidRDefault="00B90A6E" w:rsidP="000D494D">
            <w:pPr>
              <w:rPr>
                <w:sz w:val="18"/>
                <w:szCs w:val="18"/>
              </w:rPr>
            </w:pPr>
            <w:r w:rsidRPr="008358B0">
              <w:rPr>
                <w:sz w:val="18"/>
                <w:szCs w:val="18"/>
              </w:rPr>
              <w:t>CBD Aichi 11; SDG 14</w:t>
            </w:r>
          </w:p>
        </w:tc>
        <w:tc>
          <w:tcPr>
            <w:tcW w:w="7161" w:type="dxa"/>
          </w:tcPr>
          <w:p w14:paraId="162F01E6" w14:textId="77777777" w:rsidR="00B90A6E" w:rsidRPr="008358B0" w:rsidRDefault="00B90A6E" w:rsidP="000D494D">
            <w:pPr>
              <w:rPr>
                <w:sz w:val="18"/>
                <w:szCs w:val="18"/>
              </w:rPr>
            </w:pPr>
            <w:r w:rsidRPr="008358B0">
              <w:rPr>
                <w:sz w:val="18"/>
                <w:szCs w:val="18"/>
              </w:rPr>
              <w:t>10% of habitat extent within MPA</w:t>
            </w:r>
          </w:p>
        </w:tc>
      </w:tr>
      <w:tr w:rsidR="00B90A6E" w:rsidRPr="008358B0" w14:paraId="3C4AE86F" w14:textId="77777777" w:rsidTr="00D537A0">
        <w:trPr>
          <w:trHeight w:val="4810"/>
        </w:trPr>
        <w:tc>
          <w:tcPr>
            <w:tcW w:w="2498" w:type="dxa"/>
            <w:vMerge/>
          </w:tcPr>
          <w:p w14:paraId="5CB5645B" w14:textId="77777777" w:rsidR="00B90A6E" w:rsidRPr="008358B0" w:rsidRDefault="00B90A6E" w:rsidP="000D494D">
            <w:pPr>
              <w:rPr>
                <w:sz w:val="18"/>
                <w:szCs w:val="18"/>
              </w:rPr>
            </w:pPr>
          </w:p>
        </w:tc>
        <w:tc>
          <w:tcPr>
            <w:tcW w:w="2277" w:type="dxa"/>
            <w:vMerge/>
          </w:tcPr>
          <w:p w14:paraId="35D7E727" w14:textId="77777777" w:rsidR="00B90A6E" w:rsidRPr="008358B0" w:rsidRDefault="00B90A6E" w:rsidP="000D494D">
            <w:pPr>
              <w:rPr>
                <w:sz w:val="18"/>
                <w:szCs w:val="18"/>
              </w:rPr>
            </w:pPr>
          </w:p>
        </w:tc>
        <w:tc>
          <w:tcPr>
            <w:tcW w:w="2506" w:type="dxa"/>
          </w:tcPr>
          <w:p w14:paraId="36CB92D1" w14:textId="77777777" w:rsidR="00B90A6E" w:rsidRDefault="00B90A6E" w:rsidP="000D494D">
            <w:pPr>
              <w:rPr>
                <w:sz w:val="18"/>
                <w:szCs w:val="18"/>
              </w:rPr>
            </w:pPr>
            <w:r w:rsidRPr="008358B0">
              <w:rPr>
                <w:sz w:val="18"/>
                <w:szCs w:val="18"/>
              </w:rPr>
              <w:t>Marine Strategy Framework Directive (MSFD) Descriptor 1</w:t>
            </w:r>
          </w:p>
          <w:p w14:paraId="3ACC38FD" w14:textId="77777777" w:rsidR="00B90A6E" w:rsidRDefault="00B90A6E" w:rsidP="000D494D">
            <w:pPr>
              <w:rPr>
                <w:sz w:val="18"/>
                <w:szCs w:val="18"/>
              </w:rPr>
            </w:pPr>
          </w:p>
          <w:p w14:paraId="47B30C50" w14:textId="77777777" w:rsidR="00B90A6E" w:rsidRPr="00686EDE" w:rsidRDefault="00B90A6E" w:rsidP="000D494D">
            <w:pPr>
              <w:rPr>
                <w:sz w:val="18"/>
                <w:szCs w:val="18"/>
              </w:rPr>
            </w:pPr>
          </w:p>
        </w:tc>
        <w:tc>
          <w:tcPr>
            <w:tcW w:w="7161" w:type="dxa"/>
          </w:tcPr>
          <w:p w14:paraId="3AEC4110" w14:textId="77777777" w:rsidR="00B90A6E" w:rsidRPr="008358B0" w:rsidRDefault="00B90A6E" w:rsidP="000D494D">
            <w:pPr>
              <w:rPr>
                <w:sz w:val="18"/>
                <w:szCs w:val="18"/>
              </w:rPr>
            </w:pPr>
            <w:r w:rsidRPr="008358B0">
              <w:rPr>
                <w:sz w:val="18"/>
                <w:szCs w:val="18"/>
              </w:rPr>
              <w:t>Target for all soft substratum habitats (where extent of the habitat is less than 50% of the assessed region).</w:t>
            </w:r>
            <w:r w:rsidRPr="000327C5">
              <w:rPr>
                <w:b/>
                <w:bCs/>
                <w:sz w:val="18"/>
                <w:szCs w:val="18"/>
              </w:rPr>
              <w:t xml:space="preserve"> Inside MPAs:</w:t>
            </w:r>
            <w:r w:rsidRPr="008358B0">
              <w:rPr>
                <w:sz w:val="18"/>
                <w:szCs w:val="18"/>
              </w:rPr>
              <w:t xml:space="preserve"> extent is stable or increasing (&gt;95% conservation objective 'maintain'. </w:t>
            </w:r>
            <w:r w:rsidRPr="000327C5">
              <w:rPr>
                <w:b/>
                <w:bCs/>
                <w:sz w:val="18"/>
                <w:szCs w:val="18"/>
              </w:rPr>
              <w:t>Outside MPAs:</w:t>
            </w:r>
            <w:r w:rsidRPr="007C664B">
              <w:rPr>
                <w:b/>
                <w:bCs/>
                <w:sz w:val="18"/>
                <w:szCs w:val="18"/>
              </w:rPr>
              <w:t xml:space="preserve"> </w:t>
            </w:r>
            <w:r w:rsidRPr="008358B0">
              <w:rPr>
                <w:sz w:val="18"/>
                <w:szCs w:val="18"/>
              </w:rPr>
              <w:t>area of habitat lost + area of habitat below GES (in condition recover or impacted by unacceptable impact (</w:t>
            </w:r>
            <w:proofErr w:type="spellStart"/>
            <w:r>
              <w:rPr>
                <w:bCs/>
                <w:i/>
                <w:sz w:val="18"/>
                <w:szCs w:val="18"/>
              </w:rPr>
              <w:t>UoP</w:t>
            </w:r>
            <w:proofErr w:type="spellEnd"/>
            <w:r>
              <w:rPr>
                <w:bCs/>
                <w:i/>
                <w:sz w:val="18"/>
                <w:szCs w:val="18"/>
              </w:rPr>
              <w:t xml:space="preserve"> interpretation </w:t>
            </w:r>
            <w:r w:rsidRPr="008358B0">
              <w:rPr>
                <w:sz w:val="18"/>
                <w:szCs w:val="18"/>
              </w:rPr>
              <w:t>LRC 3 or below) ≤ 10% for entire assessed area.</w:t>
            </w:r>
          </w:p>
          <w:p w14:paraId="1488E126" w14:textId="77777777" w:rsidR="00B90A6E" w:rsidRPr="008358B0" w:rsidRDefault="00B90A6E" w:rsidP="000D494D">
            <w:pPr>
              <w:rPr>
                <w:sz w:val="18"/>
                <w:szCs w:val="18"/>
              </w:rPr>
            </w:pPr>
          </w:p>
          <w:p w14:paraId="62323C94" w14:textId="77777777" w:rsidR="00B90A6E" w:rsidRPr="008358B0" w:rsidRDefault="00B90A6E" w:rsidP="000D494D">
            <w:pPr>
              <w:rPr>
                <w:sz w:val="18"/>
                <w:szCs w:val="18"/>
              </w:rPr>
            </w:pPr>
            <w:r w:rsidRPr="008358B0">
              <w:rPr>
                <w:sz w:val="18"/>
                <w:szCs w:val="18"/>
              </w:rPr>
              <w:t>Target for all soft substratum habitats (where extent of the habitat is above 50% of all assessed area</w:t>
            </w:r>
            <w:r>
              <w:rPr>
                <w:sz w:val="18"/>
                <w:szCs w:val="18"/>
              </w:rPr>
              <w:t>).</w:t>
            </w:r>
            <w:r w:rsidRPr="000327C5">
              <w:rPr>
                <w:b/>
                <w:bCs/>
                <w:sz w:val="18"/>
                <w:szCs w:val="18"/>
              </w:rPr>
              <w:t xml:space="preserve"> Inside MPAs:</w:t>
            </w:r>
            <w:r w:rsidRPr="008358B0">
              <w:rPr>
                <w:sz w:val="18"/>
                <w:szCs w:val="18"/>
              </w:rPr>
              <w:t xml:space="preserve"> extent is stable or increasing (&gt;95% conservation objective 'maintain'). </w:t>
            </w:r>
            <w:r w:rsidRPr="000327C5">
              <w:rPr>
                <w:b/>
                <w:bCs/>
                <w:sz w:val="18"/>
                <w:szCs w:val="18"/>
              </w:rPr>
              <w:t>Outside MPAs:</w:t>
            </w:r>
            <w:r w:rsidRPr="008358B0">
              <w:rPr>
                <w:sz w:val="18"/>
                <w:szCs w:val="18"/>
              </w:rPr>
              <w:t xml:space="preserve"> area of habitat lost + area of habitat below GES (in condition recover or impacted by unacceptable impact </w:t>
            </w:r>
            <w:proofErr w:type="spellStart"/>
            <w:r>
              <w:rPr>
                <w:bCs/>
                <w:i/>
                <w:sz w:val="18"/>
                <w:szCs w:val="18"/>
              </w:rPr>
              <w:t>UoP</w:t>
            </w:r>
            <w:proofErr w:type="spellEnd"/>
            <w:r>
              <w:rPr>
                <w:bCs/>
                <w:i/>
                <w:sz w:val="18"/>
                <w:szCs w:val="18"/>
              </w:rPr>
              <w:t xml:space="preserve"> interpretation </w:t>
            </w:r>
            <w:r w:rsidRPr="008358B0">
              <w:rPr>
                <w:sz w:val="18"/>
                <w:szCs w:val="18"/>
              </w:rPr>
              <w:t>(LRC 3 or below) ≤ 15% for entire assessed area.</w:t>
            </w:r>
          </w:p>
        </w:tc>
      </w:tr>
      <w:tr w:rsidR="00B90A6E" w:rsidRPr="008358B0" w14:paraId="269FFBE2" w14:textId="77777777" w:rsidTr="00D537A0">
        <w:trPr>
          <w:trHeight w:val="1115"/>
        </w:trPr>
        <w:tc>
          <w:tcPr>
            <w:tcW w:w="2498" w:type="dxa"/>
            <w:vMerge/>
          </w:tcPr>
          <w:p w14:paraId="20C3CF08" w14:textId="77777777" w:rsidR="00B90A6E" w:rsidRPr="008358B0" w:rsidRDefault="00B90A6E" w:rsidP="000D494D">
            <w:pPr>
              <w:rPr>
                <w:sz w:val="18"/>
                <w:szCs w:val="18"/>
              </w:rPr>
            </w:pPr>
          </w:p>
        </w:tc>
        <w:tc>
          <w:tcPr>
            <w:tcW w:w="2277" w:type="dxa"/>
            <w:vMerge/>
          </w:tcPr>
          <w:p w14:paraId="12EA1E2E" w14:textId="77777777" w:rsidR="00B90A6E" w:rsidRPr="008358B0" w:rsidRDefault="00B90A6E" w:rsidP="000D494D">
            <w:pPr>
              <w:rPr>
                <w:sz w:val="18"/>
                <w:szCs w:val="18"/>
              </w:rPr>
            </w:pPr>
          </w:p>
        </w:tc>
        <w:tc>
          <w:tcPr>
            <w:tcW w:w="2506" w:type="dxa"/>
          </w:tcPr>
          <w:p w14:paraId="3A948DFF" w14:textId="77777777" w:rsidR="00B90A6E" w:rsidRPr="008358B0" w:rsidRDefault="00B90A6E" w:rsidP="000D494D">
            <w:pPr>
              <w:rPr>
                <w:sz w:val="18"/>
                <w:szCs w:val="18"/>
              </w:rPr>
            </w:pPr>
            <w:r>
              <w:rPr>
                <w:sz w:val="18"/>
                <w:szCs w:val="18"/>
              </w:rPr>
              <w:t xml:space="preserve">UK Marine Strategy </w:t>
            </w:r>
          </w:p>
        </w:tc>
        <w:tc>
          <w:tcPr>
            <w:tcW w:w="7161" w:type="dxa"/>
          </w:tcPr>
          <w:p w14:paraId="70184DD2" w14:textId="77777777" w:rsidR="00B90A6E" w:rsidRPr="00A93AE1" w:rsidRDefault="00B90A6E" w:rsidP="000D494D">
            <w:pPr>
              <w:rPr>
                <w:bCs/>
                <w:sz w:val="18"/>
                <w:szCs w:val="18"/>
              </w:rPr>
            </w:pPr>
            <w:r w:rsidRPr="00A93AE1">
              <w:rPr>
                <w:bCs/>
                <w:sz w:val="18"/>
                <w:szCs w:val="18"/>
              </w:rPr>
              <w:t xml:space="preserve">Habitat extent shows no loss of extent from previous assessment. </w:t>
            </w:r>
          </w:p>
          <w:p w14:paraId="6F6E577D" w14:textId="77777777" w:rsidR="00B90A6E" w:rsidRPr="00A93AE1" w:rsidRDefault="00B90A6E" w:rsidP="000D494D">
            <w:pPr>
              <w:rPr>
                <w:bCs/>
                <w:sz w:val="18"/>
                <w:szCs w:val="18"/>
              </w:rPr>
            </w:pPr>
          </w:p>
          <w:p w14:paraId="771F4D51" w14:textId="77777777" w:rsidR="00B90A6E" w:rsidRPr="00A93AE1" w:rsidRDefault="00B90A6E" w:rsidP="000D494D">
            <w:pPr>
              <w:rPr>
                <w:bCs/>
                <w:sz w:val="18"/>
                <w:szCs w:val="18"/>
              </w:rPr>
            </w:pPr>
            <w:proofErr w:type="spellStart"/>
            <w:r>
              <w:rPr>
                <w:bCs/>
                <w:i/>
                <w:sz w:val="18"/>
                <w:szCs w:val="18"/>
              </w:rPr>
              <w:t>UoP</w:t>
            </w:r>
            <w:proofErr w:type="spellEnd"/>
            <w:r>
              <w:rPr>
                <w:bCs/>
                <w:i/>
                <w:sz w:val="18"/>
                <w:szCs w:val="18"/>
              </w:rPr>
              <w:t xml:space="preserve"> interpretation </w:t>
            </w:r>
            <w:r w:rsidRPr="00A93AE1">
              <w:rPr>
                <w:bCs/>
                <w:i/>
                <w:sz w:val="18"/>
                <w:szCs w:val="18"/>
              </w:rPr>
              <w:t>Qualitative threshold:</w:t>
            </w:r>
            <w:r w:rsidRPr="00A93AE1">
              <w:rPr>
                <w:bCs/>
                <w:sz w:val="18"/>
                <w:szCs w:val="18"/>
              </w:rPr>
              <w:t xml:space="preserve"> Area in LRC of moderate or below is less than 5% of total habitat extent.</w:t>
            </w:r>
          </w:p>
          <w:p w14:paraId="06E626D2" w14:textId="77777777" w:rsidR="00B90A6E" w:rsidRPr="00A93AE1" w:rsidRDefault="00B90A6E" w:rsidP="000D494D">
            <w:pPr>
              <w:rPr>
                <w:bCs/>
                <w:sz w:val="18"/>
                <w:szCs w:val="18"/>
              </w:rPr>
            </w:pPr>
          </w:p>
          <w:p w14:paraId="466C0CA6" w14:textId="77777777" w:rsidR="00B90A6E" w:rsidRPr="00A93AE1" w:rsidRDefault="00B90A6E" w:rsidP="000D494D">
            <w:pPr>
              <w:rPr>
                <w:bCs/>
                <w:sz w:val="18"/>
                <w:szCs w:val="18"/>
              </w:rPr>
            </w:pPr>
            <w:r w:rsidRPr="00A93AE1">
              <w:rPr>
                <w:bCs/>
                <w:i/>
                <w:sz w:val="18"/>
                <w:szCs w:val="18"/>
              </w:rPr>
              <w:t xml:space="preserve">Quantitative threshold: </w:t>
            </w:r>
            <w:r w:rsidRPr="00A93AE1">
              <w:rPr>
                <w:bCs/>
                <w:sz w:val="18"/>
                <w:szCs w:val="18"/>
              </w:rPr>
              <w:t>Area assessed in condition assessments to be in unfavourable condition is less than 5% of total habitat extent.</w:t>
            </w:r>
          </w:p>
          <w:p w14:paraId="3A2E0549" w14:textId="77777777" w:rsidR="00B90A6E" w:rsidRPr="00A93AE1" w:rsidRDefault="00B90A6E" w:rsidP="000D494D">
            <w:pPr>
              <w:rPr>
                <w:bCs/>
                <w:sz w:val="18"/>
                <w:szCs w:val="18"/>
              </w:rPr>
            </w:pPr>
          </w:p>
          <w:p w14:paraId="128D9837" w14:textId="347656FC" w:rsidR="00B90A6E" w:rsidRPr="00A93AE1" w:rsidRDefault="00B90A6E" w:rsidP="000D494D">
            <w:pPr>
              <w:rPr>
                <w:bCs/>
                <w:sz w:val="18"/>
                <w:szCs w:val="18"/>
              </w:rPr>
            </w:pPr>
            <w:proofErr w:type="spellStart"/>
            <w:r>
              <w:rPr>
                <w:bCs/>
                <w:i/>
                <w:sz w:val="18"/>
                <w:szCs w:val="18"/>
              </w:rPr>
              <w:t>UoP</w:t>
            </w:r>
            <w:proofErr w:type="spellEnd"/>
            <w:r>
              <w:rPr>
                <w:bCs/>
                <w:i/>
                <w:sz w:val="18"/>
                <w:szCs w:val="18"/>
              </w:rPr>
              <w:t xml:space="preserve"> interpretation </w:t>
            </w:r>
            <w:r w:rsidRPr="00A93AE1">
              <w:rPr>
                <w:bCs/>
                <w:sz w:val="18"/>
                <w:szCs w:val="18"/>
              </w:rPr>
              <w:t xml:space="preserve">Area </w:t>
            </w:r>
            <w:r w:rsidR="008507EF">
              <w:rPr>
                <w:bCs/>
                <w:sz w:val="18"/>
                <w:szCs w:val="18"/>
              </w:rPr>
              <w:t>with</w:t>
            </w:r>
            <w:r w:rsidR="008507EF" w:rsidRPr="00A93AE1">
              <w:rPr>
                <w:bCs/>
                <w:sz w:val="18"/>
                <w:szCs w:val="18"/>
              </w:rPr>
              <w:t xml:space="preserve"> </w:t>
            </w:r>
            <w:r w:rsidRPr="00A93AE1">
              <w:rPr>
                <w:bCs/>
                <w:sz w:val="18"/>
                <w:szCs w:val="18"/>
              </w:rPr>
              <w:t>LRC of moderate or below is less than 5% of total habitat extent.</w:t>
            </w:r>
          </w:p>
          <w:p w14:paraId="5D152F86" w14:textId="77777777" w:rsidR="00B90A6E" w:rsidRDefault="00B90A6E" w:rsidP="000D494D">
            <w:pPr>
              <w:rPr>
                <w:b/>
                <w:sz w:val="18"/>
                <w:szCs w:val="18"/>
              </w:rPr>
            </w:pPr>
          </w:p>
          <w:p w14:paraId="10CD14B4" w14:textId="77777777" w:rsidR="00B90A6E" w:rsidRPr="008358B0" w:rsidRDefault="00B90A6E" w:rsidP="000D494D">
            <w:pPr>
              <w:rPr>
                <w:sz w:val="18"/>
                <w:szCs w:val="18"/>
              </w:rPr>
            </w:pPr>
          </w:p>
        </w:tc>
      </w:tr>
      <w:tr w:rsidR="00B90A6E" w:rsidRPr="008358B0" w14:paraId="1D6644A2" w14:textId="77777777" w:rsidTr="00D537A0">
        <w:trPr>
          <w:trHeight w:val="1375"/>
        </w:trPr>
        <w:tc>
          <w:tcPr>
            <w:tcW w:w="2498" w:type="dxa"/>
            <w:vMerge w:val="restart"/>
          </w:tcPr>
          <w:p w14:paraId="628ED34F" w14:textId="77777777" w:rsidR="00B90A6E" w:rsidRPr="008358B0" w:rsidRDefault="00B90A6E" w:rsidP="000D494D">
            <w:pPr>
              <w:rPr>
                <w:sz w:val="18"/>
                <w:szCs w:val="18"/>
              </w:rPr>
            </w:pPr>
            <w:r w:rsidRPr="008358B0">
              <w:rPr>
                <w:sz w:val="18"/>
                <w:szCs w:val="18"/>
              </w:rPr>
              <w:lastRenderedPageBreak/>
              <w:t xml:space="preserve">Condition </w:t>
            </w:r>
          </w:p>
        </w:tc>
        <w:tc>
          <w:tcPr>
            <w:tcW w:w="2277" w:type="dxa"/>
          </w:tcPr>
          <w:p w14:paraId="1C4D5F1C" w14:textId="77777777" w:rsidR="00B90A6E" w:rsidRDefault="00B90A6E" w:rsidP="000D494D">
            <w:pPr>
              <w:rPr>
                <w:sz w:val="18"/>
                <w:szCs w:val="18"/>
              </w:rPr>
            </w:pPr>
            <w:r w:rsidRPr="008358B0">
              <w:rPr>
                <w:sz w:val="18"/>
                <w:szCs w:val="18"/>
              </w:rPr>
              <w:t>Area of each habitat within MPAs with conservation objective to be maintain or</w:t>
            </w:r>
            <w:r>
              <w:rPr>
                <w:sz w:val="18"/>
                <w:szCs w:val="18"/>
              </w:rPr>
              <w:t xml:space="preserve"> restore</w:t>
            </w:r>
          </w:p>
          <w:p w14:paraId="5F466DBE" w14:textId="77777777" w:rsidR="00B90A6E" w:rsidRPr="008358B0" w:rsidRDefault="00B90A6E" w:rsidP="000D494D">
            <w:pPr>
              <w:rPr>
                <w:sz w:val="18"/>
                <w:szCs w:val="18"/>
              </w:rPr>
            </w:pPr>
          </w:p>
        </w:tc>
        <w:tc>
          <w:tcPr>
            <w:tcW w:w="2506" w:type="dxa"/>
            <w:vMerge w:val="restart"/>
          </w:tcPr>
          <w:p w14:paraId="2BECF12F" w14:textId="77777777" w:rsidR="00B90A6E" w:rsidRPr="008358B0" w:rsidRDefault="00B90A6E" w:rsidP="000D494D">
            <w:pPr>
              <w:rPr>
                <w:sz w:val="18"/>
                <w:szCs w:val="18"/>
              </w:rPr>
            </w:pPr>
            <w:r w:rsidRPr="008358B0">
              <w:rPr>
                <w:sz w:val="18"/>
                <w:szCs w:val="18"/>
              </w:rPr>
              <w:t>MSFD Descriptor 6</w:t>
            </w:r>
          </w:p>
        </w:tc>
        <w:tc>
          <w:tcPr>
            <w:tcW w:w="7161" w:type="dxa"/>
            <w:vMerge w:val="restart"/>
          </w:tcPr>
          <w:p w14:paraId="3BED65C7" w14:textId="77777777" w:rsidR="00B90A6E" w:rsidRPr="008358B0" w:rsidRDefault="00B90A6E" w:rsidP="000D494D">
            <w:pPr>
              <w:rPr>
                <w:sz w:val="18"/>
                <w:szCs w:val="18"/>
              </w:rPr>
            </w:pPr>
            <w:r w:rsidRPr="008358B0">
              <w:rPr>
                <w:sz w:val="18"/>
                <w:szCs w:val="18"/>
              </w:rPr>
              <w:t xml:space="preserve">Pressure based target: extent affected by human disturbance should be minimised, and physical loss is minimised and where possible reversed (Defra, 2019): </w:t>
            </w:r>
            <w:r w:rsidRPr="000327C5">
              <w:rPr>
                <w:b/>
                <w:bCs/>
                <w:sz w:val="18"/>
                <w:szCs w:val="18"/>
              </w:rPr>
              <w:t>Inside MPAs:</w:t>
            </w:r>
            <w:r w:rsidRPr="008358B0">
              <w:rPr>
                <w:sz w:val="18"/>
                <w:szCs w:val="18"/>
              </w:rPr>
              <w:t xml:space="preserve"> ≥95% of extent to be in favourable condition. </w:t>
            </w:r>
            <w:proofErr w:type="spellStart"/>
            <w:r w:rsidRPr="008358B0">
              <w:rPr>
                <w:sz w:val="18"/>
                <w:szCs w:val="18"/>
              </w:rPr>
              <w:t>i</w:t>
            </w:r>
            <w:proofErr w:type="spellEnd"/>
            <w:r w:rsidRPr="008358B0">
              <w:rPr>
                <w:sz w:val="18"/>
                <w:szCs w:val="18"/>
              </w:rPr>
              <w:t xml:space="preserve">) presence and spatial distribution of biological communities’ representative of the feature are maintained. ii) presence and abundance of key structural and influential species are maintained (≥95% of extent to have conservation objective ‘maintain’). </w:t>
            </w:r>
            <w:r w:rsidRPr="000327C5">
              <w:rPr>
                <w:b/>
                <w:bCs/>
                <w:sz w:val="18"/>
                <w:szCs w:val="18"/>
              </w:rPr>
              <w:t>Outside MPAs:</w:t>
            </w:r>
            <w:r w:rsidRPr="008358B0">
              <w:rPr>
                <w:sz w:val="18"/>
                <w:szCs w:val="18"/>
              </w:rPr>
              <w:t xml:space="preserve"> as for ‘extent’.</w:t>
            </w:r>
          </w:p>
        </w:tc>
      </w:tr>
      <w:tr w:rsidR="00B90A6E" w:rsidRPr="008358B0" w14:paraId="128E82DC" w14:textId="77777777" w:rsidTr="00D537A0">
        <w:trPr>
          <w:trHeight w:val="1255"/>
        </w:trPr>
        <w:tc>
          <w:tcPr>
            <w:tcW w:w="2498" w:type="dxa"/>
            <w:vMerge/>
          </w:tcPr>
          <w:p w14:paraId="7763BD4F" w14:textId="77777777" w:rsidR="00B90A6E" w:rsidRPr="008358B0" w:rsidRDefault="00B90A6E" w:rsidP="000D494D">
            <w:pPr>
              <w:rPr>
                <w:sz w:val="18"/>
                <w:szCs w:val="18"/>
              </w:rPr>
            </w:pPr>
          </w:p>
        </w:tc>
        <w:tc>
          <w:tcPr>
            <w:tcW w:w="2277" w:type="dxa"/>
          </w:tcPr>
          <w:p w14:paraId="48628452" w14:textId="77777777" w:rsidR="00B90A6E" w:rsidRPr="008358B0" w:rsidRDefault="00B90A6E" w:rsidP="000D494D">
            <w:pPr>
              <w:rPr>
                <w:sz w:val="18"/>
                <w:szCs w:val="18"/>
              </w:rPr>
            </w:pPr>
            <w:r w:rsidRPr="008358B0">
              <w:rPr>
                <w:sz w:val="18"/>
                <w:szCs w:val="18"/>
              </w:rPr>
              <w:t>Area of each habitat outside MPAs with a modelled LRC of 3≥</w:t>
            </w:r>
          </w:p>
        </w:tc>
        <w:tc>
          <w:tcPr>
            <w:tcW w:w="2506" w:type="dxa"/>
            <w:vMerge/>
          </w:tcPr>
          <w:p w14:paraId="067B2B1D" w14:textId="77777777" w:rsidR="00B90A6E" w:rsidRPr="008358B0" w:rsidRDefault="00B90A6E" w:rsidP="000D494D">
            <w:pPr>
              <w:rPr>
                <w:sz w:val="18"/>
                <w:szCs w:val="18"/>
              </w:rPr>
            </w:pPr>
          </w:p>
        </w:tc>
        <w:tc>
          <w:tcPr>
            <w:tcW w:w="7161" w:type="dxa"/>
            <w:vMerge/>
          </w:tcPr>
          <w:p w14:paraId="3E31AB89" w14:textId="77777777" w:rsidR="00B90A6E" w:rsidRPr="008358B0" w:rsidRDefault="00B90A6E" w:rsidP="000D494D">
            <w:pPr>
              <w:rPr>
                <w:sz w:val="18"/>
                <w:szCs w:val="18"/>
              </w:rPr>
            </w:pPr>
          </w:p>
        </w:tc>
      </w:tr>
      <w:tr w:rsidR="00B90A6E" w:rsidRPr="008358B0" w14:paraId="51F6FFCF" w14:textId="77777777" w:rsidTr="00D537A0">
        <w:trPr>
          <w:trHeight w:val="1255"/>
        </w:trPr>
        <w:tc>
          <w:tcPr>
            <w:tcW w:w="2498" w:type="dxa"/>
            <w:vMerge/>
            <w:vAlign w:val="bottom"/>
          </w:tcPr>
          <w:p w14:paraId="003EEE78" w14:textId="77777777" w:rsidR="00B90A6E" w:rsidRPr="008358B0" w:rsidRDefault="00B90A6E" w:rsidP="000D494D">
            <w:pPr>
              <w:jc w:val="center"/>
              <w:rPr>
                <w:sz w:val="18"/>
                <w:szCs w:val="18"/>
              </w:rPr>
            </w:pPr>
          </w:p>
        </w:tc>
        <w:tc>
          <w:tcPr>
            <w:tcW w:w="2277" w:type="dxa"/>
          </w:tcPr>
          <w:p w14:paraId="094F1C15" w14:textId="77777777" w:rsidR="00B90A6E" w:rsidRPr="008358B0" w:rsidRDefault="00B90A6E" w:rsidP="000D494D">
            <w:pPr>
              <w:rPr>
                <w:sz w:val="18"/>
                <w:szCs w:val="18"/>
              </w:rPr>
            </w:pPr>
            <w:r w:rsidRPr="00471ECF">
              <w:rPr>
                <w:sz w:val="18"/>
                <w:szCs w:val="18"/>
              </w:rPr>
              <w:t>Area of adversely impacted habitat (km</w:t>
            </w:r>
            <w:r w:rsidRPr="008507EF">
              <w:rPr>
                <w:sz w:val="18"/>
                <w:szCs w:val="18"/>
                <w:vertAlign w:val="superscript"/>
              </w:rPr>
              <w:t>2</w:t>
            </w:r>
            <w:r w:rsidRPr="00471ECF">
              <w:rPr>
                <w:sz w:val="18"/>
                <w:szCs w:val="18"/>
              </w:rPr>
              <w:t>)</w:t>
            </w:r>
          </w:p>
        </w:tc>
        <w:tc>
          <w:tcPr>
            <w:tcW w:w="2506" w:type="dxa"/>
          </w:tcPr>
          <w:p w14:paraId="3AF504BB" w14:textId="77777777" w:rsidR="00B90A6E" w:rsidRPr="008358B0" w:rsidRDefault="00B90A6E" w:rsidP="000D494D">
            <w:pPr>
              <w:rPr>
                <w:sz w:val="18"/>
                <w:szCs w:val="18"/>
              </w:rPr>
            </w:pPr>
            <w:r>
              <w:rPr>
                <w:sz w:val="18"/>
                <w:szCs w:val="18"/>
              </w:rPr>
              <w:t>UK Marine Strategy</w:t>
            </w:r>
          </w:p>
        </w:tc>
        <w:tc>
          <w:tcPr>
            <w:tcW w:w="7161" w:type="dxa"/>
          </w:tcPr>
          <w:p w14:paraId="64C35D81" w14:textId="77777777" w:rsidR="00B90A6E" w:rsidRPr="00E905C7" w:rsidRDefault="00B90A6E" w:rsidP="000D494D">
            <w:pPr>
              <w:rPr>
                <w:bCs/>
                <w:sz w:val="18"/>
                <w:szCs w:val="18"/>
              </w:rPr>
            </w:pPr>
            <w:r w:rsidRPr="00E905C7">
              <w:rPr>
                <w:bCs/>
                <w:i/>
                <w:sz w:val="18"/>
                <w:szCs w:val="18"/>
              </w:rPr>
              <w:t xml:space="preserve">Listed habitats: </w:t>
            </w:r>
            <w:r w:rsidRPr="00E905C7">
              <w:rPr>
                <w:bCs/>
                <w:sz w:val="18"/>
                <w:szCs w:val="18"/>
              </w:rPr>
              <w:t>Area assessed in condition assessments to be in favourable condition with less than 5% unfavourable.</w:t>
            </w:r>
          </w:p>
          <w:p w14:paraId="35E6F7C7" w14:textId="77777777" w:rsidR="00B90A6E" w:rsidRPr="00E905C7" w:rsidRDefault="00B90A6E" w:rsidP="000D494D">
            <w:pPr>
              <w:rPr>
                <w:bCs/>
                <w:sz w:val="18"/>
                <w:szCs w:val="18"/>
              </w:rPr>
            </w:pPr>
          </w:p>
          <w:p w14:paraId="78BC65EE" w14:textId="77777777" w:rsidR="00B90A6E" w:rsidRPr="00E905C7" w:rsidRDefault="00B90A6E" w:rsidP="000D494D">
            <w:pPr>
              <w:rPr>
                <w:bCs/>
                <w:sz w:val="18"/>
                <w:szCs w:val="18"/>
              </w:rPr>
            </w:pPr>
            <w:r w:rsidRPr="00E905C7">
              <w:rPr>
                <w:bCs/>
                <w:sz w:val="18"/>
                <w:szCs w:val="18"/>
              </w:rPr>
              <w:t xml:space="preserve">If proportion of extent assessed as unfavourable in previous assessment, then this proportion to have decreased. </w:t>
            </w:r>
          </w:p>
          <w:p w14:paraId="6E9F5717" w14:textId="77777777" w:rsidR="00B90A6E" w:rsidRDefault="00B90A6E" w:rsidP="000D494D">
            <w:pPr>
              <w:rPr>
                <w:bCs/>
                <w:sz w:val="18"/>
                <w:szCs w:val="18"/>
              </w:rPr>
            </w:pPr>
          </w:p>
          <w:p w14:paraId="71DD0277" w14:textId="77777777" w:rsidR="00B90A6E" w:rsidRPr="00E905C7" w:rsidRDefault="00B90A6E" w:rsidP="000D494D">
            <w:pPr>
              <w:rPr>
                <w:bCs/>
                <w:sz w:val="18"/>
                <w:szCs w:val="18"/>
              </w:rPr>
            </w:pPr>
            <w:proofErr w:type="spellStart"/>
            <w:r>
              <w:rPr>
                <w:bCs/>
                <w:sz w:val="18"/>
                <w:szCs w:val="18"/>
              </w:rPr>
              <w:t>UoP</w:t>
            </w:r>
            <w:proofErr w:type="spellEnd"/>
            <w:r>
              <w:rPr>
                <w:bCs/>
                <w:sz w:val="18"/>
                <w:szCs w:val="18"/>
              </w:rPr>
              <w:t xml:space="preserve"> interpretation</w:t>
            </w:r>
          </w:p>
          <w:p w14:paraId="46B48BD6" w14:textId="77777777" w:rsidR="00B90A6E" w:rsidRPr="00E905C7" w:rsidRDefault="00B90A6E" w:rsidP="000D494D">
            <w:pPr>
              <w:rPr>
                <w:bCs/>
                <w:sz w:val="18"/>
                <w:szCs w:val="18"/>
              </w:rPr>
            </w:pPr>
            <w:r w:rsidRPr="00E905C7">
              <w:rPr>
                <w:bCs/>
                <w:sz w:val="18"/>
                <w:szCs w:val="18"/>
              </w:rPr>
              <w:t>Area in LRC of moderate or below is less than 5% of total habitat extent.</w:t>
            </w:r>
          </w:p>
          <w:p w14:paraId="17656D48" w14:textId="77777777" w:rsidR="00B90A6E" w:rsidRPr="00E905C7" w:rsidRDefault="00B90A6E" w:rsidP="000D494D">
            <w:pPr>
              <w:rPr>
                <w:bCs/>
                <w:sz w:val="18"/>
                <w:szCs w:val="18"/>
              </w:rPr>
            </w:pPr>
          </w:p>
          <w:p w14:paraId="291E2326" w14:textId="77777777" w:rsidR="00B90A6E" w:rsidRPr="00E905C7" w:rsidRDefault="00B90A6E" w:rsidP="000D494D">
            <w:pPr>
              <w:rPr>
                <w:bCs/>
                <w:sz w:val="18"/>
                <w:szCs w:val="18"/>
              </w:rPr>
            </w:pPr>
            <w:r w:rsidRPr="00E905C7">
              <w:rPr>
                <w:bCs/>
                <w:sz w:val="18"/>
                <w:szCs w:val="18"/>
              </w:rPr>
              <w:t>Area in LRC of moderate or below to have reduced since last assessment.</w:t>
            </w:r>
          </w:p>
          <w:p w14:paraId="043720EE" w14:textId="77777777" w:rsidR="00B90A6E" w:rsidRPr="008358B0" w:rsidRDefault="00B90A6E" w:rsidP="000D494D">
            <w:pPr>
              <w:rPr>
                <w:sz w:val="18"/>
                <w:szCs w:val="18"/>
              </w:rPr>
            </w:pPr>
          </w:p>
        </w:tc>
      </w:tr>
      <w:tr w:rsidR="00B90A6E" w:rsidRPr="008358B0" w14:paraId="70B1CD65" w14:textId="77777777" w:rsidTr="00D537A0">
        <w:trPr>
          <w:trHeight w:val="1788"/>
        </w:trPr>
        <w:tc>
          <w:tcPr>
            <w:tcW w:w="2498" w:type="dxa"/>
          </w:tcPr>
          <w:p w14:paraId="0BC08EA1" w14:textId="77777777" w:rsidR="00B90A6E" w:rsidRPr="008358B0" w:rsidRDefault="00B90A6E" w:rsidP="000D494D">
            <w:pPr>
              <w:rPr>
                <w:sz w:val="18"/>
                <w:szCs w:val="18"/>
              </w:rPr>
            </w:pPr>
            <w:r>
              <w:rPr>
                <w:sz w:val="18"/>
                <w:szCs w:val="18"/>
              </w:rPr>
              <w:t>Condition</w:t>
            </w:r>
          </w:p>
        </w:tc>
        <w:tc>
          <w:tcPr>
            <w:tcW w:w="2277" w:type="dxa"/>
          </w:tcPr>
          <w:p w14:paraId="752C7593" w14:textId="77777777" w:rsidR="00B90A6E" w:rsidRPr="009402DF" w:rsidRDefault="00B90A6E" w:rsidP="000D494D">
            <w:pPr>
              <w:rPr>
                <w:color w:val="FF0000"/>
                <w:sz w:val="18"/>
                <w:szCs w:val="18"/>
              </w:rPr>
            </w:pPr>
            <w:r w:rsidRPr="00B2233F">
              <w:rPr>
                <w:sz w:val="18"/>
                <w:szCs w:val="18"/>
              </w:rPr>
              <w:t>Area of adversely impacted habitat (km</w:t>
            </w:r>
            <w:r w:rsidRPr="00B2233F">
              <w:rPr>
                <w:sz w:val="18"/>
                <w:szCs w:val="18"/>
                <w:vertAlign w:val="superscript"/>
              </w:rPr>
              <w:t>2</w:t>
            </w:r>
            <w:r w:rsidRPr="00B2233F">
              <w:rPr>
                <w:sz w:val="18"/>
                <w:szCs w:val="18"/>
              </w:rPr>
              <w:t>)</w:t>
            </w:r>
          </w:p>
        </w:tc>
        <w:tc>
          <w:tcPr>
            <w:tcW w:w="2506" w:type="dxa"/>
          </w:tcPr>
          <w:p w14:paraId="45A7865B" w14:textId="77777777" w:rsidR="00B90A6E" w:rsidRDefault="00B90A6E" w:rsidP="000D494D">
            <w:pPr>
              <w:rPr>
                <w:sz w:val="18"/>
                <w:szCs w:val="18"/>
              </w:rPr>
            </w:pPr>
            <w:r>
              <w:rPr>
                <w:sz w:val="18"/>
                <w:szCs w:val="18"/>
              </w:rPr>
              <w:t>Water Framework Directive</w:t>
            </w:r>
          </w:p>
        </w:tc>
        <w:tc>
          <w:tcPr>
            <w:tcW w:w="7161" w:type="dxa"/>
          </w:tcPr>
          <w:p w14:paraId="46DA37EF" w14:textId="77777777" w:rsidR="00B90A6E" w:rsidRDefault="00B90A6E" w:rsidP="000D494D">
            <w:pPr>
              <w:rPr>
                <w:bCs/>
                <w:i/>
                <w:sz w:val="18"/>
                <w:szCs w:val="18"/>
              </w:rPr>
            </w:pPr>
            <w:r w:rsidRPr="00925042">
              <w:rPr>
                <w:bCs/>
                <w:i/>
                <w:sz w:val="18"/>
                <w:szCs w:val="18"/>
              </w:rPr>
              <w:t>WFD Ecological Quality Ratios for seagrass within WFD boundaries.</w:t>
            </w:r>
          </w:p>
          <w:p w14:paraId="3CA0B4B9" w14:textId="77777777" w:rsidR="00B90A6E" w:rsidRDefault="00B90A6E" w:rsidP="000D494D">
            <w:pPr>
              <w:rPr>
                <w:bCs/>
                <w:i/>
                <w:sz w:val="18"/>
                <w:szCs w:val="18"/>
              </w:rPr>
            </w:pPr>
          </w:p>
          <w:p w14:paraId="7C42026F" w14:textId="77777777" w:rsidR="00B90A6E" w:rsidRPr="00C4437B" w:rsidRDefault="00B90A6E" w:rsidP="000D494D">
            <w:pPr>
              <w:rPr>
                <w:bCs/>
                <w:sz w:val="18"/>
                <w:szCs w:val="18"/>
              </w:rPr>
            </w:pPr>
            <w:r w:rsidRPr="00C4437B">
              <w:rPr>
                <w:bCs/>
                <w:sz w:val="18"/>
                <w:szCs w:val="18"/>
              </w:rPr>
              <w:t xml:space="preserve">Water body ecological, </w:t>
            </w:r>
            <w:proofErr w:type="gramStart"/>
            <w:r w:rsidRPr="00C4437B">
              <w:rPr>
                <w:bCs/>
                <w:sz w:val="18"/>
                <w:szCs w:val="18"/>
              </w:rPr>
              <w:t>chemical</w:t>
            </w:r>
            <w:proofErr w:type="gramEnd"/>
            <w:r w:rsidRPr="00C4437B">
              <w:rPr>
                <w:bCs/>
                <w:sz w:val="18"/>
                <w:szCs w:val="18"/>
              </w:rPr>
              <w:t xml:space="preserve"> and overall condition to be good or better.</w:t>
            </w:r>
          </w:p>
          <w:p w14:paraId="0B644561" w14:textId="77777777" w:rsidR="00B90A6E" w:rsidRPr="00C4437B" w:rsidRDefault="00B90A6E" w:rsidP="000D494D">
            <w:pPr>
              <w:rPr>
                <w:bCs/>
                <w:sz w:val="18"/>
                <w:szCs w:val="18"/>
              </w:rPr>
            </w:pPr>
          </w:p>
          <w:p w14:paraId="20C640D4" w14:textId="77777777" w:rsidR="00B90A6E" w:rsidRPr="00E905C7" w:rsidRDefault="00B90A6E" w:rsidP="000D494D">
            <w:pPr>
              <w:rPr>
                <w:bCs/>
                <w:i/>
                <w:sz w:val="18"/>
                <w:szCs w:val="18"/>
              </w:rPr>
            </w:pPr>
            <w:r w:rsidRPr="00C4437B">
              <w:rPr>
                <w:bCs/>
                <w:sz w:val="18"/>
                <w:szCs w:val="18"/>
              </w:rPr>
              <w:t>DO and DIN levels to meet WFD targets in water body data.</w:t>
            </w:r>
          </w:p>
        </w:tc>
      </w:tr>
      <w:tr w:rsidR="00B90A6E" w:rsidRPr="008358B0" w14:paraId="71D08E93" w14:textId="77777777" w:rsidTr="00B90A6E">
        <w:trPr>
          <w:trHeight w:val="558"/>
        </w:trPr>
        <w:tc>
          <w:tcPr>
            <w:tcW w:w="2498" w:type="dxa"/>
          </w:tcPr>
          <w:p w14:paraId="7021875C" w14:textId="77777777" w:rsidR="00B90A6E" w:rsidRPr="008358B0" w:rsidRDefault="00B90A6E" w:rsidP="000D494D">
            <w:pPr>
              <w:rPr>
                <w:sz w:val="18"/>
                <w:szCs w:val="18"/>
              </w:rPr>
            </w:pPr>
            <w:r w:rsidRPr="008358B0">
              <w:rPr>
                <w:sz w:val="18"/>
                <w:szCs w:val="18"/>
              </w:rPr>
              <w:t>Spatial Configuration</w:t>
            </w:r>
          </w:p>
        </w:tc>
        <w:tc>
          <w:tcPr>
            <w:tcW w:w="11944" w:type="dxa"/>
            <w:gridSpan w:val="3"/>
          </w:tcPr>
          <w:p w14:paraId="5152D55F" w14:textId="77777777" w:rsidR="00B90A6E" w:rsidRPr="008358B0" w:rsidRDefault="00B90A6E" w:rsidP="000D494D">
            <w:pPr>
              <w:rPr>
                <w:sz w:val="18"/>
                <w:szCs w:val="18"/>
              </w:rPr>
            </w:pPr>
            <w:r w:rsidRPr="000327C5">
              <w:rPr>
                <w:b/>
                <w:bCs/>
                <w:sz w:val="18"/>
                <w:szCs w:val="18"/>
              </w:rPr>
              <w:t>Inside MPA</w:t>
            </w:r>
            <w:r>
              <w:rPr>
                <w:b/>
                <w:bCs/>
                <w:sz w:val="18"/>
                <w:szCs w:val="18"/>
              </w:rPr>
              <w:t>s</w:t>
            </w:r>
            <w:r w:rsidRPr="008358B0">
              <w:rPr>
                <w:sz w:val="18"/>
                <w:szCs w:val="18"/>
              </w:rPr>
              <w:t xml:space="preserve"> and </w:t>
            </w:r>
            <w:r w:rsidRPr="000327C5">
              <w:rPr>
                <w:b/>
                <w:bCs/>
                <w:sz w:val="18"/>
                <w:szCs w:val="18"/>
              </w:rPr>
              <w:t>Outside MPAs</w:t>
            </w:r>
            <w:r w:rsidRPr="008358B0">
              <w:rPr>
                <w:sz w:val="18"/>
                <w:szCs w:val="18"/>
              </w:rPr>
              <w:t xml:space="preserve"> were assessed as for ‘extent’. Unless specific conservation objectives contained</w:t>
            </w:r>
          </w:p>
        </w:tc>
      </w:tr>
    </w:tbl>
    <w:p w14:paraId="62F4BE0D" w14:textId="77777777" w:rsidR="00256632" w:rsidRDefault="00256632"/>
    <w:p w14:paraId="0B0562D2" w14:textId="77777777" w:rsidR="008E7806" w:rsidRDefault="008E7806"/>
    <w:p w14:paraId="47D27A60" w14:textId="77777777" w:rsidR="008E7806" w:rsidRDefault="008E7806"/>
    <w:p w14:paraId="1247E1FE" w14:textId="0AEB3E36" w:rsidR="00CE7E36" w:rsidRDefault="00CE7E36" w:rsidP="008D30E2">
      <w:pPr>
        <w:pStyle w:val="Caption"/>
        <w:keepNext/>
      </w:pPr>
      <w:r>
        <w:lastRenderedPageBreak/>
        <w:t xml:space="preserve">Table </w:t>
      </w:r>
      <w:r w:rsidR="00942838">
        <w:fldChar w:fldCharType="begin"/>
      </w:r>
      <w:r w:rsidR="00942838">
        <w:instrText xml:space="preserve"> SEQ Table \* ARABIC </w:instrText>
      </w:r>
      <w:r w:rsidR="00942838">
        <w:fldChar w:fldCharType="separate"/>
      </w:r>
      <w:r w:rsidR="00781EC5">
        <w:rPr>
          <w:noProof/>
        </w:rPr>
        <w:t>2</w:t>
      </w:r>
      <w:r w:rsidR="00942838">
        <w:rPr>
          <w:noProof/>
        </w:rPr>
        <w:fldChar w:fldCharType="end"/>
      </w:r>
      <w:r>
        <w:t xml:space="preserve">: Template for Asset and Risk Register. </w:t>
      </w:r>
    </w:p>
    <w:tbl>
      <w:tblPr>
        <w:tblStyle w:val="TableGrid"/>
        <w:tblpPr w:leftFromText="180" w:rightFromText="180" w:vertAnchor="page" w:horzAnchor="margin" w:tblpXSpec="center" w:tblpY="1963"/>
        <w:tblW w:w="14319" w:type="dxa"/>
        <w:tblLook w:val="04A0" w:firstRow="1" w:lastRow="0" w:firstColumn="1" w:lastColumn="0" w:noHBand="0" w:noVBand="1"/>
      </w:tblPr>
      <w:tblGrid>
        <w:gridCol w:w="1978"/>
        <w:gridCol w:w="2150"/>
        <w:gridCol w:w="2325"/>
        <w:gridCol w:w="2012"/>
        <w:gridCol w:w="1965"/>
        <w:gridCol w:w="1956"/>
        <w:gridCol w:w="1933"/>
      </w:tblGrid>
      <w:tr w:rsidR="008E7806" w:rsidRPr="001D0511" w14:paraId="13A208E9" w14:textId="77777777" w:rsidTr="000D494D">
        <w:trPr>
          <w:trHeight w:val="314"/>
        </w:trPr>
        <w:tc>
          <w:tcPr>
            <w:tcW w:w="1978" w:type="dxa"/>
          </w:tcPr>
          <w:p w14:paraId="068EF323" w14:textId="77777777" w:rsidR="008E7806" w:rsidRPr="001D0511" w:rsidRDefault="008E7806" w:rsidP="000D494D">
            <w:pPr>
              <w:rPr>
                <w:sz w:val="18"/>
                <w:szCs w:val="18"/>
              </w:rPr>
            </w:pPr>
            <w:r w:rsidRPr="001D0511">
              <w:rPr>
                <w:sz w:val="18"/>
                <w:szCs w:val="18"/>
              </w:rPr>
              <w:t>Habitat / Species Asset</w:t>
            </w:r>
          </w:p>
        </w:tc>
        <w:tc>
          <w:tcPr>
            <w:tcW w:w="2150" w:type="dxa"/>
          </w:tcPr>
          <w:p w14:paraId="3512463B" w14:textId="77777777" w:rsidR="008E7806" w:rsidRPr="001D0511" w:rsidRDefault="008E7806" w:rsidP="000D494D">
            <w:pPr>
              <w:rPr>
                <w:sz w:val="18"/>
                <w:szCs w:val="18"/>
              </w:rPr>
            </w:pPr>
            <w:r w:rsidRPr="001D0511">
              <w:rPr>
                <w:sz w:val="18"/>
                <w:szCs w:val="18"/>
              </w:rPr>
              <w:t>Benefit</w:t>
            </w:r>
          </w:p>
        </w:tc>
        <w:tc>
          <w:tcPr>
            <w:tcW w:w="2325" w:type="dxa"/>
          </w:tcPr>
          <w:p w14:paraId="191D07F9" w14:textId="77777777" w:rsidR="008E7806" w:rsidRPr="001D0511" w:rsidRDefault="008E7806" w:rsidP="000D494D">
            <w:pPr>
              <w:rPr>
                <w:sz w:val="18"/>
                <w:szCs w:val="18"/>
              </w:rPr>
            </w:pPr>
            <w:r w:rsidRPr="001D0511">
              <w:rPr>
                <w:sz w:val="18"/>
                <w:szCs w:val="18"/>
              </w:rPr>
              <w:t>Characteristic</w:t>
            </w:r>
          </w:p>
        </w:tc>
        <w:tc>
          <w:tcPr>
            <w:tcW w:w="2012" w:type="dxa"/>
          </w:tcPr>
          <w:p w14:paraId="09C79A53" w14:textId="77777777" w:rsidR="008E7806" w:rsidRPr="001D0511" w:rsidRDefault="008E7806" w:rsidP="000D494D">
            <w:pPr>
              <w:rPr>
                <w:sz w:val="18"/>
                <w:szCs w:val="18"/>
              </w:rPr>
            </w:pPr>
            <w:r w:rsidRPr="001D0511">
              <w:rPr>
                <w:sz w:val="18"/>
                <w:szCs w:val="18"/>
              </w:rPr>
              <w:t>Current Status</w:t>
            </w:r>
          </w:p>
        </w:tc>
        <w:tc>
          <w:tcPr>
            <w:tcW w:w="1965" w:type="dxa"/>
          </w:tcPr>
          <w:p w14:paraId="497824D7" w14:textId="77777777" w:rsidR="008E7806" w:rsidRPr="001D0511" w:rsidRDefault="008E7806" w:rsidP="000D494D">
            <w:pPr>
              <w:rPr>
                <w:sz w:val="18"/>
                <w:szCs w:val="18"/>
              </w:rPr>
            </w:pPr>
            <w:r w:rsidRPr="001D0511">
              <w:rPr>
                <w:sz w:val="18"/>
                <w:szCs w:val="18"/>
              </w:rPr>
              <w:t>Target</w:t>
            </w:r>
          </w:p>
        </w:tc>
        <w:tc>
          <w:tcPr>
            <w:tcW w:w="1956" w:type="dxa"/>
          </w:tcPr>
          <w:p w14:paraId="212A18E9" w14:textId="77777777" w:rsidR="008E7806" w:rsidRPr="001D0511" w:rsidRDefault="008E7806" w:rsidP="000D494D">
            <w:pPr>
              <w:rPr>
                <w:sz w:val="18"/>
                <w:szCs w:val="18"/>
              </w:rPr>
            </w:pPr>
            <w:r w:rsidRPr="001D0511">
              <w:rPr>
                <w:sz w:val="18"/>
                <w:szCs w:val="18"/>
              </w:rPr>
              <w:t>Trend</w:t>
            </w:r>
          </w:p>
        </w:tc>
        <w:tc>
          <w:tcPr>
            <w:tcW w:w="1933" w:type="dxa"/>
          </w:tcPr>
          <w:p w14:paraId="670A5D16" w14:textId="77777777" w:rsidR="008E7806" w:rsidRPr="001D0511" w:rsidRDefault="008E7806" w:rsidP="000D494D">
            <w:pPr>
              <w:rPr>
                <w:sz w:val="18"/>
                <w:szCs w:val="18"/>
              </w:rPr>
            </w:pPr>
            <w:r w:rsidRPr="001D0511">
              <w:rPr>
                <w:sz w:val="18"/>
                <w:szCs w:val="18"/>
              </w:rPr>
              <w:t>RAG (A-C)</w:t>
            </w:r>
          </w:p>
        </w:tc>
      </w:tr>
      <w:tr w:rsidR="008E7806" w:rsidRPr="001D0511" w14:paraId="11818E3D" w14:textId="77777777" w:rsidTr="000D494D">
        <w:trPr>
          <w:trHeight w:val="1019"/>
        </w:trPr>
        <w:tc>
          <w:tcPr>
            <w:tcW w:w="1978" w:type="dxa"/>
            <w:vMerge w:val="restart"/>
          </w:tcPr>
          <w:p w14:paraId="4A3C860C" w14:textId="77777777" w:rsidR="008E7806" w:rsidRPr="001D0511" w:rsidRDefault="008E7806" w:rsidP="000D494D">
            <w:pPr>
              <w:rPr>
                <w:sz w:val="18"/>
                <w:szCs w:val="18"/>
              </w:rPr>
            </w:pPr>
          </w:p>
        </w:tc>
        <w:tc>
          <w:tcPr>
            <w:tcW w:w="2150" w:type="dxa"/>
            <w:vMerge w:val="restart"/>
          </w:tcPr>
          <w:p w14:paraId="0EEF4511" w14:textId="77777777" w:rsidR="008E7806" w:rsidRPr="00A365B4" w:rsidRDefault="008E7806" w:rsidP="000D494D">
            <w:pPr>
              <w:rPr>
                <w:b/>
                <w:bCs/>
                <w:sz w:val="18"/>
                <w:szCs w:val="18"/>
              </w:rPr>
            </w:pPr>
            <w:r w:rsidRPr="00A365B4">
              <w:rPr>
                <w:b/>
                <w:bCs/>
                <w:sz w:val="18"/>
                <w:szCs w:val="18"/>
              </w:rPr>
              <w:t>• Bold text = med to significant contribution.</w:t>
            </w:r>
          </w:p>
          <w:p w14:paraId="0C395454" w14:textId="77777777" w:rsidR="008E7806" w:rsidRPr="001D0511" w:rsidRDefault="008E7806" w:rsidP="000D494D">
            <w:pPr>
              <w:rPr>
                <w:sz w:val="18"/>
                <w:szCs w:val="18"/>
              </w:rPr>
            </w:pPr>
          </w:p>
          <w:p w14:paraId="0E64C202" w14:textId="77777777" w:rsidR="008E7806" w:rsidRPr="001D0511" w:rsidRDefault="008E7806" w:rsidP="000D494D">
            <w:pPr>
              <w:rPr>
                <w:sz w:val="18"/>
                <w:szCs w:val="18"/>
              </w:rPr>
            </w:pPr>
            <w:r w:rsidRPr="001D0511">
              <w:rPr>
                <w:sz w:val="18"/>
                <w:szCs w:val="18"/>
              </w:rPr>
              <w:t>• Light text = low contribution</w:t>
            </w:r>
          </w:p>
        </w:tc>
        <w:tc>
          <w:tcPr>
            <w:tcW w:w="2325" w:type="dxa"/>
            <w:vMerge w:val="restart"/>
          </w:tcPr>
          <w:p w14:paraId="4A736FA3" w14:textId="77777777" w:rsidR="008E7806" w:rsidRPr="001D0511" w:rsidRDefault="008E7806" w:rsidP="000D494D">
            <w:pPr>
              <w:rPr>
                <w:sz w:val="18"/>
                <w:szCs w:val="18"/>
              </w:rPr>
            </w:pPr>
            <w:r w:rsidRPr="001D0511">
              <w:rPr>
                <w:sz w:val="18"/>
                <w:szCs w:val="18"/>
              </w:rPr>
              <w:t>Characteristic of the asset being assessed: Extent, Condition or Spatial Configuration.</w:t>
            </w:r>
          </w:p>
          <w:p w14:paraId="498EA0CC" w14:textId="77777777" w:rsidR="008E7806" w:rsidRPr="001D0511" w:rsidRDefault="008E7806" w:rsidP="000D494D">
            <w:pPr>
              <w:rPr>
                <w:sz w:val="18"/>
                <w:szCs w:val="18"/>
              </w:rPr>
            </w:pPr>
            <w:r w:rsidRPr="001D0511">
              <w:rPr>
                <w:sz w:val="18"/>
                <w:szCs w:val="18"/>
              </w:rPr>
              <w:t>Condition sets out production functions, within underlying natural capital assets. Where available indicators were assessed that can be influenced and are important to provision of ES benefits.</w:t>
            </w:r>
          </w:p>
        </w:tc>
        <w:tc>
          <w:tcPr>
            <w:tcW w:w="2012" w:type="dxa"/>
          </w:tcPr>
          <w:p w14:paraId="7FBB911D" w14:textId="77777777" w:rsidR="008E7806" w:rsidRPr="001D0511" w:rsidRDefault="008E7806" w:rsidP="000D494D">
            <w:pPr>
              <w:rPr>
                <w:sz w:val="18"/>
                <w:szCs w:val="18"/>
              </w:rPr>
            </w:pPr>
            <w:r w:rsidRPr="001D0511">
              <w:rPr>
                <w:sz w:val="18"/>
                <w:szCs w:val="18"/>
              </w:rPr>
              <w:t>What is the status of the relationship relative to a defined target?</w:t>
            </w:r>
          </w:p>
        </w:tc>
        <w:tc>
          <w:tcPr>
            <w:tcW w:w="1965" w:type="dxa"/>
          </w:tcPr>
          <w:p w14:paraId="59BB1206" w14:textId="77777777" w:rsidR="008E7806" w:rsidRPr="001D0511" w:rsidRDefault="008E7806" w:rsidP="000D494D">
            <w:pPr>
              <w:rPr>
                <w:sz w:val="18"/>
                <w:szCs w:val="18"/>
              </w:rPr>
            </w:pPr>
          </w:p>
        </w:tc>
        <w:tc>
          <w:tcPr>
            <w:tcW w:w="1956" w:type="dxa"/>
          </w:tcPr>
          <w:p w14:paraId="78AF6032" w14:textId="77777777" w:rsidR="008E7806" w:rsidRPr="001D0511" w:rsidRDefault="008E7806" w:rsidP="000D494D">
            <w:pPr>
              <w:rPr>
                <w:sz w:val="18"/>
                <w:szCs w:val="18"/>
              </w:rPr>
            </w:pPr>
            <w:r w:rsidRPr="001D0511">
              <w:rPr>
                <w:sz w:val="18"/>
                <w:szCs w:val="18"/>
              </w:rPr>
              <w:t>What is the trend in the relationship?</w:t>
            </w:r>
          </w:p>
        </w:tc>
        <w:tc>
          <w:tcPr>
            <w:tcW w:w="1933" w:type="dxa"/>
            <w:vMerge w:val="restart"/>
          </w:tcPr>
          <w:p w14:paraId="7B0A4D34" w14:textId="77777777" w:rsidR="008E7806" w:rsidRPr="001D0511" w:rsidRDefault="008E7806" w:rsidP="000D494D">
            <w:pPr>
              <w:rPr>
                <w:sz w:val="18"/>
                <w:szCs w:val="18"/>
              </w:rPr>
            </w:pPr>
            <w:r w:rsidRPr="001D0511">
              <w:rPr>
                <w:sz w:val="18"/>
                <w:szCs w:val="18"/>
              </w:rPr>
              <w:t>RAG</w:t>
            </w:r>
          </w:p>
          <w:p w14:paraId="5540CB96" w14:textId="77777777" w:rsidR="008E7806" w:rsidRPr="001D0511" w:rsidRDefault="008E7806" w:rsidP="000D494D">
            <w:pPr>
              <w:rPr>
                <w:sz w:val="18"/>
                <w:szCs w:val="18"/>
              </w:rPr>
            </w:pPr>
            <w:r w:rsidRPr="001D0511">
              <w:rPr>
                <w:sz w:val="18"/>
                <w:szCs w:val="18"/>
              </w:rPr>
              <w:t>(Overall RAG based on status and trend)</w:t>
            </w:r>
          </w:p>
          <w:p w14:paraId="31CF1189" w14:textId="77777777" w:rsidR="008E7806" w:rsidRPr="001D0511" w:rsidRDefault="008E7806" w:rsidP="000D494D">
            <w:pPr>
              <w:rPr>
                <w:sz w:val="18"/>
                <w:szCs w:val="18"/>
              </w:rPr>
            </w:pPr>
            <w:r w:rsidRPr="001D0511">
              <w:rPr>
                <w:sz w:val="18"/>
                <w:szCs w:val="18"/>
              </w:rPr>
              <w:t>Total Uncertainty</w:t>
            </w:r>
          </w:p>
          <w:p w14:paraId="6FE078A7" w14:textId="77777777" w:rsidR="008E7806" w:rsidRPr="001D0511" w:rsidRDefault="008E7806" w:rsidP="000D494D">
            <w:pPr>
              <w:rPr>
                <w:sz w:val="18"/>
                <w:szCs w:val="18"/>
              </w:rPr>
            </w:pPr>
            <w:r w:rsidRPr="001D0511">
              <w:rPr>
                <w:sz w:val="18"/>
                <w:szCs w:val="18"/>
              </w:rPr>
              <w:t>(Summation of Uncertainty)</w:t>
            </w:r>
          </w:p>
        </w:tc>
      </w:tr>
      <w:tr w:rsidR="008E7806" w:rsidRPr="001D0511" w14:paraId="5395D1EC" w14:textId="77777777" w:rsidTr="000D494D">
        <w:trPr>
          <w:trHeight w:val="306"/>
        </w:trPr>
        <w:tc>
          <w:tcPr>
            <w:tcW w:w="1978" w:type="dxa"/>
            <w:vMerge/>
          </w:tcPr>
          <w:p w14:paraId="323A7F78" w14:textId="77777777" w:rsidR="008E7806" w:rsidRPr="001D0511" w:rsidRDefault="008E7806" w:rsidP="000D494D">
            <w:pPr>
              <w:rPr>
                <w:sz w:val="18"/>
                <w:szCs w:val="18"/>
              </w:rPr>
            </w:pPr>
          </w:p>
        </w:tc>
        <w:tc>
          <w:tcPr>
            <w:tcW w:w="2150" w:type="dxa"/>
            <w:vMerge/>
          </w:tcPr>
          <w:p w14:paraId="0938F91C" w14:textId="77777777" w:rsidR="008E7806" w:rsidRPr="001D0511" w:rsidRDefault="008E7806" w:rsidP="000D494D">
            <w:pPr>
              <w:rPr>
                <w:sz w:val="18"/>
                <w:szCs w:val="18"/>
              </w:rPr>
            </w:pPr>
          </w:p>
        </w:tc>
        <w:tc>
          <w:tcPr>
            <w:tcW w:w="2325" w:type="dxa"/>
            <w:vMerge/>
          </w:tcPr>
          <w:p w14:paraId="69B96AD4" w14:textId="77777777" w:rsidR="008E7806" w:rsidRPr="001D0511" w:rsidRDefault="008E7806" w:rsidP="000D494D">
            <w:pPr>
              <w:rPr>
                <w:sz w:val="18"/>
                <w:szCs w:val="18"/>
              </w:rPr>
            </w:pPr>
          </w:p>
        </w:tc>
        <w:tc>
          <w:tcPr>
            <w:tcW w:w="3977" w:type="dxa"/>
            <w:gridSpan w:val="2"/>
          </w:tcPr>
          <w:p w14:paraId="0944480C" w14:textId="77777777" w:rsidR="008E7806" w:rsidRPr="001D0511" w:rsidRDefault="008E7806" w:rsidP="000D494D">
            <w:pPr>
              <w:rPr>
                <w:sz w:val="18"/>
                <w:szCs w:val="18"/>
              </w:rPr>
            </w:pPr>
            <w:r w:rsidRPr="001D0511">
              <w:rPr>
                <w:sz w:val="18"/>
                <w:szCs w:val="18"/>
              </w:rPr>
              <w:t xml:space="preserve">RAG rating for </w:t>
            </w:r>
            <w:r>
              <w:rPr>
                <w:sz w:val="18"/>
                <w:szCs w:val="18"/>
              </w:rPr>
              <w:t>status</w:t>
            </w:r>
          </w:p>
        </w:tc>
        <w:tc>
          <w:tcPr>
            <w:tcW w:w="1956" w:type="dxa"/>
          </w:tcPr>
          <w:p w14:paraId="1B8C9F98" w14:textId="77777777" w:rsidR="008E7806" w:rsidRPr="001D0511" w:rsidRDefault="008E7806" w:rsidP="000D494D">
            <w:pPr>
              <w:rPr>
                <w:sz w:val="18"/>
                <w:szCs w:val="18"/>
              </w:rPr>
            </w:pPr>
            <w:r w:rsidRPr="001D0511">
              <w:rPr>
                <w:sz w:val="18"/>
                <w:szCs w:val="18"/>
              </w:rPr>
              <w:t xml:space="preserve">RAG rating for </w:t>
            </w:r>
            <w:r>
              <w:rPr>
                <w:sz w:val="18"/>
                <w:szCs w:val="18"/>
              </w:rPr>
              <w:t>trend</w:t>
            </w:r>
          </w:p>
        </w:tc>
        <w:tc>
          <w:tcPr>
            <w:tcW w:w="1933" w:type="dxa"/>
            <w:vMerge/>
          </w:tcPr>
          <w:p w14:paraId="7CD35CA3" w14:textId="77777777" w:rsidR="008E7806" w:rsidRPr="001D0511" w:rsidRDefault="008E7806" w:rsidP="000D494D">
            <w:pPr>
              <w:rPr>
                <w:sz w:val="18"/>
                <w:szCs w:val="18"/>
              </w:rPr>
            </w:pPr>
          </w:p>
        </w:tc>
      </w:tr>
      <w:tr w:rsidR="008E7806" w:rsidRPr="001D0511" w14:paraId="74CB1BF8" w14:textId="77777777" w:rsidTr="00D537A0">
        <w:trPr>
          <w:trHeight w:val="884"/>
        </w:trPr>
        <w:tc>
          <w:tcPr>
            <w:tcW w:w="1978" w:type="dxa"/>
            <w:vMerge/>
          </w:tcPr>
          <w:p w14:paraId="35A33C8D" w14:textId="77777777" w:rsidR="008E7806" w:rsidRPr="001D0511" w:rsidRDefault="008E7806" w:rsidP="000D494D">
            <w:pPr>
              <w:rPr>
                <w:sz w:val="18"/>
                <w:szCs w:val="18"/>
              </w:rPr>
            </w:pPr>
          </w:p>
        </w:tc>
        <w:tc>
          <w:tcPr>
            <w:tcW w:w="2150" w:type="dxa"/>
            <w:vMerge/>
          </w:tcPr>
          <w:p w14:paraId="5256C3B0" w14:textId="77777777" w:rsidR="008E7806" w:rsidRPr="001D0511" w:rsidRDefault="008E7806" w:rsidP="000D494D">
            <w:pPr>
              <w:rPr>
                <w:sz w:val="18"/>
                <w:szCs w:val="18"/>
              </w:rPr>
            </w:pPr>
          </w:p>
        </w:tc>
        <w:tc>
          <w:tcPr>
            <w:tcW w:w="2325" w:type="dxa"/>
            <w:vMerge/>
          </w:tcPr>
          <w:p w14:paraId="659E284D" w14:textId="77777777" w:rsidR="008E7806" w:rsidRPr="001D0511" w:rsidRDefault="008E7806" w:rsidP="000D494D">
            <w:pPr>
              <w:rPr>
                <w:sz w:val="18"/>
                <w:szCs w:val="18"/>
              </w:rPr>
            </w:pPr>
          </w:p>
        </w:tc>
        <w:tc>
          <w:tcPr>
            <w:tcW w:w="3977" w:type="dxa"/>
            <w:gridSpan w:val="2"/>
          </w:tcPr>
          <w:p w14:paraId="7F7D0B5A" w14:textId="77777777" w:rsidR="008E7806" w:rsidRPr="001D0511" w:rsidRDefault="008E7806" w:rsidP="000D494D">
            <w:pPr>
              <w:rPr>
                <w:sz w:val="18"/>
                <w:szCs w:val="18"/>
              </w:rPr>
            </w:pPr>
            <w:r w:rsidRPr="001D0511">
              <w:rPr>
                <w:sz w:val="18"/>
                <w:szCs w:val="18"/>
              </w:rPr>
              <w:t xml:space="preserve">Uncertainty of </w:t>
            </w:r>
            <w:r>
              <w:rPr>
                <w:sz w:val="18"/>
                <w:szCs w:val="18"/>
              </w:rPr>
              <w:t>status</w:t>
            </w:r>
          </w:p>
        </w:tc>
        <w:tc>
          <w:tcPr>
            <w:tcW w:w="1956" w:type="dxa"/>
          </w:tcPr>
          <w:p w14:paraId="7B2985C9" w14:textId="77777777" w:rsidR="008E7806" w:rsidRPr="001D0511" w:rsidRDefault="008E7806" w:rsidP="000D494D">
            <w:pPr>
              <w:rPr>
                <w:sz w:val="18"/>
                <w:szCs w:val="18"/>
              </w:rPr>
            </w:pPr>
            <w:r w:rsidRPr="001D0511">
              <w:rPr>
                <w:sz w:val="18"/>
                <w:szCs w:val="18"/>
              </w:rPr>
              <w:t xml:space="preserve">Uncertainty of </w:t>
            </w:r>
            <w:r>
              <w:rPr>
                <w:sz w:val="18"/>
                <w:szCs w:val="18"/>
              </w:rPr>
              <w:t>trend</w:t>
            </w:r>
          </w:p>
        </w:tc>
        <w:tc>
          <w:tcPr>
            <w:tcW w:w="1933" w:type="dxa"/>
            <w:vMerge/>
          </w:tcPr>
          <w:p w14:paraId="02FE673C" w14:textId="77777777" w:rsidR="008E7806" w:rsidRPr="001D0511" w:rsidRDefault="008E7806" w:rsidP="000D494D">
            <w:pPr>
              <w:rPr>
                <w:sz w:val="18"/>
                <w:szCs w:val="18"/>
              </w:rPr>
            </w:pPr>
          </w:p>
        </w:tc>
      </w:tr>
    </w:tbl>
    <w:p w14:paraId="4BE46430" w14:textId="77777777" w:rsidR="008E7806" w:rsidRDefault="008E7806"/>
    <w:p w14:paraId="71AFA4EF" w14:textId="77777777" w:rsidR="008E7806" w:rsidRPr="008E7806" w:rsidRDefault="008E7806" w:rsidP="008E7806"/>
    <w:tbl>
      <w:tblPr>
        <w:tblStyle w:val="TableGrid"/>
        <w:tblpPr w:leftFromText="180" w:rightFromText="180" w:vertAnchor="text" w:horzAnchor="margin" w:tblpXSpec="right" w:tblpY="-39"/>
        <w:tblW w:w="0" w:type="auto"/>
        <w:tblLook w:val="04A0" w:firstRow="1" w:lastRow="0" w:firstColumn="1" w:lastColumn="0" w:noHBand="0" w:noVBand="1"/>
      </w:tblPr>
      <w:tblGrid>
        <w:gridCol w:w="1054"/>
        <w:gridCol w:w="1189"/>
        <w:gridCol w:w="1038"/>
        <w:gridCol w:w="1038"/>
      </w:tblGrid>
      <w:tr w:rsidR="008E7806" w:rsidRPr="00E05068" w14:paraId="3C37075F" w14:textId="77777777" w:rsidTr="008E7806">
        <w:trPr>
          <w:trHeight w:val="582"/>
        </w:trPr>
        <w:tc>
          <w:tcPr>
            <w:tcW w:w="1054" w:type="dxa"/>
            <w:tcBorders>
              <w:top w:val="nil"/>
              <w:left w:val="nil"/>
              <w:bottom w:val="nil"/>
              <w:right w:val="nil"/>
            </w:tcBorders>
          </w:tcPr>
          <w:p w14:paraId="5FFDF29A" w14:textId="77777777" w:rsidR="008E7806" w:rsidRPr="00E05068" w:rsidRDefault="008E7806" w:rsidP="008E7806">
            <w:pPr>
              <w:rPr>
                <w:sz w:val="16"/>
                <w:szCs w:val="16"/>
              </w:rPr>
            </w:pPr>
          </w:p>
        </w:tc>
        <w:tc>
          <w:tcPr>
            <w:tcW w:w="1189" w:type="dxa"/>
            <w:tcBorders>
              <w:top w:val="nil"/>
              <w:left w:val="nil"/>
              <w:bottom w:val="nil"/>
            </w:tcBorders>
          </w:tcPr>
          <w:p w14:paraId="2C50E666" w14:textId="77777777" w:rsidR="008E7806" w:rsidRPr="00E05068" w:rsidRDefault="008E7806" w:rsidP="008E7806">
            <w:pPr>
              <w:rPr>
                <w:sz w:val="16"/>
                <w:szCs w:val="16"/>
              </w:rPr>
            </w:pPr>
          </w:p>
        </w:tc>
        <w:tc>
          <w:tcPr>
            <w:tcW w:w="2076" w:type="dxa"/>
            <w:gridSpan w:val="2"/>
            <w:shd w:val="clear" w:color="auto" w:fill="000000" w:themeFill="text1"/>
            <w:vAlign w:val="center"/>
          </w:tcPr>
          <w:p w14:paraId="36A39279" w14:textId="77777777" w:rsidR="008E7806" w:rsidRPr="00E05068" w:rsidRDefault="008E7806" w:rsidP="008E7806">
            <w:pPr>
              <w:jc w:val="center"/>
              <w:rPr>
                <w:sz w:val="16"/>
                <w:szCs w:val="16"/>
              </w:rPr>
            </w:pPr>
            <w:r w:rsidRPr="00E05068">
              <w:rPr>
                <w:sz w:val="16"/>
                <w:szCs w:val="16"/>
              </w:rPr>
              <w:t>Agreement</w:t>
            </w:r>
          </w:p>
        </w:tc>
      </w:tr>
      <w:tr w:rsidR="008E7806" w:rsidRPr="00E05068" w14:paraId="31999FE7" w14:textId="77777777" w:rsidTr="008E7806">
        <w:trPr>
          <w:trHeight w:val="582"/>
        </w:trPr>
        <w:tc>
          <w:tcPr>
            <w:tcW w:w="1054" w:type="dxa"/>
            <w:tcBorders>
              <w:top w:val="nil"/>
              <w:left w:val="nil"/>
              <w:right w:val="nil"/>
            </w:tcBorders>
          </w:tcPr>
          <w:p w14:paraId="26229211" w14:textId="77777777" w:rsidR="008E7806" w:rsidRPr="00E05068" w:rsidRDefault="008E7806" w:rsidP="008E7806">
            <w:pPr>
              <w:rPr>
                <w:sz w:val="16"/>
                <w:szCs w:val="16"/>
              </w:rPr>
            </w:pPr>
          </w:p>
        </w:tc>
        <w:tc>
          <w:tcPr>
            <w:tcW w:w="1189" w:type="dxa"/>
            <w:tcBorders>
              <w:top w:val="nil"/>
              <w:left w:val="nil"/>
            </w:tcBorders>
          </w:tcPr>
          <w:p w14:paraId="174A65C1" w14:textId="77777777" w:rsidR="008E7806" w:rsidRPr="00E05068" w:rsidRDefault="008E7806" w:rsidP="008E7806">
            <w:pPr>
              <w:rPr>
                <w:sz w:val="16"/>
                <w:szCs w:val="16"/>
              </w:rPr>
            </w:pPr>
          </w:p>
        </w:tc>
        <w:tc>
          <w:tcPr>
            <w:tcW w:w="1038" w:type="dxa"/>
            <w:shd w:val="clear" w:color="auto" w:fill="D9D9D9" w:themeFill="background1" w:themeFillShade="D9"/>
            <w:vAlign w:val="center"/>
          </w:tcPr>
          <w:p w14:paraId="1C2E4CD8" w14:textId="77777777" w:rsidR="008E7806" w:rsidRPr="00E05068" w:rsidRDefault="008E7806" w:rsidP="008E7806">
            <w:pPr>
              <w:jc w:val="center"/>
              <w:rPr>
                <w:sz w:val="16"/>
                <w:szCs w:val="16"/>
              </w:rPr>
            </w:pPr>
            <w:r w:rsidRPr="00E05068">
              <w:rPr>
                <w:sz w:val="16"/>
                <w:szCs w:val="16"/>
              </w:rPr>
              <w:t>High</w:t>
            </w:r>
          </w:p>
        </w:tc>
        <w:tc>
          <w:tcPr>
            <w:tcW w:w="1038" w:type="dxa"/>
            <w:shd w:val="clear" w:color="auto" w:fill="D9D9D9" w:themeFill="background1" w:themeFillShade="D9"/>
            <w:vAlign w:val="center"/>
          </w:tcPr>
          <w:p w14:paraId="3746C8FF" w14:textId="77777777" w:rsidR="008E7806" w:rsidRPr="00E05068" w:rsidRDefault="008E7806" w:rsidP="008E7806">
            <w:pPr>
              <w:jc w:val="center"/>
              <w:rPr>
                <w:sz w:val="16"/>
                <w:szCs w:val="16"/>
              </w:rPr>
            </w:pPr>
            <w:r w:rsidRPr="00E05068">
              <w:rPr>
                <w:sz w:val="16"/>
                <w:szCs w:val="16"/>
              </w:rPr>
              <w:t>Low</w:t>
            </w:r>
          </w:p>
        </w:tc>
      </w:tr>
      <w:tr w:rsidR="008E7806" w:rsidRPr="00E05068" w14:paraId="3454E67A" w14:textId="77777777" w:rsidTr="008E7806">
        <w:trPr>
          <w:trHeight w:val="541"/>
        </w:trPr>
        <w:tc>
          <w:tcPr>
            <w:tcW w:w="1054" w:type="dxa"/>
            <w:vMerge w:val="restart"/>
            <w:shd w:val="clear" w:color="auto" w:fill="000000" w:themeFill="text1"/>
            <w:vAlign w:val="center"/>
          </w:tcPr>
          <w:p w14:paraId="6D981C69" w14:textId="77777777" w:rsidR="008E7806" w:rsidRPr="00E05068" w:rsidRDefault="008E7806" w:rsidP="008E7806">
            <w:pPr>
              <w:rPr>
                <w:sz w:val="16"/>
                <w:szCs w:val="16"/>
              </w:rPr>
            </w:pPr>
            <w:r w:rsidRPr="00E05068">
              <w:rPr>
                <w:sz w:val="16"/>
                <w:szCs w:val="16"/>
              </w:rPr>
              <w:t>Robustness</w:t>
            </w:r>
          </w:p>
        </w:tc>
        <w:tc>
          <w:tcPr>
            <w:tcW w:w="1189" w:type="dxa"/>
            <w:shd w:val="clear" w:color="auto" w:fill="D9D9D9" w:themeFill="background1" w:themeFillShade="D9"/>
            <w:vAlign w:val="center"/>
          </w:tcPr>
          <w:p w14:paraId="7F86CA86" w14:textId="77777777" w:rsidR="008E7806" w:rsidRPr="00E05068" w:rsidRDefault="008E7806" w:rsidP="008E7806">
            <w:pPr>
              <w:rPr>
                <w:sz w:val="16"/>
                <w:szCs w:val="16"/>
              </w:rPr>
            </w:pPr>
            <w:r w:rsidRPr="00E05068">
              <w:rPr>
                <w:sz w:val="16"/>
                <w:szCs w:val="16"/>
              </w:rPr>
              <w:t>Significant evidence</w:t>
            </w:r>
          </w:p>
        </w:tc>
        <w:tc>
          <w:tcPr>
            <w:tcW w:w="1038" w:type="dxa"/>
            <w:shd w:val="clear" w:color="auto" w:fill="FFFFFF" w:themeFill="background1"/>
            <w:vAlign w:val="center"/>
          </w:tcPr>
          <w:p w14:paraId="7114638C" w14:textId="77777777" w:rsidR="008E7806" w:rsidRPr="00E05068" w:rsidRDefault="008E7806" w:rsidP="008E7806">
            <w:pPr>
              <w:jc w:val="center"/>
              <w:rPr>
                <w:sz w:val="16"/>
                <w:szCs w:val="16"/>
              </w:rPr>
            </w:pPr>
            <w:r w:rsidRPr="00E05068">
              <w:rPr>
                <w:sz w:val="16"/>
                <w:szCs w:val="16"/>
              </w:rPr>
              <w:t>1</w:t>
            </w:r>
          </w:p>
        </w:tc>
        <w:tc>
          <w:tcPr>
            <w:tcW w:w="1038" w:type="dxa"/>
            <w:shd w:val="clear" w:color="auto" w:fill="FFFFFF" w:themeFill="background1"/>
            <w:vAlign w:val="center"/>
          </w:tcPr>
          <w:p w14:paraId="363BEF37" w14:textId="77777777" w:rsidR="008E7806" w:rsidRPr="00E05068" w:rsidRDefault="008E7806" w:rsidP="008E7806">
            <w:pPr>
              <w:jc w:val="center"/>
              <w:rPr>
                <w:color w:val="000000" w:themeColor="text1"/>
                <w:sz w:val="16"/>
                <w:szCs w:val="16"/>
              </w:rPr>
            </w:pPr>
            <w:r w:rsidRPr="00E05068">
              <w:rPr>
                <w:color w:val="000000" w:themeColor="text1"/>
                <w:sz w:val="16"/>
                <w:szCs w:val="16"/>
              </w:rPr>
              <w:t>3</w:t>
            </w:r>
          </w:p>
        </w:tc>
      </w:tr>
      <w:tr w:rsidR="008E7806" w:rsidRPr="00E05068" w14:paraId="32022896" w14:textId="77777777" w:rsidTr="008E7806">
        <w:trPr>
          <w:trHeight w:val="541"/>
        </w:trPr>
        <w:tc>
          <w:tcPr>
            <w:tcW w:w="1054" w:type="dxa"/>
            <w:vMerge/>
            <w:shd w:val="clear" w:color="auto" w:fill="000000" w:themeFill="text1"/>
            <w:vAlign w:val="center"/>
          </w:tcPr>
          <w:p w14:paraId="381A9376" w14:textId="77777777" w:rsidR="008E7806" w:rsidRPr="00E05068" w:rsidRDefault="008E7806" w:rsidP="008E7806">
            <w:pPr>
              <w:rPr>
                <w:sz w:val="16"/>
                <w:szCs w:val="16"/>
              </w:rPr>
            </w:pPr>
          </w:p>
        </w:tc>
        <w:tc>
          <w:tcPr>
            <w:tcW w:w="1189" w:type="dxa"/>
            <w:shd w:val="clear" w:color="auto" w:fill="D9D9D9" w:themeFill="background1" w:themeFillShade="D9"/>
            <w:vAlign w:val="center"/>
          </w:tcPr>
          <w:p w14:paraId="6E97F818" w14:textId="77777777" w:rsidR="008E7806" w:rsidRPr="00E05068" w:rsidRDefault="008E7806" w:rsidP="008E7806">
            <w:pPr>
              <w:rPr>
                <w:sz w:val="16"/>
                <w:szCs w:val="16"/>
              </w:rPr>
            </w:pPr>
            <w:r w:rsidRPr="00E05068">
              <w:rPr>
                <w:sz w:val="16"/>
                <w:szCs w:val="16"/>
              </w:rPr>
              <w:t>limited evidence</w:t>
            </w:r>
          </w:p>
        </w:tc>
        <w:tc>
          <w:tcPr>
            <w:tcW w:w="1038" w:type="dxa"/>
            <w:shd w:val="clear" w:color="auto" w:fill="FFFFFF" w:themeFill="background1"/>
            <w:vAlign w:val="center"/>
          </w:tcPr>
          <w:p w14:paraId="5715B5F1" w14:textId="77777777" w:rsidR="008E7806" w:rsidRPr="00E05068" w:rsidRDefault="008E7806" w:rsidP="008E7806">
            <w:pPr>
              <w:jc w:val="center"/>
              <w:rPr>
                <w:color w:val="000000" w:themeColor="text1"/>
                <w:sz w:val="16"/>
                <w:szCs w:val="16"/>
              </w:rPr>
            </w:pPr>
            <w:r w:rsidRPr="00E05068">
              <w:rPr>
                <w:color w:val="000000" w:themeColor="text1"/>
                <w:sz w:val="16"/>
                <w:szCs w:val="16"/>
              </w:rPr>
              <w:t>2</w:t>
            </w:r>
          </w:p>
        </w:tc>
        <w:tc>
          <w:tcPr>
            <w:tcW w:w="1038" w:type="dxa"/>
            <w:shd w:val="clear" w:color="auto" w:fill="FFFFFF" w:themeFill="background1"/>
            <w:vAlign w:val="center"/>
          </w:tcPr>
          <w:p w14:paraId="76F1B6E3" w14:textId="77777777" w:rsidR="008E7806" w:rsidRPr="00E05068" w:rsidRDefault="008E7806" w:rsidP="008E7806">
            <w:pPr>
              <w:jc w:val="center"/>
              <w:rPr>
                <w:color w:val="000000" w:themeColor="text1"/>
                <w:sz w:val="16"/>
                <w:szCs w:val="16"/>
              </w:rPr>
            </w:pPr>
            <w:r w:rsidRPr="00E05068">
              <w:rPr>
                <w:color w:val="000000" w:themeColor="text1"/>
                <w:sz w:val="16"/>
                <w:szCs w:val="16"/>
              </w:rPr>
              <w:t>4</w:t>
            </w:r>
          </w:p>
        </w:tc>
      </w:tr>
    </w:tbl>
    <w:p w14:paraId="01708EC3" w14:textId="77777777" w:rsidR="008E7806" w:rsidRDefault="008E7806" w:rsidP="008E7806"/>
    <w:tbl>
      <w:tblPr>
        <w:tblStyle w:val="TableGrid"/>
        <w:tblpPr w:leftFromText="180" w:rightFromText="180" w:vertAnchor="text" w:horzAnchor="page" w:tblpX="944" w:tblpY="195"/>
        <w:tblOverlap w:val="never"/>
        <w:tblW w:w="0" w:type="auto"/>
        <w:tblLook w:val="04A0" w:firstRow="1" w:lastRow="0" w:firstColumn="1" w:lastColumn="0" w:noHBand="0" w:noVBand="1"/>
      </w:tblPr>
      <w:tblGrid>
        <w:gridCol w:w="620"/>
        <w:gridCol w:w="985"/>
        <w:gridCol w:w="742"/>
        <w:gridCol w:w="742"/>
        <w:gridCol w:w="1048"/>
      </w:tblGrid>
      <w:tr w:rsidR="008E7806" w:rsidRPr="00D71971" w14:paraId="4F93B17D" w14:textId="77777777" w:rsidTr="000D494D">
        <w:trPr>
          <w:trHeight w:val="195"/>
        </w:trPr>
        <w:tc>
          <w:tcPr>
            <w:tcW w:w="620" w:type="dxa"/>
            <w:tcBorders>
              <w:top w:val="nil"/>
              <w:left w:val="nil"/>
              <w:bottom w:val="nil"/>
              <w:right w:val="nil"/>
            </w:tcBorders>
          </w:tcPr>
          <w:p w14:paraId="6E4C9E9C" w14:textId="77777777" w:rsidR="008E7806" w:rsidRPr="00D71971" w:rsidRDefault="008E7806" w:rsidP="000D494D">
            <w:pPr>
              <w:rPr>
                <w:sz w:val="16"/>
                <w:szCs w:val="16"/>
              </w:rPr>
            </w:pPr>
          </w:p>
        </w:tc>
        <w:tc>
          <w:tcPr>
            <w:tcW w:w="985" w:type="dxa"/>
            <w:tcBorders>
              <w:top w:val="nil"/>
              <w:left w:val="nil"/>
              <w:bottom w:val="nil"/>
            </w:tcBorders>
          </w:tcPr>
          <w:p w14:paraId="0C6DBCB0" w14:textId="77777777" w:rsidR="008E7806" w:rsidRPr="00D71971" w:rsidRDefault="008E7806" w:rsidP="000D494D">
            <w:pPr>
              <w:rPr>
                <w:sz w:val="16"/>
                <w:szCs w:val="16"/>
              </w:rPr>
            </w:pPr>
          </w:p>
        </w:tc>
        <w:tc>
          <w:tcPr>
            <w:tcW w:w="2532" w:type="dxa"/>
            <w:gridSpan w:val="3"/>
            <w:vAlign w:val="center"/>
          </w:tcPr>
          <w:p w14:paraId="68EC62B5" w14:textId="77777777" w:rsidR="008E7806" w:rsidRPr="00D71971" w:rsidRDefault="008E7806" w:rsidP="000D494D">
            <w:pPr>
              <w:jc w:val="center"/>
              <w:rPr>
                <w:sz w:val="16"/>
                <w:szCs w:val="16"/>
              </w:rPr>
            </w:pPr>
            <w:r w:rsidRPr="00D71971">
              <w:rPr>
                <w:sz w:val="16"/>
                <w:szCs w:val="16"/>
              </w:rPr>
              <w:t>Status</w:t>
            </w:r>
          </w:p>
        </w:tc>
      </w:tr>
      <w:tr w:rsidR="008E7806" w:rsidRPr="00D71971" w14:paraId="7C776FB7" w14:textId="77777777" w:rsidTr="000D494D">
        <w:trPr>
          <w:trHeight w:val="274"/>
        </w:trPr>
        <w:tc>
          <w:tcPr>
            <w:tcW w:w="620" w:type="dxa"/>
            <w:tcBorders>
              <w:top w:val="nil"/>
              <w:left w:val="nil"/>
              <w:right w:val="nil"/>
            </w:tcBorders>
          </w:tcPr>
          <w:p w14:paraId="700CEC49" w14:textId="77777777" w:rsidR="008E7806" w:rsidRPr="00D71971" w:rsidRDefault="008E7806" w:rsidP="000D494D">
            <w:pPr>
              <w:rPr>
                <w:sz w:val="16"/>
                <w:szCs w:val="16"/>
              </w:rPr>
            </w:pPr>
          </w:p>
        </w:tc>
        <w:tc>
          <w:tcPr>
            <w:tcW w:w="985" w:type="dxa"/>
            <w:tcBorders>
              <w:top w:val="nil"/>
              <w:left w:val="nil"/>
            </w:tcBorders>
          </w:tcPr>
          <w:p w14:paraId="3AD1B198" w14:textId="77777777" w:rsidR="008E7806" w:rsidRPr="00D71971" w:rsidRDefault="008E7806" w:rsidP="000D494D">
            <w:pPr>
              <w:rPr>
                <w:sz w:val="16"/>
                <w:szCs w:val="16"/>
              </w:rPr>
            </w:pPr>
          </w:p>
        </w:tc>
        <w:tc>
          <w:tcPr>
            <w:tcW w:w="742" w:type="dxa"/>
            <w:vAlign w:val="center"/>
          </w:tcPr>
          <w:p w14:paraId="1996DE7A" w14:textId="77777777" w:rsidR="008E7806" w:rsidRPr="00D71971" w:rsidRDefault="008E7806" w:rsidP="000D494D">
            <w:pPr>
              <w:jc w:val="center"/>
              <w:rPr>
                <w:sz w:val="16"/>
                <w:szCs w:val="16"/>
              </w:rPr>
            </w:pPr>
            <w:r w:rsidRPr="00D71971">
              <w:rPr>
                <w:sz w:val="16"/>
                <w:szCs w:val="16"/>
              </w:rPr>
              <w:t>Above, at or just below target</w:t>
            </w:r>
          </w:p>
        </w:tc>
        <w:tc>
          <w:tcPr>
            <w:tcW w:w="742" w:type="dxa"/>
            <w:vAlign w:val="center"/>
          </w:tcPr>
          <w:p w14:paraId="4BE1A205" w14:textId="77777777" w:rsidR="008E7806" w:rsidRPr="00D71971" w:rsidRDefault="008E7806" w:rsidP="000D494D">
            <w:pPr>
              <w:jc w:val="center"/>
              <w:rPr>
                <w:sz w:val="16"/>
                <w:szCs w:val="16"/>
              </w:rPr>
            </w:pPr>
            <w:r w:rsidRPr="00D71971">
              <w:rPr>
                <w:sz w:val="16"/>
                <w:szCs w:val="16"/>
              </w:rPr>
              <w:t>Below target</w:t>
            </w:r>
          </w:p>
        </w:tc>
        <w:tc>
          <w:tcPr>
            <w:tcW w:w="1048" w:type="dxa"/>
            <w:vAlign w:val="center"/>
          </w:tcPr>
          <w:p w14:paraId="2A118065" w14:textId="77777777" w:rsidR="008E7806" w:rsidRPr="00D71971" w:rsidRDefault="008E7806" w:rsidP="000D494D">
            <w:pPr>
              <w:jc w:val="center"/>
              <w:rPr>
                <w:sz w:val="16"/>
                <w:szCs w:val="16"/>
              </w:rPr>
            </w:pPr>
            <w:r w:rsidRPr="00D71971">
              <w:rPr>
                <w:sz w:val="16"/>
                <w:szCs w:val="16"/>
              </w:rPr>
              <w:t>Substantially below target</w:t>
            </w:r>
          </w:p>
        </w:tc>
      </w:tr>
      <w:tr w:rsidR="008E7806" w:rsidRPr="00D71971" w14:paraId="4B1C0E5B" w14:textId="77777777" w:rsidTr="000D494D">
        <w:trPr>
          <w:trHeight w:val="500"/>
        </w:trPr>
        <w:tc>
          <w:tcPr>
            <w:tcW w:w="620" w:type="dxa"/>
            <w:vMerge w:val="restart"/>
            <w:vAlign w:val="center"/>
          </w:tcPr>
          <w:p w14:paraId="0D05B532" w14:textId="77777777" w:rsidR="008E7806" w:rsidRPr="00D71971" w:rsidRDefault="008E7806" w:rsidP="000D494D">
            <w:pPr>
              <w:rPr>
                <w:sz w:val="16"/>
                <w:szCs w:val="16"/>
              </w:rPr>
            </w:pPr>
            <w:r w:rsidRPr="00D71971">
              <w:rPr>
                <w:sz w:val="16"/>
                <w:szCs w:val="16"/>
              </w:rPr>
              <w:t>Trend in Status</w:t>
            </w:r>
          </w:p>
        </w:tc>
        <w:tc>
          <w:tcPr>
            <w:tcW w:w="985" w:type="dxa"/>
            <w:vAlign w:val="center"/>
          </w:tcPr>
          <w:p w14:paraId="2F05006E" w14:textId="77777777" w:rsidR="008E7806" w:rsidRPr="00D71971" w:rsidRDefault="008E7806" w:rsidP="000D494D">
            <w:pPr>
              <w:rPr>
                <w:sz w:val="16"/>
                <w:szCs w:val="16"/>
              </w:rPr>
            </w:pPr>
            <w:r w:rsidRPr="00D71971">
              <w:rPr>
                <w:sz w:val="16"/>
                <w:szCs w:val="16"/>
              </w:rPr>
              <w:t>Positive or not discernible</w:t>
            </w:r>
          </w:p>
        </w:tc>
        <w:tc>
          <w:tcPr>
            <w:tcW w:w="742" w:type="dxa"/>
            <w:shd w:val="clear" w:color="auto" w:fill="00B050"/>
            <w:vAlign w:val="center"/>
          </w:tcPr>
          <w:p w14:paraId="6DEE3774" w14:textId="77777777" w:rsidR="008E7806" w:rsidRPr="00D71971" w:rsidRDefault="008E7806" w:rsidP="000D494D">
            <w:pPr>
              <w:jc w:val="center"/>
              <w:rPr>
                <w:sz w:val="16"/>
                <w:szCs w:val="16"/>
              </w:rPr>
            </w:pPr>
            <w:r w:rsidRPr="00D71971">
              <w:rPr>
                <w:sz w:val="16"/>
                <w:szCs w:val="16"/>
              </w:rPr>
              <w:t>A</w:t>
            </w:r>
          </w:p>
        </w:tc>
        <w:tc>
          <w:tcPr>
            <w:tcW w:w="742" w:type="dxa"/>
            <w:shd w:val="clear" w:color="auto" w:fill="FFC000"/>
            <w:vAlign w:val="center"/>
          </w:tcPr>
          <w:p w14:paraId="66D23F85" w14:textId="77777777" w:rsidR="008E7806" w:rsidRPr="00D71971" w:rsidRDefault="008E7806" w:rsidP="000D494D">
            <w:pPr>
              <w:jc w:val="center"/>
              <w:rPr>
                <w:sz w:val="16"/>
                <w:szCs w:val="16"/>
              </w:rPr>
            </w:pPr>
            <w:r w:rsidRPr="00D71971">
              <w:rPr>
                <w:sz w:val="16"/>
                <w:szCs w:val="16"/>
              </w:rPr>
              <w:t>B</w:t>
            </w:r>
          </w:p>
        </w:tc>
        <w:tc>
          <w:tcPr>
            <w:tcW w:w="1048" w:type="dxa"/>
            <w:shd w:val="clear" w:color="auto" w:fill="FFC000"/>
            <w:vAlign w:val="center"/>
          </w:tcPr>
          <w:p w14:paraId="2ADBBE30" w14:textId="77777777" w:rsidR="008E7806" w:rsidRPr="00D71971" w:rsidRDefault="008E7806" w:rsidP="000D494D">
            <w:pPr>
              <w:jc w:val="center"/>
              <w:rPr>
                <w:sz w:val="16"/>
                <w:szCs w:val="16"/>
              </w:rPr>
            </w:pPr>
            <w:r w:rsidRPr="00D71971">
              <w:rPr>
                <w:sz w:val="16"/>
                <w:szCs w:val="16"/>
              </w:rPr>
              <w:t>B</w:t>
            </w:r>
          </w:p>
        </w:tc>
      </w:tr>
      <w:tr w:rsidR="008E7806" w:rsidRPr="00D71971" w14:paraId="20C69A74" w14:textId="77777777" w:rsidTr="000D494D">
        <w:trPr>
          <w:trHeight w:val="557"/>
        </w:trPr>
        <w:tc>
          <w:tcPr>
            <w:tcW w:w="620" w:type="dxa"/>
            <w:vMerge/>
            <w:vAlign w:val="center"/>
          </w:tcPr>
          <w:p w14:paraId="0E5F8783" w14:textId="77777777" w:rsidR="008E7806" w:rsidRPr="00D71971" w:rsidRDefault="008E7806" w:rsidP="000D494D">
            <w:pPr>
              <w:rPr>
                <w:sz w:val="16"/>
                <w:szCs w:val="16"/>
              </w:rPr>
            </w:pPr>
          </w:p>
        </w:tc>
        <w:tc>
          <w:tcPr>
            <w:tcW w:w="985" w:type="dxa"/>
            <w:vAlign w:val="center"/>
          </w:tcPr>
          <w:p w14:paraId="01DE66E3" w14:textId="77777777" w:rsidR="008E7806" w:rsidRPr="00D71971" w:rsidRDefault="008E7806" w:rsidP="000D494D">
            <w:pPr>
              <w:rPr>
                <w:sz w:val="16"/>
                <w:szCs w:val="16"/>
              </w:rPr>
            </w:pPr>
            <w:r w:rsidRPr="00D71971">
              <w:rPr>
                <w:sz w:val="16"/>
                <w:szCs w:val="16"/>
              </w:rPr>
              <w:t>Negative</w:t>
            </w:r>
          </w:p>
        </w:tc>
        <w:tc>
          <w:tcPr>
            <w:tcW w:w="742" w:type="dxa"/>
            <w:shd w:val="clear" w:color="auto" w:fill="FFC000"/>
            <w:vAlign w:val="center"/>
          </w:tcPr>
          <w:p w14:paraId="4C1DD214" w14:textId="77777777" w:rsidR="008E7806" w:rsidRPr="00D71971" w:rsidRDefault="008E7806" w:rsidP="000D494D">
            <w:pPr>
              <w:jc w:val="center"/>
              <w:rPr>
                <w:sz w:val="16"/>
                <w:szCs w:val="16"/>
              </w:rPr>
            </w:pPr>
            <w:r w:rsidRPr="00D71971">
              <w:rPr>
                <w:sz w:val="16"/>
                <w:szCs w:val="16"/>
              </w:rPr>
              <w:t>B</w:t>
            </w:r>
          </w:p>
        </w:tc>
        <w:tc>
          <w:tcPr>
            <w:tcW w:w="742" w:type="dxa"/>
            <w:shd w:val="clear" w:color="auto" w:fill="FFC000"/>
            <w:vAlign w:val="center"/>
          </w:tcPr>
          <w:p w14:paraId="2F112B47" w14:textId="77777777" w:rsidR="008E7806" w:rsidRPr="00D71971" w:rsidRDefault="008E7806" w:rsidP="000D494D">
            <w:pPr>
              <w:jc w:val="center"/>
              <w:rPr>
                <w:color w:val="000000" w:themeColor="text1"/>
                <w:sz w:val="16"/>
                <w:szCs w:val="16"/>
              </w:rPr>
            </w:pPr>
            <w:r w:rsidRPr="00D71971">
              <w:rPr>
                <w:color w:val="000000" w:themeColor="text1"/>
                <w:sz w:val="16"/>
                <w:szCs w:val="16"/>
              </w:rPr>
              <w:t>B*</w:t>
            </w:r>
          </w:p>
        </w:tc>
        <w:tc>
          <w:tcPr>
            <w:tcW w:w="1048" w:type="dxa"/>
            <w:shd w:val="clear" w:color="auto" w:fill="C00000"/>
            <w:vAlign w:val="center"/>
          </w:tcPr>
          <w:p w14:paraId="40B5FD63" w14:textId="77777777" w:rsidR="008E7806" w:rsidRPr="00D71971" w:rsidRDefault="008E7806" w:rsidP="000D494D">
            <w:pPr>
              <w:jc w:val="center"/>
              <w:rPr>
                <w:color w:val="000000" w:themeColor="text1"/>
                <w:sz w:val="16"/>
                <w:szCs w:val="16"/>
              </w:rPr>
            </w:pPr>
            <w:r w:rsidRPr="00D71971">
              <w:rPr>
                <w:color w:val="000000" w:themeColor="text1"/>
                <w:sz w:val="16"/>
                <w:szCs w:val="16"/>
              </w:rPr>
              <w:t>C</w:t>
            </w:r>
          </w:p>
        </w:tc>
      </w:tr>
      <w:tr w:rsidR="008E7806" w:rsidRPr="00D71971" w14:paraId="0DDEB071" w14:textId="77777777" w:rsidTr="000D494D">
        <w:trPr>
          <w:trHeight w:val="35"/>
        </w:trPr>
        <w:tc>
          <w:tcPr>
            <w:tcW w:w="620" w:type="dxa"/>
            <w:vMerge/>
            <w:vAlign w:val="center"/>
          </w:tcPr>
          <w:p w14:paraId="7E2025A9" w14:textId="77777777" w:rsidR="008E7806" w:rsidRPr="00D71971" w:rsidRDefault="008E7806" w:rsidP="000D494D">
            <w:pPr>
              <w:rPr>
                <w:sz w:val="16"/>
                <w:szCs w:val="16"/>
              </w:rPr>
            </w:pPr>
          </w:p>
        </w:tc>
        <w:tc>
          <w:tcPr>
            <w:tcW w:w="985" w:type="dxa"/>
            <w:vAlign w:val="center"/>
          </w:tcPr>
          <w:p w14:paraId="3251B636" w14:textId="77777777" w:rsidR="008E7806" w:rsidRPr="00D71971" w:rsidRDefault="008E7806" w:rsidP="000D494D">
            <w:pPr>
              <w:rPr>
                <w:sz w:val="16"/>
                <w:szCs w:val="16"/>
              </w:rPr>
            </w:pPr>
            <w:r w:rsidRPr="00D71971">
              <w:rPr>
                <w:sz w:val="16"/>
                <w:szCs w:val="16"/>
              </w:rPr>
              <w:t>Strongly Negative</w:t>
            </w:r>
          </w:p>
          <w:p w14:paraId="03C80C2A" w14:textId="77777777" w:rsidR="008E7806" w:rsidRPr="00D71971" w:rsidRDefault="008E7806" w:rsidP="000D494D">
            <w:pPr>
              <w:rPr>
                <w:sz w:val="16"/>
                <w:szCs w:val="16"/>
              </w:rPr>
            </w:pPr>
          </w:p>
          <w:p w14:paraId="2C8752DE" w14:textId="77777777" w:rsidR="008E7806" w:rsidRPr="00D71971" w:rsidRDefault="008E7806" w:rsidP="000D494D">
            <w:pPr>
              <w:rPr>
                <w:sz w:val="16"/>
                <w:szCs w:val="16"/>
              </w:rPr>
            </w:pPr>
          </w:p>
        </w:tc>
        <w:tc>
          <w:tcPr>
            <w:tcW w:w="742" w:type="dxa"/>
            <w:shd w:val="clear" w:color="auto" w:fill="C00000"/>
            <w:vAlign w:val="center"/>
          </w:tcPr>
          <w:p w14:paraId="5E82DD8C" w14:textId="77777777" w:rsidR="008E7806" w:rsidRPr="00D71971" w:rsidRDefault="008E7806" w:rsidP="000D494D">
            <w:pPr>
              <w:jc w:val="center"/>
              <w:rPr>
                <w:color w:val="000000" w:themeColor="text1"/>
                <w:sz w:val="16"/>
                <w:szCs w:val="16"/>
              </w:rPr>
            </w:pPr>
            <w:r w:rsidRPr="00D71971">
              <w:rPr>
                <w:color w:val="000000" w:themeColor="text1"/>
                <w:sz w:val="16"/>
                <w:szCs w:val="16"/>
              </w:rPr>
              <w:t>C</w:t>
            </w:r>
          </w:p>
        </w:tc>
        <w:tc>
          <w:tcPr>
            <w:tcW w:w="742" w:type="dxa"/>
            <w:shd w:val="clear" w:color="auto" w:fill="C00000"/>
            <w:vAlign w:val="center"/>
          </w:tcPr>
          <w:p w14:paraId="5D7A27F6" w14:textId="77777777" w:rsidR="008E7806" w:rsidRPr="00D71971" w:rsidRDefault="008E7806" w:rsidP="000D494D">
            <w:pPr>
              <w:jc w:val="center"/>
              <w:rPr>
                <w:color w:val="000000" w:themeColor="text1"/>
                <w:sz w:val="16"/>
                <w:szCs w:val="16"/>
              </w:rPr>
            </w:pPr>
            <w:r w:rsidRPr="00D71971">
              <w:rPr>
                <w:color w:val="000000" w:themeColor="text1"/>
                <w:sz w:val="16"/>
                <w:szCs w:val="16"/>
              </w:rPr>
              <w:t>C</w:t>
            </w:r>
          </w:p>
        </w:tc>
        <w:tc>
          <w:tcPr>
            <w:tcW w:w="1048" w:type="dxa"/>
            <w:shd w:val="clear" w:color="auto" w:fill="C00000"/>
            <w:vAlign w:val="center"/>
          </w:tcPr>
          <w:p w14:paraId="325BFBFC" w14:textId="77777777" w:rsidR="008E7806" w:rsidRPr="00D71971" w:rsidRDefault="008E7806" w:rsidP="000D494D">
            <w:pPr>
              <w:jc w:val="center"/>
              <w:rPr>
                <w:color w:val="000000" w:themeColor="text1"/>
                <w:sz w:val="16"/>
                <w:szCs w:val="16"/>
              </w:rPr>
            </w:pPr>
            <w:r w:rsidRPr="00D71971">
              <w:rPr>
                <w:color w:val="000000" w:themeColor="text1"/>
                <w:sz w:val="16"/>
                <w:szCs w:val="16"/>
              </w:rPr>
              <w:t>C</w:t>
            </w:r>
          </w:p>
        </w:tc>
      </w:tr>
    </w:tbl>
    <w:tbl>
      <w:tblPr>
        <w:tblStyle w:val="TableGrid"/>
        <w:tblpPr w:leftFromText="180" w:rightFromText="180" w:vertAnchor="text" w:horzAnchor="page" w:tblpX="5613" w:tblpY="121"/>
        <w:tblW w:w="0" w:type="auto"/>
        <w:tblLook w:val="04A0" w:firstRow="1" w:lastRow="0" w:firstColumn="1" w:lastColumn="0" w:noHBand="0" w:noVBand="1"/>
      </w:tblPr>
      <w:tblGrid>
        <w:gridCol w:w="745"/>
        <w:gridCol w:w="924"/>
        <w:gridCol w:w="766"/>
        <w:gridCol w:w="845"/>
        <w:gridCol w:w="1048"/>
      </w:tblGrid>
      <w:tr w:rsidR="008E7806" w:rsidRPr="00F56487" w14:paraId="53AF6E06" w14:textId="77777777" w:rsidTr="000D494D">
        <w:trPr>
          <w:trHeight w:val="545"/>
        </w:trPr>
        <w:tc>
          <w:tcPr>
            <w:tcW w:w="745" w:type="dxa"/>
            <w:tcBorders>
              <w:top w:val="nil"/>
              <w:left w:val="nil"/>
              <w:bottom w:val="nil"/>
              <w:right w:val="nil"/>
            </w:tcBorders>
          </w:tcPr>
          <w:p w14:paraId="0AF1AA7B" w14:textId="77777777" w:rsidR="008E7806" w:rsidRPr="00F56487" w:rsidRDefault="008E7806" w:rsidP="000D494D">
            <w:pPr>
              <w:rPr>
                <w:sz w:val="16"/>
                <w:szCs w:val="16"/>
              </w:rPr>
            </w:pPr>
          </w:p>
        </w:tc>
        <w:tc>
          <w:tcPr>
            <w:tcW w:w="924" w:type="dxa"/>
            <w:tcBorders>
              <w:top w:val="nil"/>
              <w:left w:val="nil"/>
              <w:bottom w:val="nil"/>
            </w:tcBorders>
          </w:tcPr>
          <w:p w14:paraId="7425DAA4" w14:textId="77777777" w:rsidR="008E7806" w:rsidRPr="00F56487" w:rsidRDefault="008E7806" w:rsidP="000D494D">
            <w:pPr>
              <w:rPr>
                <w:sz w:val="16"/>
                <w:szCs w:val="16"/>
              </w:rPr>
            </w:pPr>
          </w:p>
        </w:tc>
        <w:tc>
          <w:tcPr>
            <w:tcW w:w="2659" w:type="dxa"/>
            <w:gridSpan w:val="3"/>
            <w:vAlign w:val="center"/>
          </w:tcPr>
          <w:p w14:paraId="6B41BAFD" w14:textId="77777777" w:rsidR="008E7806" w:rsidRPr="00F56487" w:rsidRDefault="008E7806" w:rsidP="000D494D">
            <w:pPr>
              <w:jc w:val="center"/>
              <w:rPr>
                <w:sz w:val="16"/>
                <w:szCs w:val="16"/>
              </w:rPr>
            </w:pPr>
            <w:r w:rsidRPr="00F56487">
              <w:rPr>
                <w:sz w:val="16"/>
                <w:szCs w:val="16"/>
              </w:rPr>
              <w:t>Status</w:t>
            </w:r>
          </w:p>
        </w:tc>
      </w:tr>
      <w:tr w:rsidR="008E7806" w:rsidRPr="00F56487" w14:paraId="6907DD05" w14:textId="77777777" w:rsidTr="000D494D">
        <w:trPr>
          <w:trHeight w:val="585"/>
        </w:trPr>
        <w:tc>
          <w:tcPr>
            <w:tcW w:w="745" w:type="dxa"/>
            <w:tcBorders>
              <w:top w:val="nil"/>
              <w:left w:val="nil"/>
              <w:right w:val="nil"/>
            </w:tcBorders>
          </w:tcPr>
          <w:p w14:paraId="0C1CCE99" w14:textId="77777777" w:rsidR="008E7806" w:rsidRPr="00F56487" w:rsidRDefault="008E7806" w:rsidP="000D494D">
            <w:pPr>
              <w:rPr>
                <w:sz w:val="16"/>
                <w:szCs w:val="16"/>
              </w:rPr>
            </w:pPr>
          </w:p>
        </w:tc>
        <w:tc>
          <w:tcPr>
            <w:tcW w:w="924" w:type="dxa"/>
            <w:tcBorders>
              <w:top w:val="nil"/>
              <w:left w:val="nil"/>
            </w:tcBorders>
          </w:tcPr>
          <w:p w14:paraId="482E8512" w14:textId="77777777" w:rsidR="008E7806" w:rsidRPr="00F56487" w:rsidRDefault="008E7806" w:rsidP="000D494D">
            <w:pPr>
              <w:rPr>
                <w:sz w:val="16"/>
                <w:szCs w:val="16"/>
              </w:rPr>
            </w:pPr>
          </w:p>
        </w:tc>
        <w:tc>
          <w:tcPr>
            <w:tcW w:w="766" w:type="dxa"/>
            <w:vAlign w:val="center"/>
          </w:tcPr>
          <w:p w14:paraId="3BB3D3F0" w14:textId="77777777" w:rsidR="008E7806" w:rsidRPr="00F56487" w:rsidRDefault="008E7806" w:rsidP="000D494D">
            <w:pPr>
              <w:jc w:val="center"/>
              <w:rPr>
                <w:sz w:val="16"/>
                <w:szCs w:val="16"/>
              </w:rPr>
            </w:pPr>
            <w:r w:rsidRPr="00F56487">
              <w:rPr>
                <w:sz w:val="16"/>
                <w:szCs w:val="16"/>
              </w:rPr>
              <w:t>Above, at or just below target</w:t>
            </w:r>
          </w:p>
        </w:tc>
        <w:tc>
          <w:tcPr>
            <w:tcW w:w="845" w:type="dxa"/>
            <w:vAlign w:val="center"/>
          </w:tcPr>
          <w:p w14:paraId="7CD67434" w14:textId="77777777" w:rsidR="008E7806" w:rsidRPr="00F56487" w:rsidRDefault="008E7806" w:rsidP="000D494D">
            <w:pPr>
              <w:jc w:val="center"/>
              <w:rPr>
                <w:sz w:val="16"/>
                <w:szCs w:val="16"/>
              </w:rPr>
            </w:pPr>
            <w:r w:rsidRPr="00F56487">
              <w:rPr>
                <w:sz w:val="16"/>
                <w:szCs w:val="16"/>
              </w:rPr>
              <w:t>Below target</w:t>
            </w:r>
          </w:p>
        </w:tc>
        <w:tc>
          <w:tcPr>
            <w:tcW w:w="1048" w:type="dxa"/>
            <w:vAlign w:val="center"/>
          </w:tcPr>
          <w:p w14:paraId="4A34DCCF" w14:textId="77777777" w:rsidR="008E7806" w:rsidRPr="00F56487" w:rsidRDefault="008E7806" w:rsidP="000D494D">
            <w:pPr>
              <w:jc w:val="center"/>
              <w:rPr>
                <w:sz w:val="16"/>
                <w:szCs w:val="16"/>
              </w:rPr>
            </w:pPr>
            <w:r w:rsidRPr="00F56487">
              <w:rPr>
                <w:sz w:val="16"/>
                <w:szCs w:val="16"/>
              </w:rPr>
              <w:t>Substantially below target</w:t>
            </w:r>
          </w:p>
        </w:tc>
      </w:tr>
      <w:tr w:rsidR="008E7806" w:rsidRPr="00F56487" w14:paraId="1D80717F" w14:textId="77777777" w:rsidTr="000D494D">
        <w:trPr>
          <w:trHeight w:val="545"/>
        </w:trPr>
        <w:tc>
          <w:tcPr>
            <w:tcW w:w="745" w:type="dxa"/>
            <w:vMerge w:val="restart"/>
            <w:vAlign w:val="center"/>
          </w:tcPr>
          <w:p w14:paraId="6DB6F144" w14:textId="77777777" w:rsidR="008E7806" w:rsidRPr="00F56487" w:rsidRDefault="008E7806" w:rsidP="000D494D">
            <w:pPr>
              <w:rPr>
                <w:sz w:val="16"/>
                <w:szCs w:val="16"/>
              </w:rPr>
            </w:pPr>
            <w:r w:rsidRPr="00F56487">
              <w:rPr>
                <w:sz w:val="16"/>
                <w:szCs w:val="16"/>
              </w:rPr>
              <w:t>Trend in Status</w:t>
            </w:r>
          </w:p>
        </w:tc>
        <w:tc>
          <w:tcPr>
            <w:tcW w:w="924" w:type="dxa"/>
            <w:vAlign w:val="center"/>
          </w:tcPr>
          <w:p w14:paraId="1E529F7D" w14:textId="77777777" w:rsidR="008E7806" w:rsidRPr="00F56487" w:rsidRDefault="008E7806" w:rsidP="000D494D">
            <w:pPr>
              <w:rPr>
                <w:sz w:val="16"/>
                <w:szCs w:val="16"/>
              </w:rPr>
            </w:pPr>
            <w:r w:rsidRPr="00F56487">
              <w:rPr>
                <w:sz w:val="16"/>
                <w:szCs w:val="16"/>
              </w:rPr>
              <w:t>Positive or not discernible</w:t>
            </w:r>
          </w:p>
        </w:tc>
        <w:tc>
          <w:tcPr>
            <w:tcW w:w="766" w:type="dxa"/>
            <w:shd w:val="clear" w:color="auto" w:fill="00B050"/>
            <w:vAlign w:val="center"/>
          </w:tcPr>
          <w:p w14:paraId="62BD3388" w14:textId="77777777" w:rsidR="008E7806" w:rsidRPr="00F56487" w:rsidRDefault="008E7806" w:rsidP="000D494D">
            <w:pPr>
              <w:jc w:val="center"/>
              <w:rPr>
                <w:sz w:val="16"/>
                <w:szCs w:val="16"/>
              </w:rPr>
            </w:pPr>
            <w:r w:rsidRPr="00F56487">
              <w:rPr>
                <w:sz w:val="16"/>
                <w:szCs w:val="16"/>
              </w:rPr>
              <w:t>Low</w:t>
            </w:r>
          </w:p>
        </w:tc>
        <w:tc>
          <w:tcPr>
            <w:tcW w:w="845" w:type="dxa"/>
            <w:shd w:val="clear" w:color="auto" w:fill="FFC000"/>
            <w:vAlign w:val="center"/>
          </w:tcPr>
          <w:p w14:paraId="0F6EE04B" w14:textId="77777777" w:rsidR="008E7806" w:rsidRPr="00F56487" w:rsidRDefault="008E7806" w:rsidP="000D494D">
            <w:pPr>
              <w:jc w:val="center"/>
              <w:rPr>
                <w:sz w:val="16"/>
                <w:szCs w:val="16"/>
              </w:rPr>
            </w:pPr>
            <w:r w:rsidRPr="00F56487">
              <w:rPr>
                <w:sz w:val="16"/>
                <w:szCs w:val="16"/>
              </w:rPr>
              <w:t>Medium</w:t>
            </w:r>
          </w:p>
        </w:tc>
        <w:tc>
          <w:tcPr>
            <w:tcW w:w="1048" w:type="dxa"/>
            <w:shd w:val="clear" w:color="auto" w:fill="FFC000"/>
            <w:vAlign w:val="center"/>
          </w:tcPr>
          <w:p w14:paraId="2B9F68B3" w14:textId="77777777" w:rsidR="008E7806" w:rsidRPr="00F56487" w:rsidRDefault="008E7806" w:rsidP="000D494D">
            <w:pPr>
              <w:jc w:val="center"/>
              <w:rPr>
                <w:sz w:val="16"/>
                <w:szCs w:val="16"/>
              </w:rPr>
            </w:pPr>
            <w:r w:rsidRPr="00F56487">
              <w:rPr>
                <w:sz w:val="16"/>
                <w:szCs w:val="16"/>
              </w:rPr>
              <w:t>Medium</w:t>
            </w:r>
          </w:p>
        </w:tc>
      </w:tr>
      <w:tr w:rsidR="008E7806" w:rsidRPr="00F56487" w14:paraId="574C54BC" w14:textId="77777777" w:rsidTr="000D494D">
        <w:trPr>
          <w:trHeight w:val="545"/>
        </w:trPr>
        <w:tc>
          <w:tcPr>
            <w:tcW w:w="745" w:type="dxa"/>
            <w:vMerge/>
            <w:vAlign w:val="center"/>
          </w:tcPr>
          <w:p w14:paraId="638EE023" w14:textId="77777777" w:rsidR="008E7806" w:rsidRPr="00F56487" w:rsidRDefault="008E7806" w:rsidP="000D494D">
            <w:pPr>
              <w:rPr>
                <w:sz w:val="16"/>
                <w:szCs w:val="16"/>
              </w:rPr>
            </w:pPr>
          </w:p>
        </w:tc>
        <w:tc>
          <w:tcPr>
            <w:tcW w:w="924" w:type="dxa"/>
            <w:vAlign w:val="center"/>
          </w:tcPr>
          <w:p w14:paraId="7B399818" w14:textId="77777777" w:rsidR="008E7806" w:rsidRPr="00F56487" w:rsidRDefault="008E7806" w:rsidP="000D494D">
            <w:pPr>
              <w:rPr>
                <w:sz w:val="16"/>
                <w:szCs w:val="16"/>
              </w:rPr>
            </w:pPr>
            <w:r w:rsidRPr="00F56487">
              <w:rPr>
                <w:sz w:val="16"/>
                <w:szCs w:val="16"/>
              </w:rPr>
              <w:t>Negative</w:t>
            </w:r>
          </w:p>
        </w:tc>
        <w:tc>
          <w:tcPr>
            <w:tcW w:w="766" w:type="dxa"/>
            <w:shd w:val="clear" w:color="auto" w:fill="FFC000"/>
            <w:vAlign w:val="center"/>
          </w:tcPr>
          <w:p w14:paraId="6B8CDACF" w14:textId="77777777" w:rsidR="008E7806" w:rsidRPr="00F56487" w:rsidRDefault="008E7806" w:rsidP="000D494D">
            <w:pPr>
              <w:jc w:val="center"/>
              <w:rPr>
                <w:sz w:val="16"/>
                <w:szCs w:val="16"/>
              </w:rPr>
            </w:pPr>
            <w:r w:rsidRPr="00F56487">
              <w:rPr>
                <w:sz w:val="16"/>
                <w:szCs w:val="16"/>
              </w:rPr>
              <w:t>Medium</w:t>
            </w:r>
          </w:p>
        </w:tc>
        <w:tc>
          <w:tcPr>
            <w:tcW w:w="845" w:type="dxa"/>
            <w:shd w:val="clear" w:color="auto" w:fill="FFC000"/>
            <w:vAlign w:val="center"/>
          </w:tcPr>
          <w:p w14:paraId="15B32E6A" w14:textId="77777777" w:rsidR="008E7806" w:rsidRPr="00F56487" w:rsidRDefault="008E7806" w:rsidP="000D494D">
            <w:pPr>
              <w:jc w:val="center"/>
              <w:rPr>
                <w:color w:val="000000" w:themeColor="text1"/>
                <w:sz w:val="16"/>
                <w:szCs w:val="16"/>
              </w:rPr>
            </w:pPr>
            <w:r w:rsidRPr="00F56487">
              <w:rPr>
                <w:color w:val="000000" w:themeColor="text1"/>
                <w:sz w:val="16"/>
                <w:szCs w:val="16"/>
              </w:rPr>
              <w:t>Medium*</w:t>
            </w:r>
          </w:p>
        </w:tc>
        <w:tc>
          <w:tcPr>
            <w:tcW w:w="1048" w:type="dxa"/>
            <w:shd w:val="clear" w:color="auto" w:fill="C00000"/>
            <w:vAlign w:val="center"/>
          </w:tcPr>
          <w:p w14:paraId="16084BB0" w14:textId="77777777" w:rsidR="008E7806" w:rsidRPr="00F56487" w:rsidRDefault="008E7806" w:rsidP="000D494D">
            <w:pPr>
              <w:jc w:val="center"/>
              <w:rPr>
                <w:color w:val="000000" w:themeColor="text1"/>
                <w:sz w:val="16"/>
                <w:szCs w:val="16"/>
              </w:rPr>
            </w:pPr>
            <w:r w:rsidRPr="00F56487">
              <w:rPr>
                <w:color w:val="000000" w:themeColor="text1"/>
                <w:sz w:val="16"/>
                <w:szCs w:val="16"/>
              </w:rPr>
              <w:t>High</w:t>
            </w:r>
          </w:p>
        </w:tc>
      </w:tr>
      <w:tr w:rsidR="008E7806" w:rsidRPr="00F56487" w14:paraId="65D83920" w14:textId="77777777" w:rsidTr="000D494D">
        <w:trPr>
          <w:trHeight w:val="545"/>
        </w:trPr>
        <w:tc>
          <w:tcPr>
            <w:tcW w:w="745" w:type="dxa"/>
            <w:vMerge/>
            <w:vAlign w:val="center"/>
          </w:tcPr>
          <w:p w14:paraId="265B9A2C" w14:textId="77777777" w:rsidR="008E7806" w:rsidRPr="00F56487" w:rsidRDefault="008E7806" w:rsidP="000D494D">
            <w:pPr>
              <w:rPr>
                <w:sz w:val="16"/>
                <w:szCs w:val="16"/>
              </w:rPr>
            </w:pPr>
          </w:p>
        </w:tc>
        <w:tc>
          <w:tcPr>
            <w:tcW w:w="924" w:type="dxa"/>
            <w:vAlign w:val="center"/>
          </w:tcPr>
          <w:p w14:paraId="233656B7" w14:textId="77777777" w:rsidR="008E7806" w:rsidRPr="00F56487" w:rsidRDefault="008E7806" w:rsidP="000D494D">
            <w:pPr>
              <w:rPr>
                <w:sz w:val="16"/>
                <w:szCs w:val="16"/>
              </w:rPr>
            </w:pPr>
            <w:r w:rsidRPr="00F56487">
              <w:rPr>
                <w:sz w:val="16"/>
                <w:szCs w:val="16"/>
              </w:rPr>
              <w:t>Strongly Negative</w:t>
            </w:r>
          </w:p>
        </w:tc>
        <w:tc>
          <w:tcPr>
            <w:tcW w:w="766" w:type="dxa"/>
            <w:shd w:val="clear" w:color="auto" w:fill="C00000"/>
            <w:vAlign w:val="center"/>
          </w:tcPr>
          <w:p w14:paraId="76A95DF4" w14:textId="77777777" w:rsidR="008E7806" w:rsidRPr="00F56487" w:rsidRDefault="008E7806" w:rsidP="000D494D">
            <w:pPr>
              <w:jc w:val="center"/>
              <w:rPr>
                <w:color w:val="000000" w:themeColor="text1"/>
                <w:sz w:val="16"/>
                <w:szCs w:val="16"/>
              </w:rPr>
            </w:pPr>
            <w:r w:rsidRPr="00F56487">
              <w:rPr>
                <w:color w:val="000000" w:themeColor="text1"/>
                <w:sz w:val="16"/>
                <w:szCs w:val="16"/>
              </w:rPr>
              <w:t>High</w:t>
            </w:r>
          </w:p>
        </w:tc>
        <w:tc>
          <w:tcPr>
            <w:tcW w:w="845" w:type="dxa"/>
            <w:shd w:val="clear" w:color="auto" w:fill="C00000"/>
            <w:vAlign w:val="center"/>
          </w:tcPr>
          <w:p w14:paraId="5A8651AD" w14:textId="77777777" w:rsidR="008E7806" w:rsidRPr="00F56487" w:rsidRDefault="008E7806" w:rsidP="000D494D">
            <w:pPr>
              <w:jc w:val="center"/>
              <w:rPr>
                <w:color w:val="000000" w:themeColor="text1"/>
                <w:sz w:val="16"/>
                <w:szCs w:val="16"/>
              </w:rPr>
            </w:pPr>
            <w:r w:rsidRPr="00F56487">
              <w:rPr>
                <w:color w:val="000000" w:themeColor="text1"/>
                <w:sz w:val="16"/>
                <w:szCs w:val="16"/>
              </w:rPr>
              <w:t>High</w:t>
            </w:r>
          </w:p>
        </w:tc>
        <w:tc>
          <w:tcPr>
            <w:tcW w:w="1048" w:type="dxa"/>
            <w:shd w:val="clear" w:color="auto" w:fill="C00000"/>
            <w:vAlign w:val="center"/>
          </w:tcPr>
          <w:p w14:paraId="6DF83362" w14:textId="77777777" w:rsidR="008E7806" w:rsidRPr="00F56487" w:rsidRDefault="008E7806" w:rsidP="000D494D">
            <w:pPr>
              <w:jc w:val="center"/>
              <w:rPr>
                <w:color w:val="000000" w:themeColor="text1"/>
                <w:sz w:val="16"/>
                <w:szCs w:val="16"/>
              </w:rPr>
            </w:pPr>
            <w:r w:rsidRPr="00F56487">
              <w:rPr>
                <w:color w:val="000000" w:themeColor="text1"/>
                <w:sz w:val="16"/>
                <w:szCs w:val="16"/>
              </w:rPr>
              <w:t>High</w:t>
            </w:r>
          </w:p>
        </w:tc>
      </w:tr>
    </w:tbl>
    <w:p w14:paraId="1BF18926" w14:textId="77777777" w:rsidR="008E7806" w:rsidRPr="008E7806" w:rsidRDefault="008E7806" w:rsidP="008E7806"/>
    <w:tbl>
      <w:tblPr>
        <w:tblStyle w:val="TableGrid"/>
        <w:tblpPr w:leftFromText="180" w:rightFromText="180" w:vertAnchor="text" w:horzAnchor="margin" w:tblpXSpec="right" w:tblpY="1555"/>
        <w:tblW w:w="0" w:type="auto"/>
        <w:tblLook w:val="04A0" w:firstRow="1" w:lastRow="0" w:firstColumn="1" w:lastColumn="0" w:noHBand="0" w:noVBand="1"/>
      </w:tblPr>
      <w:tblGrid>
        <w:gridCol w:w="1189"/>
        <w:gridCol w:w="1038"/>
        <w:gridCol w:w="1038"/>
      </w:tblGrid>
      <w:tr w:rsidR="008E7806" w:rsidRPr="00E05068" w14:paraId="0994AAC6" w14:textId="77777777" w:rsidTr="000D494D">
        <w:trPr>
          <w:trHeight w:val="582"/>
        </w:trPr>
        <w:tc>
          <w:tcPr>
            <w:tcW w:w="1189" w:type="dxa"/>
            <w:tcBorders>
              <w:top w:val="nil"/>
              <w:left w:val="nil"/>
            </w:tcBorders>
          </w:tcPr>
          <w:p w14:paraId="019FDDE4" w14:textId="77777777" w:rsidR="008E7806" w:rsidRPr="00E05068" w:rsidRDefault="008E7806" w:rsidP="000D494D">
            <w:pPr>
              <w:rPr>
                <w:sz w:val="16"/>
                <w:szCs w:val="16"/>
              </w:rPr>
            </w:pPr>
          </w:p>
          <w:p w14:paraId="6D1020DC" w14:textId="77777777" w:rsidR="008E7806" w:rsidRPr="00E05068" w:rsidRDefault="008E7806" w:rsidP="000D494D">
            <w:pPr>
              <w:rPr>
                <w:sz w:val="16"/>
                <w:szCs w:val="16"/>
              </w:rPr>
            </w:pPr>
          </w:p>
        </w:tc>
        <w:tc>
          <w:tcPr>
            <w:tcW w:w="1038" w:type="dxa"/>
            <w:vAlign w:val="center"/>
          </w:tcPr>
          <w:p w14:paraId="1EC97822" w14:textId="77777777" w:rsidR="008E7806" w:rsidRPr="00E05068" w:rsidRDefault="008E7806" w:rsidP="000D494D">
            <w:pPr>
              <w:jc w:val="center"/>
              <w:rPr>
                <w:sz w:val="16"/>
                <w:szCs w:val="16"/>
              </w:rPr>
            </w:pPr>
            <w:r w:rsidRPr="00E05068">
              <w:rPr>
                <w:sz w:val="16"/>
                <w:szCs w:val="16"/>
              </w:rPr>
              <w:t xml:space="preserve">High confidence </w:t>
            </w:r>
          </w:p>
        </w:tc>
        <w:tc>
          <w:tcPr>
            <w:tcW w:w="1038" w:type="dxa"/>
            <w:vAlign w:val="center"/>
          </w:tcPr>
          <w:p w14:paraId="3212780F" w14:textId="77777777" w:rsidR="008E7806" w:rsidRPr="00E05068" w:rsidRDefault="008E7806" w:rsidP="000D494D">
            <w:pPr>
              <w:jc w:val="center"/>
              <w:rPr>
                <w:sz w:val="16"/>
                <w:szCs w:val="16"/>
              </w:rPr>
            </w:pPr>
            <w:r w:rsidRPr="00E05068">
              <w:rPr>
                <w:sz w:val="16"/>
                <w:szCs w:val="16"/>
              </w:rPr>
              <w:t>Low confidence</w:t>
            </w:r>
          </w:p>
        </w:tc>
      </w:tr>
      <w:tr w:rsidR="008E7806" w:rsidRPr="00E05068" w14:paraId="43A4A102" w14:textId="77777777" w:rsidTr="00B134F9">
        <w:trPr>
          <w:trHeight w:val="259"/>
        </w:trPr>
        <w:tc>
          <w:tcPr>
            <w:tcW w:w="1189" w:type="dxa"/>
            <w:vAlign w:val="center"/>
          </w:tcPr>
          <w:p w14:paraId="276820CF" w14:textId="77777777" w:rsidR="008E7806" w:rsidRPr="00E05068" w:rsidRDefault="008E7806" w:rsidP="000D494D">
            <w:pPr>
              <w:rPr>
                <w:sz w:val="16"/>
                <w:szCs w:val="16"/>
              </w:rPr>
            </w:pPr>
            <w:r w:rsidRPr="00E05068">
              <w:rPr>
                <w:sz w:val="16"/>
                <w:szCs w:val="16"/>
              </w:rPr>
              <w:t>Low risk</w:t>
            </w:r>
          </w:p>
        </w:tc>
        <w:tc>
          <w:tcPr>
            <w:tcW w:w="1038" w:type="dxa"/>
            <w:shd w:val="clear" w:color="auto" w:fill="00B050"/>
            <w:vAlign w:val="center"/>
          </w:tcPr>
          <w:p w14:paraId="60BF657C" w14:textId="77777777" w:rsidR="008E7806" w:rsidRPr="00E05068" w:rsidRDefault="008E7806" w:rsidP="000D494D">
            <w:pPr>
              <w:jc w:val="center"/>
              <w:rPr>
                <w:sz w:val="16"/>
                <w:szCs w:val="16"/>
              </w:rPr>
            </w:pPr>
            <w:r w:rsidRPr="00E05068">
              <w:rPr>
                <w:sz w:val="16"/>
                <w:szCs w:val="16"/>
              </w:rPr>
              <w:t>A</w:t>
            </w:r>
          </w:p>
        </w:tc>
        <w:tc>
          <w:tcPr>
            <w:tcW w:w="1038" w:type="dxa"/>
            <w:shd w:val="clear" w:color="auto" w:fill="DEEAF6" w:themeFill="accent5" w:themeFillTint="33"/>
            <w:vAlign w:val="center"/>
          </w:tcPr>
          <w:p w14:paraId="29A54068" w14:textId="77777777" w:rsidR="008E7806" w:rsidRPr="00E05068" w:rsidRDefault="008E7806" w:rsidP="000D494D">
            <w:pPr>
              <w:jc w:val="center"/>
              <w:rPr>
                <w:sz w:val="16"/>
                <w:szCs w:val="16"/>
              </w:rPr>
            </w:pPr>
            <w:r w:rsidRPr="00E05068">
              <w:rPr>
                <w:sz w:val="16"/>
                <w:szCs w:val="16"/>
              </w:rPr>
              <w:t>A</w:t>
            </w:r>
          </w:p>
        </w:tc>
      </w:tr>
      <w:tr w:rsidR="008E7806" w:rsidRPr="00E05068" w14:paraId="3B4C9B8E" w14:textId="77777777" w:rsidTr="00B134F9">
        <w:trPr>
          <w:trHeight w:val="262"/>
        </w:trPr>
        <w:tc>
          <w:tcPr>
            <w:tcW w:w="1189" w:type="dxa"/>
            <w:vAlign w:val="center"/>
          </w:tcPr>
          <w:p w14:paraId="1DC1B1A8" w14:textId="77777777" w:rsidR="008E7806" w:rsidRPr="00E05068" w:rsidRDefault="008E7806" w:rsidP="000D494D">
            <w:pPr>
              <w:rPr>
                <w:sz w:val="16"/>
                <w:szCs w:val="16"/>
              </w:rPr>
            </w:pPr>
            <w:r w:rsidRPr="00E05068">
              <w:rPr>
                <w:sz w:val="16"/>
                <w:szCs w:val="16"/>
              </w:rPr>
              <w:t>High risk (or risk unknown)</w:t>
            </w:r>
          </w:p>
        </w:tc>
        <w:tc>
          <w:tcPr>
            <w:tcW w:w="1038" w:type="dxa"/>
            <w:shd w:val="clear" w:color="auto" w:fill="FFC000"/>
            <w:vAlign w:val="center"/>
          </w:tcPr>
          <w:p w14:paraId="2AC92B09" w14:textId="77777777" w:rsidR="008E7806" w:rsidRPr="00E05068" w:rsidRDefault="008E7806" w:rsidP="000D494D">
            <w:pPr>
              <w:jc w:val="center"/>
              <w:rPr>
                <w:sz w:val="16"/>
                <w:szCs w:val="16"/>
              </w:rPr>
            </w:pPr>
            <w:r w:rsidRPr="00E05068">
              <w:rPr>
                <w:sz w:val="16"/>
                <w:szCs w:val="16"/>
              </w:rPr>
              <w:t>B-B*</w:t>
            </w:r>
          </w:p>
        </w:tc>
        <w:tc>
          <w:tcPr>
            <w:tcW w:w="1038" w:type="dxa"/>
            <w:shd w:val="clear" w:color="auto" w:fill="FFE9A3"/>
            <w:vAlign w:val="center"/>
          </w:tcPr>
          <w:p w14:paraId="0284CA2C" w14:textId="77777777" w:rsidR="008E7806" w:rsidRPr="00E05068" w:rsidRDefault="008E7806" w:rsidP="000D494D">
            <w:pPr>
              <w:jc w:val="center"/>
              <w:rPr>
                <w:color w:val="000000" w:themeColor="text1"/>
                <w:sz w:val="16"/>
                <w:szCs w:val="16"/>
              </w:rPr>
            </w:pPr>
            <w:r w:rsidRPr="00E05068">
              <w:rPr>
                <w:color w:val="000000" w:themeColor="text1"/>
                <w:sz w:val="16"/>
                <w:szCs w:val="16"/>
              </w:rPr>
              <w:t>B-B*</w:t>
            </w:r>
          </w:p>
        </w:tc>
      </w:tr>
      <w:tr w:rsidR="008E7806" w:rsidRPr="00E05068" w14:paraId="6BC05146" w14:textId="77777777" w:rsidTr="00B134F9">
        <w:trPr>
          <w:trHeight w:val="255"/>
        </w:trPr>
        <w:tc>
          <w:tcPr>
            <w:tcW w:w="1189" w:type="dxa"/>
            <w:vAlign w:val="center"/>
          </w:tcPr>
          <w:p w14:paraId="04F85874" w14:textId="77777777" w:rsidR="008E7806" w:rsidRPr="00E05068" w:rsidRDefault="008E7806" w:rsidP="000D494D">
            <w:pPr>
              <w:rPr>
                <w:sz w:val="16"/>
                <w:szCs w:val="16"/>
              </w:rPr>
            </w:pPr>
            <w:r w:rsidRPr="00E05068">
              <w:rPr>
                <w:sz w:val="16"/>
                <w:szCs w:val="16"/>
              </w:rPr>
              <w:t>Very high risk</w:t>
            </w:r>
          </w:p>
        </w:tc>
        <w:tc>
          <w:tcPr>
            <w:tcW w:w="1038" w:type="dxa"/>
            <w:shd w:val="clear" w:color="auto" w:fill="C00000"/>
            <w:vAlign w:val="center"/>
          </w:tcPr>
          <w:p w14:paraId="466617A8" w14:textId="77777777" w:rsidR="008E7806" w:rsidRPr="00E05068" w:rsidRDefault="008E7806" w:rsidP="000D494D">
            <w:pPr>
              <w:jc w:val="center"/>
              <w:rPr>
                <w:color w:val="000000" w:themeColor="text1"/>
                <w:sz w:val="16"/>
                <w:szCs w:val="16"/>
              </w:rPr>
            </w:pPr>
            <w:r w:rsidRPr="00E05068">
              <w:rPr>
                <w:color w:val="000000" w:themeColor="text1"/>
                <w:sz w:val="16"/>
                <w:szCs w:val="16"/>
              </w:rPr>
              <w:t>C</w:t>
            </w:r>
          </w:p>
        </w:tc>
        <w:tc>
          <w:tcPr>
            <w:tcW w:w="1038" w:type="dxa"/>
            <w:shd w:val="clear" w:color="auto" w:fill="FFB7B7"/>
            <w:vAlign w:val="center"/>
          </w:tcPr>
          <w:p w14:paraId="55A666BD" w14:textId="77777777" w:rsidR="008E7806" w:rsidRPr="00E05068" w:rsidRDefault="008E7806" w:rsidP="000D494D">
            <w:pPr>
              <w:jc w:val="center"/>
              <w:rPr>
                <w:color w:val="000000" w:themeColor="text1"/>
                <w:sz w:val="16"/>
                <w:szCs w:val="16"/>
              </w:rPr>
            </w:pPr>
            <w:r w:rsidRPr="00E05068">
              <w:rPr>
                <w:color w:val="000000" w:themeColor="text1"/>
                <w:sz w:val="16"/>
                <w:szCs w:val="16"/>
              </w:rPr>
              <w:t>C</w:t>
            </w:r>
          </w:p>
        </w:tc>
      </w:tr>
    </w:tbl>
    <w:p w14:paraId="25124364" w14:textId="77777777" w:rsidR="008E7806" w:rsidRDefault="008E7806" w:rsidP="008E7806"/>
    <w:p w14:paraId="0BE01DD8" w14:textId="77777777" w:rsidR="008E7806" w:rsidRPr="008E7806" w:rsidRDefault="008E7806" w:rsidP="008E7806"/>
    <w:p w14:paraId="1983E469" w14:textId="77777777" w:rsidR="008E7806" w:rsidRPr="008E7806" w:rsidRDefault="008E7806" w:rsidP="008E7806"/>
    <w:p w14:paraId="3541897B" w14:textId="77777777" w:rsidR="008E7806" w:rsidRPr="008E7806" w:rsidRDefault="008E7806" w:rsidP="008E7806"/>
    <w:p w14:paraId="01D9359A" w14:textId="77777777" w:rsidR="008E7806" w:rsidRPr="008E7806" w:rsidRDefault="008E7806" w:rsidP="008E7806"/>
    <w:p w14:paraId="1E3E4C59" w14:textId="77777777" w:rsidR="008E7806" w:rsidRPr="008E7806" w:rsidRDefault="008E7806" w:rsidP="008E7806"/>
    <w:p w14:paraId="421C0A79" w14:textId="77777777" w:rsidR="008E7806" w:rsidRDefault="008E7806" w:rsidP="008E7806"/>
    <w:p w14:paraId="220B7627" w14:textId="77777777" w:rsidR="008E7806" w:rsidRDefault="008E7806" w:rsidP="008E7806"/>
    <w:p w14:paraId="6DB88411" w14:textId="77777777" w:rsidR="008E7806" w:rsidRDefault="008E7806" w:rsidP="008E7806"/>
    <w:p w14:paraId="6B7E092C" w14:textId="560AE0A7" w:rsidR="00781EC5" w:rsidRDefault="00781EC5" w:rsidP="008D30E2">
      <w:pPr>
        <w:pStyle w:val="Caption"/>
        <w:keepNext/>
      </w:pPr>
      <w:r>
        <w:t xml:space="preserve">Table </w:t>
      </w:r>
      <w:r w:rsidR="00942838">
        <w:fldChar w:fldCharType="begin"/>
      </w:r>
      <w:r w:rsidR="00942838">
        <w:instrText xml:space="preserve"> SEQ Table \* ARABIC </w:instrText>
      </w:r>
      <w:r w:rsidR="00942838">
        <w:fldChar w:fldCharType="separate"/>
      </w:r>
      <w:r>
        <w:rPr>
          <w:noProof/>
        </w:rPr>
        <w:t>3</w:t>
      </w:r>
      <w:r w:rsidR="00942838">
        <w:rPr>
          <w:noProof/>
        </w:rPr>
        <w:fldChar w:fldCharType="end"/>
      </w:r>
      <w:r>
        <w:t>: Seagrass Asset and Risk Register</w:t>
      </w:r>
    </w:p>
    <w:tbl>
      <w:tblPr>
        <w:tblW w:w="13580" w:type="dxa"/>
        <w:tblLook w:val="04A0" w:firstRow="1" w:lastRow="0" w:firstColumn="1" w:lastColumn="0" w:noHBand="0" w:noVBand="1"/>
      </w:tblPr>
      <w:tblGrid>
        <w:gridCol w:w="1130"/>
        <w:gridCol w:w="973"/>
        <w:gridCol w:w="1402"/>
        <w:gridCol w:w="1545"/>
        <w:gridCol w:w="3587"/>
        <w:gridCol w:w="2713"/>
        <w:gridCol w:w="1360"/>
        <w:gridCol w:w="870"/>
      </w:tblGrid>
      <w:tr w:rsidR="000664FF" w14:paraId="50BAB8B4" w14:textId="77777777" w:rsidTr="0077456F">
        <w:trPr>
          <w:trHeight w:val="780"/>
          <w:tblHeader/>
        </w:trPr>
        <w:tc>
          <w:tcPr>
            <w:tcW w:w="1130" w:type="dxa"/>
            <w:tcBorders>
              <w:top w:val="single" w:sz="8" w:space="0" w:color="auto"/>
              <w:left w:val="single" w:sz="8" w:space="0" w:color="auto"/>
              <w:bottom w:val="single" w:sz="8" w:space="0" w:color="auto"/>
              <w:right w:val="single" w:sz="8" w:space="0" w:color="auto"/>
            </w:tcBorders>
            <w:hideMark/>
          </w:tcPr>
          <w:p w14:paraId="461844E4" w14:textId="77777777" w:rsidR="000664FF" w:rsidRDefault="000664FF">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Broad Habitat type</w:t>
            </w:r>
          </w:p>
        </w:tc>
        <w:tc>
          <w:tcPr>
            <w:tcW w:w="973" w:type="dxa"/>
            <w:tcBorders>
              <w:top w:val="single" w:sz="8" w:space="0" w:color="auto"/>
              <w:left w:val="nil"/>
              <w:bottom w:val="nil"/>
              <w:right w:val="single" w:sz="8" w:space="0" w:color="auto"/>
            </w:tcBorders>
            <w:hideMark/>
          </w:tcPr>
          <w:p w14:paraId="2C17A76F" w14:textId="77777777" w:rsidR="000664FF" w:rsidRDefault="000664FF">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Habitat / Species Asset</w:t>
            </w:r>
          </w:p>
        </w:tc>
        <w:tc>
          <w:tcPr>
            <w:tcW w:w="1402" w:type="dxa"/>
            <w:tcBorders>
              <w:top w:val="single" w:sz="8" w:space="0" w:color="auto"/>
              <w:left w:val="nil"/>
              <w:bottom w:val="nil"/>
              <w:right w:val="single" w:sz="8" w:space="0" w:color="auto"/>
            </w:tcBorders>
            <w:hideMark/>
          </w:tcPr>
          <w:p w14:paraId="227F278A" w14:textId="77777777" w:rsidR="000664FF" w:rsidRDefault="000664FF">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Benefit</w:t>
            </w:r>
          </w:p>
        </w:tc>
        <w:tc>
          <w:tcPr>
            <w:tcW w:w="1545" w:type="dxa"/>
            <w:tcBorders>
              <w:top w:val="single" w:sz="8" w:space="0" w:color="auto"/>
              <w:left w:val="nil"/>
              <w:bottom w:val="nil"/>
              <w:right w:val="single" w:sz="8" w:space="0" w:color="auto"/>
            </w:tcBorders>
            <w:noWrap/>
            <w:hideMark/>
          </w:tcPr>
          <w:p w14:paraId="031CA749" w14:textId="77777777" w:rsidR="000664FF" w:rsidRDefault="000664FF">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Characteristic</w:t>
            </w:r>
          </w:p>
        </w:tc>
        <w:tc>
          <w:tcPr>
            <w:tcW w:w="3587" w:type="dxa"/>
            <w:tcBorders>
              <w:top w:val="single" w:sz="8" w:space="0" w:color="auto"/>
              <w:left w:val="nil"/>
              <w:bottom w:val="nil"/>
              <w:right w:val="single" w:sz="8" w:space="0" w:color="auto"/>
            </w:tcBorders>
            <w:noWrap/>
            <w:hideMark/>
          </w:tcPr>
          <w:p w14:paraId="7D4A604D" w14:textId="77777777" w:rsidR="000664FF" w:rsidRDefault="000664FF">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Current Status</w:t>
            </w:r>
          </w:p>
        </w:tc>
        <w:tc>
          <w:tcPr>
            <w:tcW w:w="2713" w:type="dxa"/>
            <w:tcBorders>
              <w:top w:val="single" w:sz="8" w:space="0" w:color="auto"/>
              <w:left w:val="nil"/>
              <w:bottom w:val="nil"/>
              <w:right w:val="single" w:sz="8" w:space="0" w:color="auto"/>
            </w:tcBorders>
            <w:noWrap/>
            <w:hideMark/>
          </w:tcPr>
          <w:p w14:paraId="295D6070" w14:textId="77777777" w:rsidR="000664FF" w:rsidRDefault="000664FF">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Target</w:t>
            </w:r>
          </w:p>
        </w:tc>
        <w:tc>
          <w:tcPr>
            <w:tcW w:w="1360" w:type="dxa"/>
            <w:tcBorders>
              <w:top w:val="single" w:sz="8" w:space="0" w:color="auto"/>
              <w:left w:val="nil"/>
              <w:bottom w:val="nil"/>
              <w:right w:val="single" w:sz="8" w:space="0" w:color="auto"/>
            </w:tcBorders>
            <w:noWrap/>
            <w:hideMark/>
          </w:tcPr>
          <w:p w14:paraId="7E4979D5" w14:textId="77777777" w:rsidR="000664FF" w:rsidRDefault="000664FF">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Trend</w:t>
            </w:r>
          </w:p>
        </w:tc>
        <w:tc>
          <w:tcPr>
            <w:tcW w:w="870" w:type="dxa"/>
            <w:tcBorders>
              <w:top w:val="single" w:sz="8" w:space="0" w:color="auto"/>
              <w:left w:val="nil"/>
              <w:bottom w:val="nil"/>
              <w:right w:val="single" w:sz="8" w:space="0" w:color="auto"/>
            </w:tcBorders>
            <w:noWrap/>
            <w:hideMark/>
          </w:tcPr>
          <w:p w14:paraId="63D3D5B7" w14:textId="77777777" w:rsidR="000664FF" w:rsidRDefault="000664FF">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RAG</w:t>
            </w:r>
          </w:p>
        </w:tc>
      </w:tr>
      <w:tr w:rsidR="000664FF" w14:paraId="6BA3ADCC" w14:textId="77777777" w:rsidTr="0072053B">
        <w:trPr>
          <w:trHeight w:val="2019"/>
        </w:trPr>
        <w:tc>
          <w:tcPr>
            <w:tcW w:w="1130" w:type="dxa"/>
            <w:vMerge w:val="restart"/>
            <w:tcBorders>
              <w:top w:val="nil"/>
              <w:left w:val="single" w:sz="8" w:space="0" w:color="auto"/>
              <w:bottom w:val="single" w:sz="8" w:space="0" w:color="000000"/>
              <w:right w:val="nil"/>
            </w:tcBorders>
            <w:shd w:val="clear" w:color="auto" w:fill="F2F2F2"/>
            <w:noWrap/>
            <w:hideMark/>
          </w:tcPr>
          <w:p w14:paraId="264CA876" w14:textId="77777777" w:rsidR="000664FF" w:rsidRDefault="000664FF">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Coastal Margin</w:t>
            </w:r>
          </w:p>
        </w:tc>
        <w:tc>
          <w:tcPr>
            <w:tcW w:w="973" w:type="dxa"/>
            <w:vMerge w:val="restart"/>
            <w:tcBorders>
              <w:top w:val="single" w:sz="4" w:space="0" w:color="auto"/>
              <w:left w:val="single" w:sz="4" w:space="0" w:color="auto"/>
              <w:bottom w:val="single" w:sz="4" w:space="0" w:color="auto"/>
              <w:right w:val="single" w:sz="4" w:space="0" w:color="auto"/>
            </w:tcBorders>
            <w:hideMark/>
          </w:tcPr>
          <w:p w14:paraId="65E76CE3" w14:textId="45F5A506" w:rsidR="000664FF" w:rsidRDefault="0077456F">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Intertidal Seagrass</w:t>
            </w:r>
            <w:r w:rsidR="000664FF">
              <w:rPr>
                <w:rFonts w:ascii="Calibri" w:eastAsia="Times New Roman" w:hAnsi="Calibri" w:cs="Calibri"/>
                <w:color w:val="000000"/>
                <w:sz w:val="16"/>
                <w:szCs w:val="16"/>
                <w:lang w:eastAsia="en-GB"/>
              </w:rPr>
              <w:t xml:space="preserve"> </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7A493F3E" w14:textId="77777777" w:rsidR="000664FF" w:rsidRDefault="000664FF">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 Food (Wild Food - fish and shellfish).    </w:t>
            </w:r>
          </w:p>
          <w:p w14:paraId="670C1440" w14:textId="77777777" w:rsidR="000664FF" w:rsidRDefault="000664FF">
            <w:pPr>
              <w:spacing w:after="0" w:line="240" w:lineRule="auto"/>
              <w:ind w:hanging="52"/>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Healthy climate (carbon sequestration).         • Sea defence. (</w:t>
            </w:r>
            <w:proofErr w:type="gramStart"/>
            <w:r>
              <w:rPr>
                <w:rFonts w:ascii="Calibri" w:eastAsia="Times New Roman" w:hAnsi="Calibri" w:cs="Calibri"/>
                <w:b/>
                <w:bCs/>
                <w:color w:val="000000"/>
                <w:sz w:val="16"/>
                <w:szCs w:val="16"/>
                <w:lang w:eastAsia="en-GB"/>
              </w:rPr>
              <w:t>natural</w:t>
            </w:r>
            <w:proofErr w:type="gramEnd"/>
            <w:r>
              <w:rPr>
                <w:rFonts w:ascii="Calibri" w:eastAsia="Times New Roman" w:hAnsi="Calibri" w:cs="Calibri"/>
                <w:b/>
                <w:bCs/>
                <w:color w:val="000000"/>
                <w:sz w:val="16"/>
                <w:szCs w:val="16"/>
                <w:lang w:eastAsia="en-GB"/>
              </w:rPr>
              <w:t xml:space="preserve"> hazard regulation).               • Tourism/nature watching.                  • Clean water and sediments.</w:t>
            </w:r>
          </w:p>
        </w:tc>
        <w:tc>
          <w:tcPr>
            <w:tcW w:w="1545" w:type="dxa"/>
            <w:vMerge w:val="restart"/>
            <w:tcBorders>
              <w:top w:val="single" w:sz="4" w:space="0" w:color="auto"/>
              <w:left w:val="single" w:sz="4" w:space="0" w:color="auto"/>
              <w:bottom w:val="single" w:sz="4" w:space="0" w:color="auto"/>
              <w:right w:val="single" w:sz="4" w:space="0" w:color="auto"/>
            </w:tcBorders>
            <w:noWrap/>
            <w:hideMark/>
          </w:tcPr>
          <w:p w14:paraId="5571B649" w14:textId="77777777" w:rsidR="000664FF" w:rsidRDefault="000664FF">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Quantity/Extent</w:t>
            </w:r>
          </w:p>
        </w:tc>
        <w:tc>
          <w:tcPr>
            <w:tcW w:w="3587" w:type="dxa"/>
            <w:tcBorders>
              <w:top w:val="single" w:sz="4" w:space="0" w:color="auto"/>
              <w:left w:val="nil"/>
              <w:bottom w:val="single" w:sz="4" w:space="0" w:color="auto"/>
              <w:right w:val="single" w:sz="4" w:space="0" w:color="auto"/>
            </w:tcBorders>
            <w:hideMark/>
          </w:tcPr>
          <w:p w14:paraId="41F613ED" w14:textId="77777777" w:rsidR="000664FF" w:rsidRDefault="00BA66F3">
            <w:pPr>
              <w:spacing w:after="0" w:line="240" w:lineRule="auto"/>
              <w:rPr>
                <w:rFonts w:ascii="Calibri" w:eastAsia="Times New Roman" w:hAnsi="Calibri" w:cs="Calibri"/>
                <w:color w:val="000000"/>
                <w:sz w:val="16"/>
                <w:szCs w:val="16"/>
                <w:lang w:eastAsia="en-GB"/>
              </w:rPr>
            </w:pPr>
            <w:r w:rsidRPr="00BA66F3">
              <w:rPr>
                <w:rFonts w:ascii="Calibri" w:eastAsia="Times New Roman" w:hAnsi="Calibri" w:cs="Calibri"/>
                <w:b/>
                <w:bCs/>
                <w:color w:val="000000"/>
                <w:sz w:val="16"/>
                <w:szCs w:val="16"/>
                <w:lang w:eastAsia="en-GB"/>
              </w:rPr>
              <w:t>Composite mapping</w:t>
            </w:r>
            <w:r>
              <w:rPr>
                <w:rFonts w:ascii="Calibri" w:eastAsia="Times New Roman" w:hAnsi="Calibri" w:cs="Calibri"/>
                <w:color w:val="000000"/>
                <w:sz w:val="16"/>
                <w:szCs w:val="16"/>
                <w:lang w:eastAsia="en-GB"/>
              </w:rPr>
              <w:t xml:space="preserve">: </w:t>
            </w:r>
            <w:r w:rsidR="00CA31D4">
              <w:rPr>
                <w:rFonts w:ascii="Calibri" w:eastAsia="Times New Roman" w:hAnsi="Calibri" w:cs="Calibri"/>
                <w:color w:val="000000"/>
                <w:sz w:val="16"/>
                <w:szCs w:val="16"/>
                <w:lang w:eastAsia="en-GB"/>
              </w:rPr>
              <w:t xml:space="preserve">Intertidal seagrass bed extent is at least </w:t>
            </w:r>
            <w:r w:rsidR="00C215B6">
              <w:rPr>
                <w:rFonts w:ascii="Calibri" w:eastAsia="Times New Roman" w:hAnsi="Calibri" w:cs="Calibri"/>
                <w:color w:val="000000"/>
                <w:sz w:val="16"/>
                <w:szCs w:val="16"/>
                <w:lang w:eastAsia="en-GB"/>
              </w:rPr>
              <w:t>0.66 km</w:t>
            </w:r>
            <w:r w:rsidR="00C215B6" w:rsidRPr="00C215B6">
              <w:rPr>
                <w:rFonts w:ascii="Calibri" w:eastAsia="Times New Roman" w:hAnsi="Calibri" w:cs="Calibri"/>
                <w:color w:val="000000"/>
                <w:sz w:val="16"/>
                <w:szCs w:val="16"/>
                <w:vertAlign w:val="superscript"/>
                <w:lang w:eastAsia="en-GB"/>
              </w:rPr>
              <w:t>2</w:t>
            </w:r>
            <w:r w:rsidR="00C215B6">
              <w:rPr>
                <w:rFonts w:ascii="Calibri" w:eastAsia="Times New Roman" w:hAnsi="Calibri" w:cs="Calibri"/>
                <w:color w:val="000000"/>
                <w:sz w:val="16"/>
                <w:szCs w:val="16"/>
                <w:lang w:eastAsia="en-GB"/>
              </w:rPr>
              <w:t>. 0.44 km</w:t>
            </w:r>
            <w:r w:rsidR="00C215B6" w:rsidRPr="00C215B6">
              <w:rPr>
                <w:rFonts w:ascii="Calibri" w:eastAsia="Times New Roman" w:hAnsi="Calibri" w:cs="Calibri"/>
                <w:color w:val="000000"/>
                <w:sz w:val="16"/>
                <w:szCs w:val="16"/>
                <w:vertAlign w:val="superscript"/>
                <w:lang w:eastAsia="en-GB"/>
              </w:rPr>
              <w:t>2</w:t>
            </w:r>
            <w:r w:rsidR="00C215B6">
              <w:rPr>
                <w:rFonts w:ascii="Calibri" w:eastAsia="Times New Roman" w:hAnsi="Calibri" w:cs="Calibri"/>
                <w:color w:val="000000"/>
                <w:sz w:val="16"/>
                <w:szCs w:val="16"/>
                <w:lang w:eastAsia="en-GB"/>
              </w:rPr>
              <w:t xml:space="preserve"> of this area exists inside an MPA</w:t>
            </w:r>
            <w:r w:rsidR="007B1445">
              <w:rPr>
                <w:rFonts w:ascii="Calibri" w:eastAsia="Times New Roman" w:hAnsi="Calibri" w:cs="Calibri"/>
                <w:color w:val="000000"/>
                <w:sz w:val="16"/>
                <w:szCs w:val="16"/>
                <w:lang w:eastAsia="en-GB"/>
              </w:rPr>
              <w:t xml:space="preserve"> (composite habitat mapping)</w:t>
            </w:r>
            <w:r w:rsidR="00C215B6">
              <w:rPr>
                <w:rFonts w:ascii="Calibri" w:eastAsia="Times New Roman" w:hAnsi="Calibri" w:cs="Calibri"/>
                <w:color w:val="000000"/>
                <w:sz w:val="16"/>
                <w:szCs w:val="16"/>
                <w:lang w:eastAsia="en-GB"/>
              </w:rPr>
              <w:t>.</w:t>
            </w:r>
            <w:r w:rsidR="007B1445">
              <w:rPr>
                <w:rFonts w:ascii="Calibri" w:eastAsia="Times New Roman" w:hAnsi="Calibri" w:cs="Calibri"/>
                <w:color w:val="000000"/>
                <w:sz w:val="16"/>
                <w:szCs w:val="16"/>
                <w:lang w:eastAsia="en-GB"/>
              </w:rPr>
              <w:t xml:space="preserve"> </w:t>
            </w:r>
          </w:p>
          <w:p w14:paraId="4DD21117" w14:textId="77777777" w:rsidR="00BA66F3" w:rsidRDefault="00BA66F3">
            <w:pPr>
              <w:spacing w:after="0" w:line="240" w:lineRule="auto"/>
              <w:rPr>
                <w:rFonts w:ascii="Calibri" w:eastAsia="Times New Roman" w:hAnsi="Calibri" w:cs="Calibri"/>
                <w:color w:val="000000"/>
                <w:sz w:val="16"/>
                <w:szCs w:val="16"/>
                <w:lang w:eastAsia="en-GB"/>
              </w:rPr>
            </w:pPr>
          </w:p>
          <w:p w14:paraId="066B02F6" w14:textId="7C47CEB9" w:rsidR="00BA66F3" w:rsidRPr="009D42EA" w:rsidRDefault="00BA66F3">
            <w:pPr>
              <w:spacing w:after="0" w:line="240" w:lineRule="auto"/>
              <w:rPr>
                <w:rFonts w:ascii="Calibri" w:eastAsia="Times New Roman" w:hAnsi="Calibri" w:cs="Calibri"/>
                <w:b/>
                <w:bCs/>
                <w:color w:val="000000"/>
                <w:sz w:val="16"/>
                <w:szCs w:val="16"/>
                <w:lang w:eastAsia="en-GB"/>
              </w:rPr>
            </w:pPr>
            <w:r w:rsidRPr="009D42EA">
              <w:rPr>
                <w:rFonts w:ascii="Calibri" w:eastAsia="Times New Roman" w:hAnsi="Calibri" w:cs="Calibri"/>
                <w:b/>
                <w:bCs/>
                <w:color w:val="000000"/>
                <w:sz w:val="16"/>
                <w:szCs w:val="16"/>
                <w:lang w:eastAsia="en-GB"/>
              </w:rPr>
              <w:t xml:space="preserve">NE </w:t>
            </w:r>
            <w:r w:rsidR="009D42EA" w:rsidRPr="009D42EA">
              <w:rPr>
                <w:rFonts w:ascii="Calibri" w:eastAsia="Times New Roman" w:hAnsi="Calibri" w:cs="Calibri"/>
                <w:b/>
                <w:bCs/>
                <w:color w:val="000000"/>
                <w:sz w:val="16"/>
                <w:szCs w:val="16"/>
                <w:lang w:eastAsia="en-GB"/>
              </w:rPr>
              <w:t>Package:</w:t>
            </w:r>
            <w:r w:rsidR="009D42EA">
              <w:rPr>
                <w:rFonts w:ascii="Calibri" w:eastAsia="Times New Roman" w:hAnsi="Calibri" w:cs="Calibri"/>
                <w:b/>
                <w:bCs/>
                <w:color w:val="000000"/>
                <w:sz w:val="16"/>
                <w:szCs w:val="16"/>
                <w:lang w:eastAsia="en-GB"/>
              </w:rPr>
              <w:t xml:space="preserve"> </w:t>
            </w:r>
            <w:r w:rsidR="009D42EA" w:rsidRPr="009D42EA">
              <w:rPr>
                <w:rFonts w:ascii="Calibri" w:eastAsia="Times New Roman" w:hAnsi="Calibri" w:cs="Calibri"/>
                <w:color w:val="000000"/>
                <w:sz w:val="16"/>
                <w:szCs w:val="16"/>
                <w:lang w:eastAsia="en-GB"/>
              </w:rPr>
              <w:t>No data on change in extent of this feature.</w:t>
            </w:r>
            <w:r w:rsidR="009D42EA">
              <w:rPr>
                <w:rFonts w:ascii="Calibri" w:eastAsia="Times New Roman" w:hAnsi="Calibri" w:cs="Calibri"/>
                <w:b/>
                <w:bCs/>
                <w:color w:val="000000"/>
                <w:sz w:val="16"/>
                <w:szCs w:val="16"/>
                <w:lang w:eastAsia="en-GB"/>
              </w:rPr>
              <w:t xml:space="preserve"> </w:t>
            </w:r>
            <w:r w:rsidR="009D42EA" w:rsidRPr="009D42EA">
              <w:rPr>
                <w:rFonts w:ascii="Calibri" w:eastAsia="Times New Roman" w:hAnsi="Calibri" w:cs="Calibri"/>
                <w:color w:val="000000"/>
                <w:sz w:val="16"/>
                <w:szCs w:val="16"/>
                <w:lang w:eastAsia="en-GB"/>
              </w:rPr>
              <w:t>Conservation objective to maintain extent of habitat has been met.</w:t>
            </w:r>
            <w:r w:rsidR="009D42EA">
              <w:rPr>
                <w:rFonts w:ascii="Calibri" w:eastAsia="Times New Roman" w:hAnsi="Calibri" w:cs="Calibri"/>
                <w:b/>
                <w:bCs/>
                <w:color w:val="000000"/>
                <w:sz w:val="16"/>
                <w:szCs w:val="16"/>
                <w:lang w:eastAsia="en-GB"/>
              </w:rPr>
              <w:t xml:space="preserve"> </w:t>
            </w:r>
            <w:r w:rsidR="00A02797">
              <w:rPr>
                <w:rFonts w:ascii="Calibri" w:eastAsia="Times New Roman" w:hAnsi="Calibri" w:cs="Calibri"/>
                <w:b/>
                <w:bCs/>
                <w:color w:val="000000"/>
                <w:sz w:val="16"/>
                <w:szCs w:val="16"/>
                <w:lang w:eastAsia="en-GB"/>
              </w:rPr>
              <w:t>(Low Confidence)</w:t>
            </w:r>
          </w:p>
        </w:tc>
        <w:tc>
          <w:tcPr>
            <w:tcW w:w="2713" w:type="dxa"/>
            <w:tcBorders>
              <w:top w:val="single" w:sz="4" w:space="0" w:color="auto"/>
              <w:left w:val="nil"/>
              <w:bottom w:val="single" w:sz="4" w:space="0" w:color="auto"/>
              <w:right w:val="single" w:sz="4" w:space="0" w:color="auto"/>
            </w:tcBorders>
            <w:hideMark/>
          </w:tcPr>
          <w:p w14:paraId="2101619B" w14:textId="77777777" w:rsidR="000664FF" w:rsidRDefault="004B486F">
            <w:pPr>
              <w:spacing w:after="0" w:line="240" w:lineRule="auto"/>
              <w:rPr>
                <w:rFonts w:ascii="Calibri" w:eastAsia="Times New Roman" w:hAnsi="Calibri" w:cs="Calibri"/>
                <w:color w:val="000000"/>
                <w:sz w:val="16"/>
                <w:szCs w:val="16"/>
                <w:lang w:eastAsia="en-GB"/>
              </w:rPr>
            </w:pPr>
            <w:r w:rsidRPr="004B486F">
              <w:rPr>
                <w:rFonts w:ascii="Calibri" w:eastAsia="Times New Roman" w:hAnsi="Calibri" w:cs="Calibri"/>
                <w:b/>
                <w:bCs/>
                <w:color w:val="000000"/>
                <w:sz w:val="16"/>
                <w:szCs w:val="16"/>
                <w:lang w:eastAsia="en-GB"/>
              </w:rPr>
              <w:t xml:space="preserve">MSFD: </w:t>
            </w:r>
            <w:r w:rsidRPr="004B486F">
              <w:rPr>
                <w:rFonts w:ascii="Calibri" w:eastAsia="Times New Roman" w:hAnsi="Calibri" w:cs="Calibri"/>
                <w:color w:val="000000"/>
                <w:sz w:val="16"/>
                <w:szCs w:val="16"/>
                <w:lang w:eastAsia="en-GB"/>
              </w:rPr>
              <w:t>target for all soft substratum habitats (where extent of the habitat is less than 50% of the assessed region). Inside MPAs: extent is stable or increasing (&gt;95% conservation objective 'maintain'. Outside MPAs: area of habitat lost + area of habitat below GES (in condition recover or impacted by unacceptable impact (</w:t>
            </w:r>
            <w:proofErr w:type="spellStart"/>
            <w:r w:rsidRPr="004B486F">
              <w:rPr>
                <w:rFonts w:ascii="Calibri" w:eastAsia="Times New Roman" w:hAnsi="Calibri" w:cs="Calibri"/>
                <w:color w:val="000000"/>
                <w:sz w:val="16"/>
                <w:szCs w:val="16"/>
                <w:lang w:eastAsia="en-GB"/>
              </w:rPr>
              <w:t>UoP</w:t>
            </w:r>
            <w:proofErr w:type="spellEnd"/>
            <w:r w:rsidRPr="004B486F">
              <w:rPr>
                <w:rFonts w:ascii="Calibri" w:eastAsia="Times New Roman" w:hAnsi="Calibri" w:cs="Calibri"/>
                <w:color w:val="000000"/>
                <w:sz w:val="16"/>
                <w:szCs w:val="16"/>
                <w:lang w:eastAsia="en-GB"/>
              </w:rPr>
              <w:t xml:space="preserve"> interpretation LRC 3 or below) ≤ 10% for entire assessed area.</w:t>
            </w:r>
          </w:p>
          <w:p w14:paraId="1EEC3B15" w14:textId="77777777" w:rsidR="004B486F" w:rsidRDefault="004B486F">
            <w:pPr>
              <w:spacing w:after="0" w:line="240" w:lineRule="auto"/>
              <w:rPr>
                <w:rFonts w:ascii="Calibri" w:eastAsia="Times New Roman" w:hAnsi="Calibri" w:cs="Calibri"/>
                <w:color w:val="000000"/>
                <w:sz w:val="16"/>
                <w:szCs w:val="16"/>
                <w:lang w:eastAsia="en-GB"/>
              </w:rPr>
            </w:pPr>
          </w:p>
          <w:p w14:paraId="64004C8F" w14:textId="77777777" w:rsidR="00370661" w:rsidRDefault="009217DC" w:rsidP="00370661">
            <w:pPr>
              <w:spacing w:after="0" w:line="240" w:lineRule="auto"/>
              <w:rPr>
                <w:bCs/>
                <w:sz w:val="16"/>
                <w:szCs w:val="16"/>
              </w:rPr>
            </w:pPr>
            <w:r w:rsidRPr="00370661">
              <w:rPr>
                <w:rFonts w:ascii="Calibri" w:eastAsia="Times New Roman" w:hAnsi="Calibri" w:cs="Calibri"/>
                <w:b/>
                <w:bCs/>
                <w:color w:val="000000"/>
                <w:sz w:val="16"/>
                <w:szCs w:val="16"/>
                <w:lang w:eastAsia="en-GB"/>
              </w:rPr>
              <w:t xml:space="preserve">UK Marine </w:t>
            </w:r>
            <w:r w:rsidRPr="00370661">
              <w:rPr>
                <w:rFonts w:ascii="Calibri" w:eastAsia="Times New Roman" w:hAnsi="Calibri" w:cs="Calibri"/>
                <w:color w:val="000000"/>
                <w:sz w:val="16"/>
                <w:szCs w:val="16"/>
                <w:lang w:eastAsia="en-GB"/>
              </w:rPr>
              <w:t>Strategy</w:t>
            </w:r>
            <w:r w:rsidRPr="00370661">
              <w:rPr>
                <w:rFonts w:ascii="Calibri" w:eastAsia="Times New Roman" w:hAnsi="Calibri" w:cs="Calibri"/>
                <w:b/>
                <w:bCs/>
                <w:color w:val="000000"/>
                <w:sz w:val="16"/>
                <w:szCs w:val="16"/>
                <w:lang w:eastAsia="en-GB"/>
              </w:rPr>
              <w:t xml:space="preserve">: </w:t>
            </w:r>
            <w:r w:rsidR="00370661" w:rsidRPr="00370661">
              <w:rPr>
                <w:bCs/>
                <w:sz w:val="16"/>
                <w:szCs w:val="16"/>
              </w:rPr>
              <w:t xml:space="preserve">Habitat extent shows no loss of extent from previous </w:t>
            </w:r>
            <w:r w:rsidR="00370661" w:rsidRPr="00370661">
              <w:rPr>
                <w:rFonts w:ascii="Calibri" w:eastAsia="Times New Roman" w:hAnsi="Calibri" w:cs="Calibri"/>
                <w:color w:val="000000"/>
                <w:sz w:val="16"/>
                <w:szCs w:val="16"/>
                <w:lang w:eastAsia="en-GB"/>
              </w:rPr>
              <w:t>assessment</w:t>
            </w:r>
            <w:r w:rsidR="00370661" w:rsidRPr="00370661">
              <w:rPr>
                <w:bCs/>
                <w:sz w:val="16"/>
                <w:szCs w:val="16"/>
              </w:rPr>
              <w:t xml:space="preserve">. </w:t>
            </w:r>
          </w:p>
          <w:p w14:paraId="721E9EB1" w14:textId="77777777" w:rsidR="00370661" w:rsidRPr="00370661" w:rsidRDefault="00370661" w:rsidP="00370661">
            <w:pPr>
              <w:spacing w:after="0" w:line="240" w:lineRule="auto"/>
              <w:rPr>
                <w:bCs/>
                <w:sz w:val="16"/>
                <w:szCs w:val="16"/>
              </w:rPr>
            </w:pPr>
          </w:p>
          <w:p w14:paraId="00EA66BE" w14:textId="77777777" w:rsidR="00370661" w:rsidRPr="00370661" w:rsidRDefault="00370661" w:rsidP="00370661">
            <w:pPr>
              <w:rPr>
                <w:bCs/>
                <w:sz w:val="16"/>
                <w:szCs w:val="16"/>
              </w:rPr>
            </w:pPr>
            <w:proofErr w:type="spellStart"/>
            <w:r w:rsidRPr="00370661">
              <w:rPr>
                <w:bCs/>
                <w:i/>
                <w:sz w:val="16"/>
                <w:szCs w:val="16"/>
              </w:rPr>
              <w:t>UoP</w:t>
            </w:r>
            <w:proofErr w:type="spellEnd"/>
            <w:r w:rsidRPr="00370661">
              <w:rPr>
                <w:bCs/>
                <w:i/>
                <w:sz w:val="16"/>
                <w:szCs w:val="16"/>
              </w:rPr>
              <w:t xml:space="preserve"> interpretation Qualitative threshold:</w:t>
            </w:r>
            <w:r w:rsidRPr="00370661">
              <w:rPr>
                <w:bCs/>
                <w:sz w:val="16"/>
                <w:szCs w:val="16"/>
              </w:rPr>
              <w:t xml:space="preserve"> Area in LRC of moderate or below is less than 5% of total habitat extent.</w:t>
            </w:r>
          </w:p>
          <w:p w14:paraId="76E37BED" w14:textId="77777777" w:rsidR="00370661" w:rsidRPr="00370661" w:rsidRDefault="00370661" w:rsidP="00370661">
            <w:pPr>
              <w:rPr>
                <w:bCs/>
                <w:sz w:val="16"/>
                <w:szCs w:val="16"/>
              </w:rPr>
            </w:pPr>
            <w:r w:rsidRPr="00370661">
              <w:rPr>
                <w:bCs/>
                <w:i/>
                <w:sz w:val="16"/>
                <w:szCs w:val="16"/>
              </w:rPr>
              <w:t xml:space="preserve">Quantitative threshold: </w:t>
            </w:r>
            <w:r w:rsidRPr="00370661">
              <w:rPr>
                <w:bCs/>
                <w:sz w:val="16"/>
                <w:szCs w:val="16"/>
              </w:rPr>
              <w:t>Area assessed in condition assessments to be in unfavourable condition is less than 5% of total habitat extent.</w:t>
            </w:r>
          </w:p>
          <w:p w14:paraId="3DA40F57" w14:textId="77777777" w:rsidR="00370661" w:rsidRPr="00370661" w:rsidRDefault="00370661" w:rsidP="00370661">
            <w:pPr>
              <w:rPr>
                <w:bCs/>
                <w:sz w:val="16"/>
                <w:szCs w:val="16"/>
              </w:rPr>
            </w:pPr>
            <w:proofErr w:type="spellStart"/>
            <w:r w:rsidRPr="00370661">
              <w:rPr>
                <w:bCs/>
                <w:i/>
                <w:sz w:val="16"/>
                <w:szCs w:val="16"/>
              </w:rPr>
              <w:t>UoP</w:t>
            </w:r>
            <w:proofErr w:type="spellEnd"/>
            <w:r w:rsidRPr="00370661">
              <w:rPr>
                <w:bCs/>
                <w:i/>
                <w:sz w:val="16"/>
                <w:szCs w:val="16"/>
              </w:rPr>
              <w:t xml:space="preserve"> interpretation </w:t>
            </w:r>
            <w:r w:rsidRPr="00370661">
              <w:rPr>
                <w:bCs/>
                <w:sz w:val="16"/>
                <w:szCs w:val="16"/>
              </w:rPr>
              <w:t>Area in LRC of moderate or below is less than 5% of total habitat extent.</w:t>
            </w:r>
          </w:p>
          <w:p w14:paraId="525D552F" w14:textId="59ED4DAD" w:rsidR="004B486F" w:rsidRPr="004B486F" w:rsidRDefault="004B486F">
            <w:pPr>
              <w:spacing w:after="0" w:line="240" w:lineRule="auto"/>
              <w:rPr>
                <w:rFonts w:ascii="Calibri" w:eastAsia="Times New Roman" w:hAnsi="Calibri" w:cs="Calibri"/>
                <w:b/>
                <w:bCs/>
                <w:color w:val="000000"/>
                <w:sz w:val="16"/>
                <w:szCs w:val="16"/>
                <w:lang w:eastAsia="en-GB"/>
              </w:rPr>
            </w:pPr>
          </w:p>
        </w:tc>
        <w:tc>
          <w:tcPr>
            <w:tcW w:w="1360" w:type="dxa"/>
            <w:tcBorders>
              <w:top w:val="single" w:sz="4" w:space="0" w:color="auto"/>
              <w:left w:val="nil"/>
              <w:bottom w:val="single" w:sz="4" w:space="0" w:color="auto"/>
              <w:right w:val="single" w:sz="4" w:space="0" w:color="auto"/>
            </w:tcBorders>
            <w:hideMark/>
          </w:tcPr>
          <w:p w14:paraId="6199C04B" w14:textId="4915C539" w:rsidR="000664FF" w:rsidRDefault="00A02797">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No data on Trend. </w:t>
            </w:r>
          </w:p>
        </w:tc>
        <w:tc>
          <w:tcPr>
            <w:tcW w:w="870" w:type="dxa"/>
            <w:tcBorders>
              <w:top w:val="single" w:sz="4" w:space="0" w:color="auto"/>
              <w:left w:val="single" w:sz="4" w:space="0" w:color="auto"/>
              <w:bottom w:val="single" w:sz="4" w:space="0" w:color="auto"/>
              <w:right w:val="single" w:sz="4" w:space="0" w:color="auto"/>
            </w:tcBorders>
            <w:shd w:val="clear" w:color="auto" w:fill="FFE9A3"/>
            <w:vAlign w:val="center"/>
            <w:hideMark/>
          </w:tcPr>
          <w:p w14:paraId="6272DD61" w14:textId="77777777" w:rsidR="000664FF" w:rsidRDefault="000664FF">
            <w:pPr>
              <w:spacing w:after="0" w:line="240"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B            (8)</w:t>
            </w:r>
          </w:p>
        </w:tc>
      </w:tr>
      <w:tr w:rsidR="000664FF" w14:paraId="19ACFA0A" w14:textId="77777777" w:rsidTr="000664FF">
        <w:trPr>
          <w:trHeight w:val="300"/>
        </w:trPr>
        <w:tc>
          <w:tcPr>
            <w:tcW w:w="0" w:type="auto"/>
            <w:vMerge/>
            <w:tcBorders>
              <w:top w:val="nil"/>
              <w:left w:val="single" w:sz="8" w:space="0" w:color="auto"/>
              <w:bottom w:val="single" w:sz="8" w:space="0" w:color="000000"/>
              <w:right w:val="nil"/>
            </w:tcBorders>
            <w:vAlign w:val="center"/>
            <w:hideMark/>
          </w:tcPr>
          <w:p w14:paraId="014F69F8" w14:textId="77777777" w:rsidR="000664FF" w:rsidRDefault="000664FF">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A0F023" w14:textId="77777777" w:rsidR="000664FF" w:rsidRDefault="000664FF">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294C86" w14:textId="77777777" w:rsidR="000664FF" w:rsidRDefault="000664FF">
            <w:pPr>
              <w:spacing w:after="0"/>
              <w:rPr>
                <w:rFonts w:ascii="Calibri" w:eastAsia="Times New Roman" w:hAnsi="Calibri" w:cs="Calibri"/>
                <w:b/>
                <w:bCs/>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69A5DE" w14:textId="77777777" w:rsidR="000664FF" w:rsidRDefault="000664FF">
            <w:pPr>
              <w:spacing w:after="0"/>
              <w:rPr>
                <w:rFonts w:ascii="Calibri" w:eastAsia="Times New Roman" w:hAnsi="Calibri" w:cs="Calibri"/>
                <w:color w:val="000000"/>
                <w:sz w:val="16"/>
                <w:szCs w:val="16"/>
                <w:lang w:eastAsia="en-GB"/>
              </w:rPr>
            </w:pPr>
          </w:p>
        </w:tc>
        <w:tc>
          <w:tcPr>
            <w:tcW w:w="6300" w:type="dxa"/>
            <w:gridSpan w:val="2"/>
            <w:tcBorders>
              <w:top w:val="single" w:sz="4" w:space="0" w:color="auto"/>
              <w:left w:val="nil"/>
              <w:bottom w:val="single" w:sz="4" w:space="0" w:color="auto"/>
              <w:right w:val="single" w:sz="4" w:space="0" w:color="auto"/>
            </w:tcBorders>
            <w:vAlign w:val="center"/>
            <w:hideMark/>
          </w:tcPr>
          <w:p w14:paraId="460D12C9" w14:textId="33A21EB2" w:rsidR="000664FF" w:rsidRDefault="000664FF">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B (</w:t>
            </w:r>
            <w:r w:rsidR="004C2F4A">
              <w:rPr>
                <w:rFonts w:ascii="Calibri" w:eastAsia="Times New Roman" w:hAnsi="Calibri" w:cs="Calibri"/>
                <w:color w:val="000000"/>
                <w:sz w:val="16"/>
                <w:szCs w:val="16"/>
                <w:lang w:eastAsia="en-GB"/>
              </w:rPr>
              <w:t>low confidence</w:t>
            </w:r>
            <w:r>
              <w:rPr>
                <w:rFonts w:ascii="Calibri" w:eastAsia="Times New Roman" w:hAnsi="Calibri" w:cs="Calibri"/>
                <w:color w:val="000000"/>
                <w:sz w:val="16"/>
                <w:szCs w:val="16"/>
                <w:lang w:eastAsia="en-GB"/>
              </w:rPr>
              <w:t>)</w:t>
            </w:r>
            <w:r w:rsidR="001409BF">
              <w:rPr>
                <w:rFonts w:ascii="Calibri" w:eastAsia="Times New Roman" w:hAnsi="Calibri" w:cs="Calibri"/>
                <w:color w:val="000000"/>
                <w:sz w:val="16"/>
                <w:szCs w:val="16"/>
                <w:lang w:eastAsia="en-GB"/>
              </w:rPr>
              <w:t xml:space="preserve"> </w:t>
            </w:r>
            <w:r w:rsidR="004C2F4A">
              <w:rPr>
                <w:rFonts w:ascii="Calibri" w:eastAsia="Times New Roman" w:hAnsi="Calibri" w:cs="Calibri"/>
                <w:color w:val="000000"/>
                <w:sz w:val="16"/>
                <w:szCs w:val="16"/>
                <w:lang w:eastAsia="en-GB"/>
              </w:rPr>
              <w:t>–</w:t>
            </w:r>
            <w:r w:rsidR="001409BF">
              <w:rPr>
                <w:rFonts w:ascii="Calibri" w:eastAsia="Times New Roman" w:hAnsi="Calibri" w:cs="Calibri"/>
                <w:color w:val="000000"/>
                <w:sz w:val="16"/>
                <w:szCs w:val="16"/>
                <w:lang w:eastAsia="en-GB"/>
              </w:rPr>
              <w:t xml:space="preserve"> </w:t>
            </w:r>
            <w:r w:rsidR="004C2F4A">
              <w:rPr>
                <w:rFonts w:ascii="Calibri" w:eastAsia="Times New Roman" w:hAnsi="Calibri" w:cs="Calibri"/>
                <w:color w:val="000000"/>
                <w:sz w:val="16"/>
                <w:szCs w:val="16"/>
                <w:lang w:eastAsia="en-GB"/>
              </w:rPr>
              <w:t xml:space="preserve">last assessment date </w:t>
            </w:r>
            <w:r w:rsidR="005D667C">
              <w:rPr>
                <w:rFonts w:ascii="Calibri" w:eastAsia="Times New Roman" w:hAnsi="Calibri" w:cs="Calibri"/>
                <w:color w:val="000000"/>
                <w:sz w:val="16"/>
                <w:szCs w:val="16"/>
                <w:lang w:eastAsia="en-GB"/>
              </w:rPr>
              <w:t>2018</w:t>
            </w:r>
          </w:p>
        </w:tc>
        <w:tc>
          <w:tcPr>
            <w:tcW w:w="1360" w:type="dxa"/>
            <w:tcBorders>
              <w:top w:val="nil"/>
              <w:left w:val="nil"/>
              <w:bottom w:val="single" w:sz="4" w:space="0" w:color="auto"/>
              <w:right w:val="single" w:sz="4" w:space="0" w:color="auto"/>
            </w:tcBorders>
            <w:vAlign w:val="center"/>
            <w:hideMark/>
          </w:tcPr>
          <w:p w14:paraId="7E967A63" w14:textId="5A799927" w:rsidR="000664FF" w:rsidRDefault="005D667C">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B</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6DE23234" w14:textId="77777777" w:rsidR="000664FF" w:rsidRDefault="000664FF">
            <w:pPr>
              <w:rPr>
                <w:rFonts w:ascii="Calibri" w:eastAsia="Times New Roman" w:hAnsi="Calibri" w:cs="Calibri"/>
                <w:color w:val="000000"/>
                <w:sz w:val="16"/>
                <w:szCs w:val="16"/>
                <w:lang w:eastAsia="en-GB"/>
              </w:rPr>
            </w:pPr>
          </w:p>
        </w:tc>
      </w:tr>
      <w:tr w:rsidR="000664FF" w14:paraId="3998EB78" w14:textId="77777777" w:rsidTr="009645B5">
        <w:trPr>
          <w:trHeight w:val="315"/>
        </w:trPr>
        <w:tc>
          <w:tcPr>
            <w:tcW w:w="0" w:type="auto"/>
            <w:vMerge/>
            <w:tcBorders>
              <w:top w:val="nil"/>
              <w:left w:val="single" w:sz="8" w:space="0" w:color="auto"/>
              <w:bottom w:val="single" w:sz="8" w:space="0" w:color="000000"/>
              <w:right w:val="nil"/>
            </w:tcBorders>
            <w:vAlign w:val="center"/>
            <w:hideMark/>
          </w:tcPr>
          <w:p w14:paraId="1C0122EF" w14:textId="77777777" w:rsidR="000664FF" w:rsidRDefault="000664FF">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5E15F" w14:textId="77777777" w:rsidR="000664FF" w:rsidRDefault="000664FF">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C3DC57" w14:textId="77777777" w:rsidR="000664FF" w:rsidRDefault="000664FF">
            <w:pPr>
              <w:spacing w:after="0"/>
              <w:rPr>
                <w:rFonts w:ascii="Calibri" w:eastAsia="Times New Roman" w:hAnsi="Calibri" w:cs="Calibri"/>
                <w:b/>
                <w:bCs/>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8E5EC" w14:textId="77777777" w:rsidR="000664FF" w:rsidRDefault="000664FF">
            <w:pPr>
              <w:spacing w:after="0"/>
              <w:rPr>
                <w:rFonts w:ascii="Calibri" w:eastAsia="Times New Roman" w:hAnsi="Calibri" w:cs="Calibri"/>
                <w:color w:val="000000"/>
                <w:sz w:val="16"/>
                <w:szCs w:val="16"/>
                <w:lang w:eastAsia="en-GB"/>
              </w:rPr>
            </w:pPr>
          </w:p>
        </w:tc>
        <w:tc>
          <w:tcPr>
            <w:tcW w:w="6300" w:type="dxa"/>
            <w:gridSpan w:val="2"/>
            <w:tcBorders>
              <w:top w:val="single" w:sz="4" w:space="0" w:color="auto"/>
              <w:left w:val="nil"/>
              <w:bottom w:val="single" w:sz="4" w:space="0" w:color="auto"/>
              <w:right w:val="single" w:sz="4" w:space="0" w:color="auto"/>
            </w:tcBorders>
            <w:hideMark/>
          </w:tcPr>
          <w:p w14:paraId="05C9734B" w14:textId="77777777" w:rsidR="000664FF" w:rsidRDefault="000664FF">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w:t>
            </w:r>
          </w:p>
        </w:tc>
        <w:tc>
          <w:tcPr>
            <w:tcW w:w="1360" w:type="dxa"/>
            <w:tcBorders>
              <w:top w:val="nil"/>
              <w:left w:val="nil"/>
              <w:bottom w:val="single" w:sz="4" w:space="0" w:color="auto"/>
              <w:right w:val="single" w:sz="4" w:space="0" w:color="auto"/>
            </w:tcBorders>
            <w:vAlign w:val="center"/>
            <w:hideMark/>
          </w:tcPr>
          <w:p w14:paraId="1C58AE95" w14:textId="77777777" w:rsidR="000664FF" w:rsidRDefault="000664FF">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E55A9" w14:textId="77777777" w:rsidR="000664FF" w:rsidRDefault="000664FF">
            <w:pPr>
              <w:spacing w:after="0"/>
              <w:rPr>
                <w:rFonts w:ascii="Calibri" w:eastAsia="Times New Roman" w:hAnsi="Calibri" w:cs="Calibri"/>
                <w:color w:val="000000"/>
                <w:sz w:val="16"/>
                <w:szCs w:val="16"/>
                <w:lang w:eastAsia="en-GB"/>
              </w:rPr>
            </w:pPr>
          </w:p>
        </w:tc>
      </w:tr>
      <w:tr w:rsidR="000664FF" w14:paraId="0F7EA278" w14:textId="77777777" w:rsidTr="0072053B">
        <w:trPr>
          <w:trHeight w:val="406"/>
        </w:trPr>
        <w:tc>
          <w:tcPr>
            <w:tcW w:w="0" w:type="auto"/>
            <w:vMerge/>
            <w:tcBorders>
              <w:top w:val="nil"/>
              <w:left w:val="single" w:sz="8" w:space="0" w:color="auto"/>
              <w:bottom w:val="single" w:sz="8" w:space="0" w:color="000000"/>
              <w:right w:val="nil"/>
            </w:tcBorders>
            <w:vAlign w:val="center"/>
            <w:hideMark/>
          </w:tcPr>
          <w:p w14:paraId="3A8E217A" w14:textId="77777777" w:rsidR="000664FF" w:rsidRDefault="000664FF">
            <w:pPr>
              <w:spacing w:after="0"/>
              <w:rPr>
                <w:rFonts w:ascii="Calibri" w:eastAsia="Times New Roman" w:hAnsi="Calibri" w:cs="Calibri"/>
                <w:color w:val="000000"/>
                <w:sz w:val="16"/>
                <w:szCs w:val="16"/>
                <w:lang w:eastAsia="en-GB"/>
              </w:rPr>
            </w:pPr>
          </w:p>
        </w:tc>
        <w:tc>
          <w:tcPr>
            <w:tcW w:w="973" w:type="dxa"/>
            <w:vMerge w:val="restart"/>
            <w:tcBorders>
              <w:top w:val="single" w:sz="4" w:space="0" w:color="auto"/>
              <w:left w:val="single" w:sz="4" w:space="0" w:color="auto"/>
              <w:bottom w:val="single" w:sz="4" w:space="0" w:color="auto"/>
              <w:right w:val="single" w:sz="4" w:space="0" w:color="auto"/>
            </w:tcBorders>
            <w:hideMark/>
          </w:tcPr>
          <w:p w14:paraId="79A718B6" w14:textId="489F1635" w:rsidR="000664FF" w:rsidRDefault="0077456F">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Intertidal Seagrass</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1A6C04B1" w14:textId="77777777" w:rsidR="000664FF" w:rsidRDefault="000664FF">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 Food (Wild Food - fish and shellfish).    </w:t>
            </w:r>
          </w:p>
          <w:p w14:paraId="3CFCB678" w14:textId="77777777" w:rsidR="000664FF" w:rsidRDefault="000664FF">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Healthy climate (carbon sequestration).         • Sea defence. (</w:t>
            </w:r>
            <w:proofErr w:type="gramStart"/>
            <w:r>
              <w:rPr>
                <w:rFonts w:ascii="Calibri" w:eastAsia="Times New Roman" w:hAnsi="Calibri" w:cs="Calibri"/>
                <w:b/>
                <w:bCs/>
                <w:color w:val="000000"/>
                <w:sz w:val="16"/>
                <w:szCs w:val="16"/>
                <w:lang w:eastAsia="en-GB"/>
              </w:rPr>
              <w:t>natural</w:t>
            </w:r>
            <w:proofErr w:type="gramEnd"/>
            <w:r>
              <w:rPr>
                <w:rFonts w:ascii="Calibri" w:eastAsia="Times New Roman" w:hAnsi="Calibri" w:cs="Calibri"/>
                <w:b/>
                <w:bCs/>
                <w:color w:val="000000"/>
                <w:sz w:val="16"/>
                <w:szCs w:val="16"/>
                <w:lang w:eastAsia="en-GB"/>
              </w:rPr>
              <w:t xml:space="preserve"> hazard regulation).               • Tourism/nature watching.                  • Clean water and sediments.</w:t>
            </w:r>
          </w:p>
        </w:tc>
        <w:tc>
          <w:tcPr>
            <w:tcW w:w="1545" w:type="dxa"/>
            <w:tcBorders>
              <w:top w:val="nil"/>
              <w:left w:val="nil"/>
              <w:bottom w:val="single" w:sz="4" w:space="0" w:color="auto"/>
              <w:right w:val="single" w:sz="4" w:space="0" w:color="auto"/>
            </w:tcBorders>
            <w:noWrap/>
            <w:hideMark/>
          </w:tcPr>
          <w:p w14:paraId="45F0EDF7" w14:textId="77777777" w:rsidR="000664FF" w:rsidRDefault="000664FF">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Quality/Condition</w:t>
            </w:r>
          </w:p>
        </w:tc>
        <w:tc>
          <w:tcPr>
            <w:tcW w:w="3587" w:type="dxa"/>
            <w:tcBorders>
              <w:top w:val="nil"/>
              <w:left w:val="nil"/>
              <w:bottom w:val="single" w:sz="4" w:space="0" w:color="auto"/>
              <w:right w:val="single" w:sz="4" w:space="0" w:color="auto"/>
            </w:tcBorders>
            <w:hideMark/>
          </w:tcPr>
          <w:p w14:paraId="2EB77DA2" w14:textId="361C8CA9" w:rsidR="005D667C" w:rsidRDefault="00A51126">
            <w:pPr>
              <w:spacing w:after="0" w:line="240" w:lineRule="auto"/>
              <w:rPr>
                <w:rFonts w:ascii="Calibri" w:eastAsia="Times New Roman" w:hAnsi="Calibri" w:cs="Calibri"/>
                <w:color w:val="000000"/>
                <w:sz w:val="16"/>
                <w:szCs w:val="16"/>
                <w:lang w:eastAsia="en-GB"/>
              </w:rPr>
            </w:pPr>
            <w:r w:rsidRPr="00AB4B8D">
              <w:rPr>
                <w:rFonts w:ascii="Calibri" w:eastAsia="Times New Roman" w:hAnsi="Calibri" w:cs="Calibri"/>
                <w:b/>
                <w:bCs/>
                <w:color w:val="000000"/>
                <w:sz w:val="16"/>
                <w:szCs w:val="16"/>
                <w:lang w:eastAsia="en-GB"/>
              </w:rPr>
              <w:t>NE Package</w:t>
            </w:r>
            <w:r>
              <w:rPr>
                <w:rFonts w:ascii="Calibri" w:eastAsia="Times New Roman" w:hAnsi="Calibri" w:cs="Calibri"/>
                <w:color w:val="000000"/>
                <w:sz w:val="16"/>
                <w:szCs w:val="16"/>
                <w:lang w:eastAsia="en-GB"/>
              </w:rPr>
              <w:t xml:space="preserve">: </w:t>
            </w:r>
            <w:r w:rsidR="00693294">
              <w:rPr>
                <w:rFonts w:ascii="Calibri" w:eastAsia="Times New Roman" w:hAnsi="Calibri" w:cs="Calibri"/>
                <w:color w:val="000000"/>
                <w:sz w:val="16"/>
                <w:szCs w:val="16"/>
                <w:lang w:eastAsia="en-GB"/>
              </w:rPr>
              <w:t>Within the Plymouth Sound and Estuaries SAC</w:t>
            </w:r>
            <w:r w:rsidR="00452DB0">
              <w:rPr>
                <w:rFonts w:ascii="Calibri" w:eastAsia="Times New Roman" w:hAnsi="Calibri" w:cs="Calibri"/>
                <w:color w:val="000000"/>
                <w:sz w:val="16"/>
                <w:szCs w:val="16"/>
                <w:lang w:eastAsia="en-GB"/>
              </w:rPr>
              <w:t xml:space="preserve">, Intertidal Seagrass </w:t>
            </w:r>
            <w:r w:rsidR="00AB4B8D">
              <w:rPr>
                <w:rFonts w:ascii="Calibri" w:eastAsia="Times New Roman" w:hAnsi="Calibri" w:cs="Calibri"/>
                <w:color w:val="000000"/>
                <w:sz w:val="16"/>
                <w:szCs w:val="16"/>
                <w:lang w:eastAsia="en-GB"/>
              </w:rPr>
              <w:t>has a feature condition of “Unfavourable U</w:t>
            </w:r>
            <w:r w:rsidR="00764D99">
              <w:rPr>
                <w:rFonts w:ascii="Calibri" w:eastAsia="Times New Roman" w:hAnsi="Calibri" w:cs="Calibri"/>
                <w:color w:val="000000"/>
                <w:sz w:val="16"/>
                <w:szCs w:val="16"/>
                <w:lang w:eastAsia="en-GB"/>
              </w:rPr>
              <w:t>n</w:t>
            </w:r>
            <w:r w:rsidR="00AB4B8D">
              <w:rPr>
                <w:rFonts w:ascii="Calibri" w:eastAsia="Times New Roman" w:hAnsi="Calibri" w:cs="Calibri"/>
                <w:color w:val="000000"/>
                <w:sz w:val="16"/>
                <w:szCs w:val="16"/>
                <w:lang w:eastAsia="en-GB"/>
              </w:rPr>
              <w:t>known”.</w:t>
            </w:r>
          </w:p>
          <w:p w14:paraId="22A7FFAA" w14:textId="77777777" w:rsidR="00764D99" w:rsidRDefault="00764D99">
            <w:pPr>
              <w:spacing w:after="0" w:line="240" w:lineRule="auto"/>
              <w:rPr>
                <w:rFonts w:ascii="Calibri" w:eastAsia="Times New Roman" w:hAnsi="Calibri" w:cs="Calibri"/>
                <w:color w:val="000000"/>
                <w:sz w:val="16"/>
                <w:szCs w:val="16"/>
                <w:lang w:eastAsia="en-GB"/>
              </w:rPr>
            </w:pPr>
          </w:p>
          <w:p w14:paraId="25C8B470" w14:textId="39CBA359" w:rsidR="00764D99" w:rsidRDefault="00764D99">
            <w:pPr>
              <w:spacing w:after="0" w:line="240" w:lineRule="auto"/>
              <w:rPr>
                <w:rFonts w:ascii="Calibri" w:eastAsia="Times New Roman" w:hAnsi="Calibri" w:cs="Calibri"/>
                <w:color w:val="000000"/>
                <w:sz w:val="16"/>
                <w:szCs w:val="16"/>
                <w:lang w:eastAsia="en-GB"/>
              </w:rPr>
            </w:pPr>
            <w:r w:rsidRPr="00764D99">
              <w:rPr>
                <w:rFonts w:ascii="Calibri" w:eastAsia="Times New Roman" w:hAnsi="Calibri" w:cs="Calibri"/>
                <w:color w:val="000000"/>
                <w:sz w:val="16"/>
                <w:szCs w:val="16"/>
                <w:lang w:eastAsia="en-GB"/>
              </w:rPr>
              <w:t xml:space="preserve">Two secondary attributes fail, </w:t>
            </w:r>
            <w:r w:rsidR="00623828">
              <w:rPr>
                <w:rFonts w:ascii="Calibri" w:eastAsia="Times New Roman" w:hAnsi="Calibri" w:cs="Calibri"/>
                <w:color w:val="000000"/>
                <w:sz w:val="16"/>
                <w:szCs w:val="16"/>
                <w:lang w:eastAsia="en-GB"/>
              </w:rPr>
              <w:t>both are proxies. 1) Sediment Contaminants</w:t>
            </w:r>
            <w:r w:rsidRPr="00764D99">
              <w:rPr>
                <w:rFonts w:ascii="Calibri" w:eastAsia="Times New Roman" w:hAnsi="Calibri" w:cs="Calibri"/>
                <w:color w:val="000000"/>
                <w:sz w:val="16"/>
                <w:szCs w:val="16"/>
                <w:lang w:eastAsia="en-GB"/>
              </w:rPr>
              <w:t xml:space="preserve"> and </w:t>
            </w:r>
            <w:r w:rsidR="00623828">
              <w:rPr>
                <w:rFonts w:ascii="Calibri" w:eastAsia="Times New Roman" w:hAnsi="Calibri" w:cs="Calibri"/>
                <w:color w:val="000000"/>
                <w:sz w:val="16"/>
                <w:szCs w:val="16"/>
                <w:lang w:eastAsia="en-GB"/>
              </w:rPr>
              <w:t xml:space="preserve">2) ephemeral macroalgae (Opportunistic macroalgae covering and competing with the seagrass). </w:t>
            </w:r>
          </w:p>
          <w:p w14:paraId="27847491" w14:textId="5E552908" w:rsidR="00B60E99" w:rsidRDefault="001009AB">
            <w:pPr>
              <w:spacing w:after="0" w:line="240" w:lineRule="auto"/>
              <w:rPr>
                <w:rFonts w:ascii="Calibri" w:eastAsia="Times New Roman" w:hAnsi="Calibri" w:cs="Calibri"/>
                <w:color w:val="000000"/>
                <w:sz w:val="16"/>
                <w:szCs w:val="16"/>
                <w:lang w:eastAsia="en-GB"/>
              </w:rPr>
            </w:pPr>
            <w:r w:rsidRPr="001009AB">
              <w:rPr>
                <w:rFonts w:ascii="Calibri" w:eastAsia="Times New Roman" w:hAnsi="Calibri" w:cs="Calibri"/>
                <w:b/>
                <w:bCs/>
                <w:color w:val="000000"/>
                <w:sz w:val="16"/>
                <w:szCs w:val="16"/>
                <w:lang w:eastAsia="en-GB"/>
              </w:rPr>
              <w:t>LRC:</w:t>
            </w:r>
            <w:r w:rsidRPr="001009AB">
              <w:rPr>
                <w:rFonts w:ascii="Calibri" w:eastAsia="Times New Roman" w:hAnsi="Calibri" w:cs="Calibri"/>
                <w:color w:val="000000"/>
                <w:sz w:val="16"/>
                <w:szCs w:val="16"/>
                <w:lang w:eastAsia="en-GB"/>
              </w:rPr>
              <w:t xml:space="preserve"> all intertidal seagrass mapped has a LRC score greater than moderate.</w:t>
            </w:r>
          </w:p>
          <w:p w14:paraId="0CF17545" w14:textId="77777777" w:rsidR="001009AB" w:rsidRDefault="001009AB">
            <w:pPr>
              <w:spacing w:after="0" w:line="240" w:lineRule="auto"/>
              <w:rPr>
                <w:rFonts w:ascii="Calibri" w:eastAsia="Times New Roman" w:hAnsi="Calibri" w:cs="Calibri"/>
                <w:color w:val="000000"/>
                <w:sz w:val="16"/>
                <w:szCs w:val="16"/>
                <w:lang w:eastAsia="en-GB"/>
              </w:rPr>
            </w:pPr>
          </w:p>
          <w:p w14:paraId="14207A1F" w14:textId="6D964BEC" w:rsidR="001009AB" w:rsidRPr="001009AB" w:rsidRDefault="001009AB">
            <w:pPr>
              <w:spacing w:after="0" w:line="240" w:lineRule="auto"/>
              <w:rPr>
                <w:rFonts w:ascii="Calibri" w:eastAsia="Times New Roman" w:hAnsi="Calibri" w:cs="Calibri"/>
                <w:b/>
                <w:bCs/>
                <w:color w:val="000000"/>
                <w:sz w:val="16"/>
                <w:szCs w:val="16"/>
                <w:lang w:eastAsia="en-GB"/>
              </w:rPr>
            </w:pPr>
            <w:r w:rsidRPr="001009AB">
              <w:rPr>
                <w:rFonts w:ascii="Calibri" w:eastAsia="Times New Roman" w:hAnsi="Calibri" w:cs="Calibri"/>
                <w:b/>
                <w:bCs/>
                <w:color w:val="000000"/>
                <w:sz w:val="16"/>
                <w:szCs w:val="16"/>
                <w:lang w:eastAsia="en-GB"/>
              </w:rPr>
              <w:t xml:space="preserve">Water Quality: </w:t>
            </w:r>
            <w:r w:rsidR="005B733D" w:rsidRPr="005B733D">
              <w:rPr>
                <w:rFonts w:ascii="Calibri" w:eastAsia="Times New Roman" w:hAnsi="Calibri" w:cs="Calibri"/>
                <w:color w:val="000000"/>
                <w:sz w:val="16"/>
                <w:szCs w:val="16"/>
                <w:lang w:eastAsia="en-GB"/>
              </w:rPr>
              <w:t>Since 2013, Plymouth Tamar water body has failed to meet Water Framework Directive (WFD) standards, achieving an overall water body status of ‘moderate’. In 2019, this was due to chemical hazardous substances failing against WFD standards.</w:t>
            </w:r>
            <w:r w:rsidR="005B733D">
              <w:rPr>
                <w:rFonts w:ascii="Calibri" w:eastAsia="Times New Roman" w:hAnsi="Calibri" w:cs="Calibri"/>
                <w:color w:val="000000"/>
                <w:sz w:val="16"/>
                <w:szCs w:val="16"/>
                <w:lang w:eastAsia="en-GB"/>
              </w:rPr>
              <w:t xml:space="preserve"> </w:t>
            </w:r>
            <w:r w:rsidR="009F4661">
              <w:rPr>
                <w:rFonts w:ascii="Calibri" w:eastAsia="Times New Roman" w:hAnsi="Calibri" w:cs="Calibri"/>
                <w:color w:val="000000"/>
                <w:sz w:val="16"/>
                <w:szCs w:val="16"/>
                <w:lang w:eastAsia="en-GB"/>
              </w:rPr>
              <w:t xml:space="preserve">Seagrass is listed as a biological quality </w:t>
            </w:r>
            <w:r w:rsidR="00CC3DFE">
              <w:rPr>
                <w:rFonts w:ascii="Calibri" w:eastAsia="Times New Roman" w:hAnsi="Calibri" w:cs="Calibri"/>
                <w:color w:val="000000"/>
                <w:sz w:val="16"/>
                <w:szCs w:val="16"/>
                <w:lang w:eastAsia="en-GB"/>
              </w:rPr>
              <w:t>element that contributes to the ecological and overall status of the water body. In 2019, Seagrass was “</w:t>
            </w:r>
            <w:proofErr w:type="spellStart"/>
            <w:r w:rsidR="00CC3DFE">
              <w:rPr>
                <w:rFonts w:ascii="Calibri" w:eastAsia="Times New Roman" w:hAnsi="Calibri" w:cs="Calibri"/>
                <w:color w:val="000000"/>
                <w:sz w:val="16"/>
                <w:szCs w:val="16"/>
                <w:lang w:eastAsia="en-GB"/>
              </w:rPr>
              <w:t>high”</w:t>
            </w:r>
            <w:r w:rsidR="008A37D5">
              <w:rPr>
                <w:rFonts w:ascii="Calibri" w:eastAsia="Times New Roman" w:hAnsi="Calibri" w:cs="Calibri"/>
                <w:color w:val="000000"/>
                <w:sz w:val="16"/>
                <w:szCs w:val="16"/>
                <w:lang w:eastAsia="en-GB"/>
              </w:rPr>
              <w:t>suggesting</w:t>
            </w:r>
            <w:proofErr w:type="spellEnd"/>
            <w:r w:rsidR="008A37D5">
              <w:rPr>
                <w:rFonts w:ascii="Calibri" w:eastAsia="Times New Roman" w:hAnsi="Calibri" w:cs="Calibri"/>
                <w:color w:val="000000"/>
                <w:sz w:val="16"/>
                <w:szCs w:val="16"/>
                <w:lang w:eastAsia="en-GB"/>
              </w:rPr>
              <w:t xml:space="preserve"> intertidal seagrass was in good condition. This rating is based </w:t>
            </w:r>
            <w:proofErr w:type="spellStart"/>
            <w:r w:rsidR="008A37D5">
              <w:rPr>
                <w:rFonts w:ascii="Calibri" w:eastAsia="Times New Roman" w:hAnsi="Calibri" w:cs="Calibri"/>
                <w:color w:val="000000"/>
                <w:sz w:val="16"/>
                <w:szCs w:val="16"/>
                <w:lang w:eastAsia="en-GB"/>
              </w:rPr>
              <w:t>of</w:t>
            </w:r>
            <w:proofErr w:type="spellEnd"/>
            <w:r w:rsidR="008A37D5">
              <w:rPr>
                <w:rFonts w:ascii="Calibri" w:eastAsia="Times New Roman" w:hAnsi="Calibri" w:cs="Calibri"/>
                <w:color w:val="000000"/>
                <w:sz w:val="16"/>
                <w:szCs w:val="16"/>
                <w:lang w:eastAsia="en-GB"/>
              </w:rPr>
              <w:t xml:space="preserve"> an EQR. </w:t>
            </w:r>
            <w:r w:rsidR="00B427FF">
              <w:rPr>
                <w:rFonts w:ascii="Calibri" w:eastAsia="Times New Roman" w:hAnsi="Calibri" w:cs="Calibri"/>
                <w:color w:val="000000"/>
                <w:sz w:val="16"/>
                <w:szCs w:val="16"/>
                <w:lang w:eastAsia="en-GB"/>
              </w:rPr>
              <w:t>“</w:t>
            </w:r>
            <w:r w:rsidR="00B427FF" w:rsidRPr="00B427FF">
              <w:rPr>
                <w:rFonts w:ascii="Calibri" w:eastAsia="Times New Roman" w:hAnsi="Calibri" w:cs="Calibri"/>
                <w:color w:val="000000"/>
                <w:sz w:val="16"/>
                <w:szCs w:val="16"/>
                <w:lang w:eastAsia="en-GB"/>
              </w:rPr>
              <w:t>The intertidal seagrass tool is an index based on the average of three criteria: seagrass bed extent loss, annual/five-yearly average shoot density loss, and species loss as a proportion of a historical reference. These measurements are combined to derive an Ecological Quality Ratio</w:t>
            </w:r>
            <w:r w:rsidR="00B427FF">
              <w:rPr>
                <w:rFonts w:ascii="Calibri" w:eastAsia="Times New Roman" w:hAnsi="Calibri" w:cs="Calibri"/>
                <w:color w:val="000000"/>
                <w:sz w:val="16"/>
                <w:szCs w:val="16"/>
                <w:lang w:eastAsia="en-GB"/>
              </w:rPr>
              <w:t>” (</w:t>
            </w:r>
            <w:r w:rsidR="00F911B0">
              <w:rPr>
                <w:rFonts w:ascii="Calibri" w:eastAsia="Times New Roman" w:hAnsi="Calibri" w:cs="Calibri"/>
                <w:color w:val="000000"/>
                <w:sz w:val="16"/>
                <w:szCs w:val="16"/>
                <w:lang w:eastAsia="en-GB"/>
              </w:rPr>
              <w:t>CEFAS)</w:t>
            </w:r>
          </w:p>
          <w:p w14:paraId="5E37B117" w14:textId="77777777" w:rsidR="005D667C" w:rsidRDefault="005D667C">
            <w:pPr>
              <w:spacing w:after="0" w:line="240" w:lineRule="auto"/>
              <w:rPr>
                <w:rFonts w:ascii="Calibri" w:eastAsia="Times New Roman" w:hAnsi="Calibri" w:cs="Calibri"/>
                <w:color w:val="000000"/>
                <w:sz w:val="16"/>
                <w:szCs w:val="16"/>
                <w:lang w:eastAsia="en-GB"/>
              </w:rPr>
            </w:pPr>
          </w:p>
          <w:p w14:paraId="0349F259" w14:textId="77777777" w:rsidR="005D667C" w:rsidRDefault="005D667C">
            <w:pPr>
              <w:spacing w:after="0" w:line="240" w:lineRule="auto"/>
              <w:rPr>
                <w:rFonts w:ascii="Calibri" w:eastAsia="Times New Roman" w:hAnsi="Calibri" w:cs="Calibri"/>
                <w:color w:val="000000"/>
                <w:sz w:val="16"/>
                <w:szCs w:val="16"/>
                <w:lang w:eastAsia="en-GB"/>
              </w:rPr>
            </w:pPr>
          </w:p>
          <w:p w14:paraId="098B1694" w14:textId="77777777" w:rsidR="005D667C" w:rsidRDefault="005D667C">
            <w:pPr>
              <w:spacing w:after="0" w:line="240" w:lineRule="auto"/>
              <w:rPr>
                <w:rFonts w:ascii="Calibri" w:eastAsia="Times New Roman" w:hAnsi="Calibri" w:cs="Calibri"/>
                <w:color w:val="000000"/>
                <w:sz w:val="16"/>
                <w:szCs w:val="16"/>
                <w:lang w:eastAsia="en-GB"/>
              </w:rPr>
            </w:pPr>
          </w:p>
          <w:p w14:paraId="3C355836" w14:textId="77777777" w:rsidR="005D667C" w:rsidRDefault="005D667C">
            <w:pPr>
              <w:spacing w:after="0" w:line="240" w:lineRule="auto"/>
              <w:rPr>
                <w:rFonts w:ascii="Calibri" w:eastAsia="Times New Roman" w:hAnsi="Calibri" w:cs="Calibri"/>
                <w:color w:val="000000"/>
                <w:sz w:val="16"/>
                <w:szCs w:val="16"/>
                <w:lang w:eastAsia="en-GB"/>
              </w:rPr>
            </w:pPr>
          </w:p>
          <w:p w14:paraId="5E6DF2C2" w14:textId="77777777" w:rsidR="005D667C" w:rsidRDefault="005D667C">
            <w:pPr>
              <w:spacing w:after="0" w:line="240" w:lineRule="auto"/>
              <w:rPr>
                <w:rFonts w:ascii="Calibri" w:eastAsia="Times New Roman" w:hAnsi="Calibri" w:cs="Calibri"/>
                <w:color w:val="000000"/>
                <w:sz w:val="16"/>
                <w:szCs w:val="16"/>
                <w:lang w:eastAsia="en-GB"/>
              </w:rPr>
            </w:pPr>
          </w:p>
          <w:p w14:paraId="46E5E470" w14:textId="12EACB0F" w:rsidR="000664FF" w:rsidRDefault="000664FF">
            <w:pPr>
              <w:spacing w:after="0" w:line="240" w:lineRule="auto"/>
              <w:rPr>
                <w:rFonts w:ascii="Calibri" w:eastAsia="Times New Roman" w:hAnsi="Calibri" w:cs="Calibri"/>
                <w:color w:val="000000"/>
                <w:sz w:val="16"/>
                <w:szCs w:val="16"/>
                <w:lang w:eastAsia="en-GB"/>
              </w:rPr>
            </w:pPr>
          </w:p>
        </w:tc>
        <w:tc>
          <w:tcPr>
            <w:tcW w:w="2713" w:type="dxa"/>
            <w:tcBorders>
              <w:top w:val="nil"/>
              <w:left w:val="nil"/>
              <w:bottom w:val="single" w:sz="4" w:space="0" w:color="auto"/>
              <w:right w:val="single" w:sz="4" w:space="0" w:color="auto"/>
            </w:tcBorders>
            <w:hideMark/>
          </w:tcPr>
          <w:p w14:paraId="70C36AC5" w14:textId="77777777" w:rsidR="000664FF" w:rsidRDefault="00CF25DE">
            <w:pPr>
              <w:spacing w:after="0" w:line="240" w:lineRule="auto"/>
              <w:rPr>
                <w:rFonts w:ascii="Calibri" w:eastAsia="Times New Roman" w:hAnsi="Calibri" w:cs="Calibri"/>
                <w:color w:val="000000"/>
                <w:sz w:val="16"/>
                <w:szCs w:val="16"/>
                <w:lang w:eastAsia="en-GB"/>
              </w:rPr>
            </w:pPr>
            <w:r w:rsidRPr="0020742A">
              <w:rPr>
                <w:rFonts w:ascii="Calibri" w:eastAsia="Times New Roman" w:hAnsi="Calibri" w:cs="Calibri"/>
                <w:b/>
                <w:bCs/>
                <w:color w:val="000000"/>
                <w:sz w:val="16"/>
                <w:szCs w:val="16"/>
                <w:lang w:eastAsia="en-GB"/>
              </w:rPr>
              <w:t>MSFD</w:t>
            </w:r>
            <w:r>
              <w:rPr>
                <w:rFonts w:ascii="Calibri" w:eastAsia="Times New Roman" w:hAnsi="Calibri" w:cs="Calibri"/>
                <w:color w:val="000000"/>
                <w:sz w:val="16"/>
                <w:szCs w:val="16"/>
                <w:lang w:eastAsia="en-GB"/>
              </w:rPr>
              <w:t xml:space="preserve">: </w:t>
            </w:r>
            <w:r w:rsidR="0020742A" w:rsidRPr="0020742A">
              <w:rPr>
                <w:rFonts w:ascii="Calibri" w:eastAsia="Times New Roman" w:hAnsi="Calibri" w:cs="Calibri"/>
                <w:color w:val="000000"/>
                <w:sz w:val="16"/>
                <w:szCs w:val="16"/>
                <w:lang w:eastAsia="en-GB"/>
              </w:rPr>
              <w:t xml:space="preserve">Pressure based target: extent affected by human disturbance should be minimised, and physical loss is minimised and where possible reversed (Defra, 2019): Inside MPAs: ≥95% of extent to be in favourable condition. </w:t>
            </w:r>
            <w:proofErr w:type="spellStart"/>
            <w:r w:rsidR="0020742A" w:rsidRPr="0020742A">
              <w:rPr>
                <w:rFonts w:ascii="Calibri" w:eastAsia="Times New Roman" w:hAnsi="Calibri" w:cs="Calibri"/>
                <w:color w:val="000000"/>
                <w:sz w:val="16"/>
                <w:szCs w:val="16"/>
                <w:lang w:eastAsia="en-GB"/>
              </w:rPr>
              <w:t>i</w:t>
            </w:r>
            <w:proofErr w:type="spellEnd"/>
            <w:r w:rsidR="0020742A" w:rsidRPr="0020742A">
              <w:rPr>
                <w:rFonts w:ascii="Calibri" w:eastAsia="Times New Roman" w:hAnsi="Calibri" w:cs="Calibri"/>
                <w:color w:val="000000"/>
                <w:sz w:val="16"/>
                <w:szCs w:val="16"/>
                <w:lang w:eastAsia="en-GB"/>
              </w:rPr>
              <w:t>) presence and spatial distribution of biological communities’ representative of the feature are maintained. ii) presence and abundance of key structural and influential species are maintained (≥95% of extent to have conservation objective ‘maintain’). Outside MPAs: as for ‘extent’.</w:t>
            </w:r>
          </w:p>
          <w:p w14:paraId="2BE8BAE3" w14:textId="77777777" w:rsidR="0020742A" w:rsidRDefault="0020742A">
            <w:pPr>
              <w:spacing w:after="0" w:line="240" w:lineRule="auto"/>
              <w:rPr>
                <w:rFonts w:ascii="Calibri" w:eastAsia="Times New Roman" w:hAnsi="Calibri" w:cs="Calibri"/>
                <w:color w:val="000000"/>
                <w:sz w:val="16"/>
                <w:szCs w:val="16"/>
                <w:lang w:eastAsia="en-GB"/>
              </w:rPr>
            </w:pPr>
          </w:p>
          <w:p w14:paraId="2B85BE9C" w14:textId="66636634" w:rsidR="00030175" w:rsidRPr="00030175" w:rsidRDefault="0020742A" w:rsidP="00030175">
            <w:pPr>
              <w:spacing w:after="0" w:line="240" w:lineRule="auto"/>
              <w:rPr>
                <w:rFonts w:ascii="Calibri" w:eastAsia="Times New Roman" w:hAnsi="Calibri" w:cs="Calibri"/>
                <w:color w:val="000000"/>
                <w:sz w:val="16"/>
                <w:szCs w:val="16"/>
                <w:lang w:eastAsia="en-GB"/>
              </w:rPr>
            </w:pPr>
            <w:r w:rsidRPr="00911A8D">
              <w:rPr>
                <w:rFonts w:ascii="Calibri" w:eastAsia="Times New Roman" w:hAnsi="Calibri" w:cs="Calibri"/>
                <w:b/>
                <w:bCs/>
                <w:color w:val="000000"/>
                <w:sz w:val="16"/>
                <w:szCs w:val="16"/>
                <w:lang w:eastAsia="en-GB"/>
              </w:rPr>
              <w:t>UK Marine Strategy</w:t>
            </w:r>
            <w:r>
              <w:rPr>
                <w:rFonts w:ascii="Calibri" w:eastAsia="Times New Roman" w:hAnsi="Calibri" w:cs="Calibri"/>
                <w:color w:val="000000"/>
                <w:sz w:val="16"/>
                <w:szCs w:val="16"/>
                <w:lang w:eastAsia="en-GB"/>
              </w:rPr>
              <w:t xml:space="preserve">: </w:t>
            </w:r>
            <w:r w:rsidR="00B8358E" w:rsidRPr="00B8358E">
              <w:rPr>
                <w:rFonts w:ascii="Calibri" w:eastAsia="Times New Roman" w:hAnsi="Calibri" w:cs="Calibri"/>
                <w:color w:val="000000"/>
                <w:sz w:val="16"/>
                <w:szCs w:val="16"/>
                <w:lang w:eastAsia="en-GB"/>
              </w:rPr>
              <w:t>Listed habitats: Area assessed in condition assessments to be in favourable condition with less than 5% unfavourable.</w:t>
            </w:r>
            <w:r w:rsidR="00030175">
              <w:t xml:space="preserve"> </w:t>
            </w:r>
            <w:r w:rsidR="00030175" w:rsidRPr="00030175">
              <w:rPr>
                <w:rFonts w:ascii="Calibri" w:eastAsia="Times New Roman" w:hAnsi="Calibri" w:cs="Calibri"/>
                <w:color w:val="000000"/>
                <w:sz w:val="16"/>
                <w:szCs w:val="16"/>
                <w:lang w:eastAsia="en-GB"/>
              </w:rPr>
              <w:t xml:space="preserve">If proportion of extent assessed as unfavourable in previous assessment, then this proportion to have decreased. </w:t>
            </w:r>
          </w:p>
          <w:p w14:paraId="44EE40D0" w14:textId="77777777" w:rsidR="00030175" w:rsidRPr="00030175" w:rsidRDefault="00030175" w:rsidP="00030175">
            <w:pPr>
              <w:spacing w:after="0" w:line="240" w:lineRule="auto"/>
              <w:rPr>
                <w:rFonts w:ascii="Calibri" w:eastAsia="Times New Roman" w:hAnsi="Calibri" w:cs="Calibri"/>
                <w:color w:val="000000"/>
                <w:sz w:val="16"/>
                <w:szCs w:val="16"/>
                <w:lang w:eastAsia="en-GB"/>
              </w:rPr>
            </w:pPr>
          </w:p>
          <w:p w14:paraId="033932C0" w14:textId="77777777" w:rsidR="00030175" w:rsidRPr="00030175" w:rsidRDefault="00030175" w:rsidP="00030175">
            <w:pPr>
              <w:spacing w:after="0" w:line="240" w:lineRule="auto"/>
              <w:rPr>
                <w:rFonts w:ascii="Calibri" w:eastAsia="Times New Roman" w:hAnsi="Calibri" w:cs="Calibri"/>
                <w:color w:val="000000"/>
                <w:sz w:val="16"/>
                <w:szCs w:val="16"/>
                <w:lang w:eastAsia="en-GB"/>
              </w:rPr>
            </w:pPr>
            <w:proofErr w:type="spellStart"/>
            <w:r w:rsidRPr="00030175">
              <w:rPr>
                <w:rFonts w:ascii="Calibri" w:eastAsia="Times New Roman" w:hAnsi="Calibri" w:cs="Calibri"/>
                <w:color w:val="000000"/>
                <w:sz w:val="16"/>
                <w:szCs w:val="16"/>
                <w:lang w:eastAsia="en-GB"/>
              </w:rPr>
              <w:t>UoP</w:t>
            </w:r>
            <w:proofErr w:type="spellEnd"/>
            <w:r w:rsidRPr="00030175">
              <w:rPr>
                <w:rFonts w:ascii="Calibri" w:eastAsia="Times New Roman" w:hAnsi="Calibri" w:cs="Calibri"/>
                <w:color w:val="000000"/>
                <w:sz w:val="16"/>
                <w:szCs w:val="16"/>
                <w:lang w:eastAsia="en-GB"/>
              </w:rPr>
              <w:t xml:space="preserve"> interpretation</w:t>
            </w:r>
          </w:p>
          <w:p w14:paraId="445C924B" w14:textId="77777777" w:rsidR="00030175" w:rsidRPr="00030175" w:rsidRDefault="00030175" w:rsidP="00030175">
            <w:pPr>
              <w:spacing w:after="0" w:line="240" w:lineRule="auto"/>
              <w:rPr>
                <w:rFonts w:ascii="Calibri" w:eastAsia="Times New Roman" w:hAnsi="Calibri" w:cs="Calibri"/>
                <w:color w:val="000000"/>
                <w:sz w:val="16"/>
                <w:szCs w:val="16"/>
                <w:lang w:eastAsia="en-GB"/>
              </w:rPr>
            </w:pPr>
            <w:r w:rsidRPr="00030175">
              <w:rPr>
                <w:rFonts w:ascii="Calibri" w:eastAsia="Times New Roman" w:hAnsi="Calibri" w:cs="Calibri"/>
                <w:color w:val="000000"/>
                <w:sz w:val="16"/>
                <w:szCs w:val="16"/>
                <w:lang w:eastAsia="en-GB"/>
              </w:rPr>
              <w:t>Area in LRC of moderate or below is less than 5% of total habitat extent.</w:t>
            </w:r>
          </w:p>
          <w:p w14:paraId="2E6516F9" w14:textId="77777777" w:rsidR="00030175" w:rsidRPr="00030175" w:rsidRDefault="00030175" w:rsidP="00030175">
            <w:pPr>
              <w:spacing w:after="0" w:line="240" w:lineRule="auto"/>
              <w:rPr>
                <w:rFonts w:ascii="Calibri" w:eastAsia="Times New Roman" w:hAnsi="Calibri" w:cs="Calibri"/>
                <w:color w:val="000000"/>
                <w:sz w:val="16"/>
                <w:szCs w:val="16"/>
                <w:lang w:eastAsia="en-GB"/>
              </w:rPr>
            </w:pPr>
          </w:p>
          <w:p w14:paraId="64A9A6F6" w14:textId="77777777" w:rsidR="0020742A" w:rsidRDefault="00030175" w:rsidP="00030175">
            <w:pPr>
              <w:spacing w:after="0" w:line="240" w:lineRule="auto"/>
              <w:rPr>
                <w:rFonts w:ascii="Calibri" w:eastAsia="Times New Roman" w:hAnsi="Calibri" w:cs="Calibri"/>
                <w:color w:val="000000"/>
                <w:sz w:val="16"/>
                <w:szCs w:val="16"/>
                <w:lang w:eastAsia="en-GB"/>
              </w:rPr>
            </w:pPr>
            <w:r w:rsidRPr="00030175">
              <w:rPr>
                <w:rFonts w:ascii="Calibri" w:eastAsia="Times New Roman" w:hAnsi="Calibri" w:cs="Calibri"/>
                <w:color w:val="000000"/>
                <w:sz w:val="16"/>
                <w:szCs w:val="16"/>
                <w:lang w:eastAsia="en-GB"/>
              </w:rPr>
              <w:t>Area in LRC of moderate or below to have reduced since last assessment.</w:t>
            </w:r>
          </w:p>
          <w:p w14:paraId="05005B07" w14:textId="77777777" w:rsidR="00030175" w:rsidRDefault="00030175" w:rsidP="00030175">
            <w:pPr>
              <w:spacing w:after="0" w:line="240" w:lineRule="auto"/>
              <w:rPr>
                <w:rFonts w:ascii="Calibri" w:eastAsia="Times New Roman" w:hAnsi="Calibri" w:cs="Calibri"/>
                <w:color w:val="000000"/>
                <w:sz w:val="16"/>
                <w:szCs w:val="16"/>
                <w:lang w:eastAsia="en-GB"/>
              </w:rPr>
            </w:pPr>
          </w:p>
          <w:p w14:paraId="3231DEFB" w14:textId="77777777" w:rsidR="00911A8D" w:rsidRPr="00911A8D" w:rsidRDefault="00264AE0" w:rsidP="00911A8D">
            <w:pPr>
              <w:spacing w:after="0" w:line="240" w:lineRule="auto"/>
              <w:rPr>
                <w:rFonts w:ascii="Calibri" w:eastAsia="Times New Roman" w:hAnsi="Calibri" w:cs="Calibri"/>
                <w:color w:val="000000"/>
                <w:sz w:val="16"/>
                <w:szCs w:val="16"/>
                <w:lang w:eastAsia="en-GB"/>
              </w:rPr>
            </w:pPr>
            <w:r w:rsidRPr="00264AE0">
              <w:rPr>
                <w:rFonts w:ascii="Calibri" w:eastAsia="Times New Roman" w:hAnsi="Calibri" w:cs="Calibri"/>
                <w:b/>
                <w:bCs/>
                <w:color w:val="000000"/>
                <w:sz w:val="16"/>
                <w:szCs w:val="16"/>
                <w:lang w:eastAsia="en-GB"/>
              </w:rPr>
              <w:t>Water Framework Directive</w:t>
            </w:r>
            <w:r w:rsidR="00911A8D">
              <w:rPr>
                <w:rFonts w:ascii="Calibri" w:eastAsia="Times New Roman" w:hAnsi="Calibri" w:cs="Calibri"/>
                <w:b/>
                <w:bCs/>
                <w:color w:val="000000"/>
                <w:sz w:val="16"/>
                <w:szCs w:val="16"/>
                <w:lang w:eastAsia="en-GB"/>
              </w:rPr>
              <w:t xml:space="preserve">: </w:t>
            </w:r>
            <w:r w:rsidR="00911A8D" w:rsidRPr="00911A8D">
              <w:rPr>
                <w:rFonts w:ascii="Calibri" w:eastAsia="Times New Roman" w:hAnsi="Calibri" w:cs="Calibri"/>
                <w:color w:val="000000"/>
                <w:sz w:val="16"/>
                <w:szCs w:val="16"/>
                <w:lang w:eastAsia="en-GB"/>
              </w:rPr>
              <w:t>WFD Ecological Quality Ratios for seagrass within WFD boundaries.</w:t>
            </w:r>
          </w:p>
          <w:p w14:paraId="3E4415D4" w14:textId="77777777" w:rsidR="00911A8D" w:rsidRPr="00911A8D" w:rsidRDefault="00911A8D" w:rsidP="00911A8D">
            <w:pPr>
              <w:spacing w:after="0" w:line="240" w:lineRule="auto"/>
              <w:rPr>
                <w:rFonts w:ascii="Calibri" w:eastAsia="Times New Roman" w:hAnsi="Calibri" w:cs="Calibri"/>
                <w:color w:val="000000"/>
                <w:sz w:val="16"/>
                <w:szCs w:val="16"/>
                <w:lang w:eastAsia="en-GB"/>
              </w:rPr>
            </w:pPr>
          </w:p>
          <w:p w14:paraId="55064D44" w14:textId="77777777" w:rsidR="00911A8D" w:rsidRPr="00911A8D" w:rsidRDefault="00911A8D" w:rsidP="00911A8D">
            <w:pPr>
              <w:spacing w:after="0" w:line="240" w:lineRule="auto"/>
              <w:rPr>
                <w:rFonts w:ascii="Calibri" w:eastAsia="Times New Roman" w:hAnsi="Calibri" w:cs="Calibri"/>
                <w:color w:val="000000"/>
                <w:sz w:val="16"/>
                <w:szCs w:val="16"/>
                <w:lang w:eastAsia="en-GB"/>
              </w:rPr>
            </w:pPr>
            <w:r w:rsidRPr="00911A8D">
              <w:rPr>
                <w:rFonts w:ascii="Calibri" w:eastAsia="Times New Roman" w:hAnsi="Calibri" w:cs="Calibri"/>
                <w:color w:val="000000"/>
                <w:sz w:val="16"/>
                <w:szCs w:val="16"/>
                <w:lang w:eastAsia="en-GB"/>
              </w:rPr>
              <w:t xml:space="preserve">Water body ecological, </w:t>
            </w:r>
            <w:proofErr w:type="gramStart"/>
            <w:r w:rsidRPr="00911A8D">
              <w:rPr>
                <w:rFonts w:ascii="Calibri" w:eastAsia="Times New Roman" w:hAnsi="Calibri" w:cs="Calibri"/>
                <w:color w:val="000000"/>
                <w:sz w:val="16"/>
                <w:szCs w:val="16"/>
                <w:lang w:eastAsia="en-GB"/>
              </w:rPr>
              <w:t>chemical</w:t>
            </w:r>
            <w:proofErr w:type="gramEnd"/>
            <w:r w:rsidRPr="00911A8D">
              <w:rPr>
                <w:rFonts w:ascii="Calibri" w:eastAsia="Times New Roman" w:hAnsi="Calibri" w:cs="Calibri"/>
                <w:color w:val="000000"/>
                <w:sz w:val="16"/>
                <w:szCs w:val="16"/>
                <w:lang w:eastAsia="en-GB"/>
              </w:rPr>
              <w:t xml:space="preserve"> and overall condition to be good or better.</w:t>
            </w:r>
          </w:p>
          <w:p w14:paraId="6DCF0F14" w14:textId="77777777" w:rsidR="00911A8D" w:rsidRPr="00911A8D" w:rsidRDefault="00911A8D" w:rsidP="00911A8D">
            <w:pPr>
              <w:spacing w:after="0" w:line="240" w:lineRule="auto"/>
              <w:rPr>
                <w:rFonts w:ascii="Calibri" w:eastAsia="Times New Roman" w:hAnsi="Calibri" w:cs="Calibri"/>
                <w:color w:val="000000"/>
                <w:sz w:val="16"/>
                <w:szCs w:val="16"/>
                <w:lang w:eastAsia="en-GB"/>
              </w:rPr>
            </w:pPr>
          </w:p>
          <w:p w14:paraId="7C797001" w14:textId="3B826941" w:rsidR="00030175" w:rsidRPr="00264AE0" w:rsidRDefault="00911A8D" w:rsidP="00911A8D">
            <w:pPr>
              <w:spacing w:after="0" w:line="240" w:lineRule="auto"/>
              <w:rPr>
                <w:rFonts w:ascii="Calibri" w:eastAsia="Times New Roman" w:hAnsi="Calibri" w:cs="Calibri"/>
                <w:b/>
                <w:bCs/>
                <w:color w:val="000000"/>
                <w:sz w:val="16"/>
                <w:szCs w:val="16"/>
                <w:lang w:eastAsia="en-GB"/>
              </w:rPr>
            </w:pPr>
            <w:r w:rsidRPr="00911A8D">
              <w:rPr>
                <w:rFonts w:ascii="Calibri" w:eastAsia="Times New Roman" w:hAnsi="Calibri" w:cs="Calibri"/>
                <w:color w:val="000000"/>
                <w:sz w:val="16"/>
                <w:szCs w:val="16"/>
                <w:lang w:eastAsia="en-GB"/>
              </w:rPr>
              <w:t>DO and DIN levels to meet WFD targets in water body data.</w:t>
            </w:r>
          </w:p>
        </w:tc>
        <w:tc>
          <w:tcPr>
            <w:tcW w:w="1360" w:type="dxa"/>
            <w:tcBorders>
              <w:top w:val="nil"/>
              <w:left w:val="nil"/>
              <w:bottom w:val="single" w:sz="4" w:space="0" w:color="auto"/>
              <w:right w:val="single" w:sz="4" w:space="0" w:color="auto"/>
            </w:tcBorders>
            <w:hideMark/>
          </w:tcPr>
          <w:p w14:paraId="59CAD5F7" w14:textId="1E97F305" w:rsidR="000664FF" w:rsidRDefault="00993D9D">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Unfavourable unknown condition. No data for comparison. </w:t>
            </w:r>
            <w:r w:rsidR="00D87F00">
              <w:rPr>
                <w:rFonts w:ascii="Calibri" w:eastAsia="Times New Roman" w:hAnsi="Calibri" w:cs="Calibri"/>
                <w:color w:val="000000"/>
                <w:sz w:val="16"/>
                <w:szCs w:val="16"/>
                <w:lang w:eastAsia="en-GB"/>
              </w:rPr>
              <w:t xml:space="preserve">Majority of conservation objectives to maintain. </w:t>
            </w:r>
          </w:p>
        </w:tc>
        <w:tc>
          <w:tcPr>
            <w:tcW w:w="870" w:type="dxa"/>
            <w:tcBorders>
              <w:top w:val="single" w:sz="4" w:space="0" w:color="auto"/>
              <w:left w:val="single" w:sz="4" w:space="0" w:color="auto"/>
              <w:bottom w:val="single" w:sz="4" w:space="0" w:color="auto"/>
              <w:right w:val="single" w:sz="4" w:space="0" w:color="auto"/>
            </w:tcBorders>
            <w:shd w:val="clear" w:color="auto" w:fill="FFE9A3"/>
            <w:vAlign w:val="center"/>
            <w:hideMark/>
          </w:tcPr>
          <w:p w14:paraId="557F4B75" w14:textId="235B9F2B" w:rsidR="000664FF" w:rsidRDefault="009645B5">
            <w:pPr>
              <w:spacing w:after="0" w:line="240"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B</w:t>
            </w:r>
            <w:r w:rsidR="000664FF">
              <w:rPr>
                <w:rFonts w:ascii="Calibri" w:eastAsia="Times New Roman" w:hAnsi="Calibri" w:cs="Calibri"/>
                <w:b/>
                <w:bCs/>
                <w:color w:val="000000"/>
                <w:sz w:val="16"/>
                <w:szCs w:val="16"/>
                <w:lang w:eastAsia="en-GB"/>
              </w:rPr>
              <w:t xml:space="preserve">             (8)</w:t>
            </w:r>
          </w:p>
        </w:tc>
      </w:tr>
      <w:tr w:rsidR="000664FF" w14:paraId="31D9F3BD" w14:textId="77777777" w:rsidTr="000664FF">
        <w:trPr>
          <w:trHeight w:val="210"/>
        </w:trPr>
        <w:tc>
          <w:tcPr>
            <w:tcW w:w="0" w:type="auto"/>
            <w:vMerge/>
            <w:tcBorders>
              <w:top w:val="nil"/>
              <w:left w:val="single" w:sz="8" w:space="0" w:color="auto"/>
              <w:bottom w:val="single" w:sz="8" w:space="0" w:color="000000"/>
              <w:right w:val="nil"/>
            </w:tcBorders>
            <w:vAlign w:val="center"/>
            <w:hideMark/>
          </w:tcPr>
          <w:p w14:paraId="082B9CB4" w14:textId="77777777" w:rsidR="000664FF" w:rsidRDefault="000664FF">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276755" w14:textId="77777777" w:rsidR="000664FF" w:rsidRDefault="000664FF">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B3D55C" w14:textId="77777777" w:rsidR="000664FF" w:rsidRDefault="000664FF">
            <w:pPr>
              <w:spacing w:after="0"/>
              <w:rPr>
                <w:rFonts w:ascii="Calibri" w:eastAsia="Times New Roman" w:hAnsi="Calibri" w:cs="Calibri"/>
                <w:b/>
                <w:bCs/>
                <w:color w:val="000000"/>
                <w:sz w:val="16"/>
                <w:szCs w:val="16"/>
                <w:lang w:eastAsia="en-GB"/>
              </w:rPr>
            </w:pPr>
          </w:p>
        </w:tc>
        <w:tc>
          <w:tcPr>
            <w:tcW w:w="1545" w:type="dxa"/>
            <w:tcBorders>
              <w:top w:val="nil"/>
              <w:left w:val="nil"/>
              <w:bottom w:val="single" w:sz="4" w:space="0" w:color="auto"/>
              <w:right w:val="single" w:sz="4" w:space="0" w:color="auto"/>
            </w:tcBorders>
            <w:noWrap/>
            <w:hideMark/>
          </w:tcPr>
          <w:p w14:paraId="340D0E14" w14:textId="77777777" w:rsidR="000664FF" w:rsidRDefault="000664FF">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6300" w:type="dxa"/>
            <w:gridSpan w:val="2"/>
            <w:tcBorders>
              <w:top w:val="single" w:sz="4" w:space="0" w:color="auto"/>
              <w:left w:val="nil"/>
              <w:bottom w:val="single" w:sz="4" w:space="0" w:color="auto"/>
              <w:right w:val="single" w:sz="4" w:space="0" w:color="auto"/>
            </w:tcBorders>
            <w:vAlign w:val="center"/>
            <w:hideMark/>
          </w:tcPr>
          <w:p w14:paraId="73E1DF11" w14:textId="4A9F61F1" w:rsidR="000664FF" w:rsidRDefault="000664FF">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B –</w:t>
            </w:r>
            <w:r w:rsidR="009645B5">
              <w:rPr>
                <w:rFonts w:ascii="Calibri" w:eastAsia="Times New Roman" w:hAnsi="Calibri" w:cs="Calibri"/>
                <w:color w:val="000000"/>
                <w:sz w:val="16"/>
                <w:szCs w:val="16"/>
                <w:lang w:eastAsia="en-GB"/>
              </w:rPr>
              <w:t xml:space="preserve"> (low confidence) – last assessment date 2018</w:t>
            </w:r>
          </w:p>
        </w:tc>
        <w:tc>
          <w:tcPr>
            <w:tcW w:w="1360" w:type="dxa"/>
            <w:tcBorders>
              <w:top w:val="nil"/>
              <w:left w:val="nil"/>
              <w:bottom w:val="single" w:sz="4" w:space="0" w:color="auto"/>
              <w:right w:val="single" w:sz="4" w:space="0" w:color="auto"/>
            </w:tcBorders>
            <w:vAlign w:val="center"/>
            <w:hideMark/>
          </w:tcPr>
          <w:p w14:paraId="3B378C28" w14:textId="77777777" w:rsidR="000664FF" w:rsidRDefault="000664FF">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B</w:t>
            </w:r>
          </w:p>
        </w:tc>
        <w:tc>
          <w:tcPr>
            <w:tcW w:w="870" w:type="dxa"/>
            <w:vMerge w:val="restart"/>
            <w:tcBorders>
              <w:top w:val="nil"/>
              <w:left w:val="single" w:sz="4" w:space="0" w:color="auto"/>
              <w:bottom w:val="single" w:sz="4" w:space="0" w:color="auto"/>
              <w:right w:val="single" w:sz="4" w:space="0" w:color="auto"/>
            </w:tcBorders>
            <w:vAlign w:val="center"/>
            <w:hideMark/>
          </w:tcPr>
          <w:p w14:paraId="5D08B378" w14:textId="77777777" w:rsidR="000664FF" w:rsidRDefault="000664FF">
            <w:pPr>
              <w:rPr>
                <w:rFonts w:ascii="Calibri" w:eastAsia="Times New Roman" w:hAnsi="Calibri" w:cs="Calibri"/>
                <w:color w:val="000000"/>
                <w:sz w:val="16"/>
                <w:szCs w:val="16"/>
                <w:lang w:eastAsia="en-GB"/>
              </w:rPr>
            </w:pPr>
          </w:p>
        </w:tc>
      </w:tr>
      <w:tr w:rsidR="000664FF" w14:paraId="4D21F0AC" w14:textId="77777777" w:rsidTr="000664FF">
        <w:trPr>
          <w:trHeight w:val="270"/>
        </w:trPr>
        <w:tc>
          <w:tcPr>
            <w:tcW w:w="0" w:type="auto"/>
            <w:vMerge/>
            <w:tcBorders>
              <w:top w:val="nil"/>
              <w:left w:val="single" w:sz="8" w:space="0" w:color="auto"/>
              <w:bottom w:val="single" w:sz="8" w:space="0" w:color="000000"/>
              <w:right w:val="nil"/>
            </w:tcBorders>
            <w:vAlign w:val="center"/>
            <w:hideMark/>
          </w:tcPr>
          <w:p w14:paraId="116857C7" w14:textId="77777777" w:rsidR="000664FF" w:rsidRDefault="000664FF">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FC3705" w14:textId="77777777" w:rsidR="000664FF" w:rsidRDefault="000664FF">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D7B0D4" w14:textId="77777777" w:rsidR="000664FF" w:rsidRDefault="000664FF">
            <w:pPr>
              <w:spacing w:after="0"/>
              <w:rPr>
                <w:rFonts w:ascii="Calibri" w:eastAsia="Times New Roman" w:hAnsi="Calibri" w:cs="Calibri"/>
                <w:b/>
                <w:bCs/>
                <w:color w:val="000000"/>
                <w:sz w:val="16"/>
                <w:szCs w:val="16"/>
                <w:lang w:eastAsia="en-GB"/>
              </w:rPr>
            </w:pPr>
          </w:p>
        </w:tc>
        <w:tc>
          <w:tcPr>
            <w:tcW w:w="1545" w:type="dxa"/>
            <w:tcBorders>
              <w:top w:val="nil"/>
              <w:left w:val="nil"/>
              <w:bottom w:val="single" w:sz="4" w:space="0" w:color="auto"/>
              <w:right w:val="single" w:sz="4" w:space="0" w:color="auto"/>
            </w:tcBorders>
            <w:noWrap/>
            <w:hideMark/>
          </w:tcPr>
          <w:p w14:paraId="35A79227" w14:textId="77777777" w:rsidR="000664FF" w:rsidRDefault="000664FF">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6300" w:type="dxa"/>
            <w:gridSpan w:val="2"/>
            <w:tcBorders>
              <w:top w:val="single" w:sz="4" w:space="0" w:color="auto"/>
              <w:left w:val="nil"/>
              <w:bottom w:val="single" w:sz="4" w:space="0" w:color="auto"/>
              <w:right w:val="single" w:sz="4" w:space="0" w:color="auto"/>
            </w:tcBorders>
            <w:vAlign w:val="center"/>
            <w:hideMark/>
          </w:tcPr>
          <w:p w14:paraId="789EB389" w14:textId="77777777" w:rsidR="000664FF" w:rsidRDefault="000664FF">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w:t>
            </w:r>
          </w:p>
        </w:tc>
        <w:tc>
          <w:tcPr>
            <w:tcW w:w="1360" w:type="dxa"/>
            <w:tcBorders>
              <w:top w:val="nil"/>
              <w:left w:val="nil"/>
              <w:bottom w:val="single" w:sz="4" w:space="0" w:color="auto"/>
              <w:right w:val="single" w:sz="4" w:space="0" w:color="auto"/>
            </w:tcBorders>
            <w:vAlign w:val="center"/>
            <w:hideMark/>
          </w:tcPr>
          <w:p w14:paraId="7B5A9902" w14:textId="77777777" w:rsidR="000664FF" w:rsidRDefault="000664FF">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w:t>
            </w:r>
          </w:p>
        </w:tc>
        <w:tc>
          <w:tcPr>
            <w:tcW w:w="0" w:type="auto"/>
            <w:vMerge/>
            <w:tcBorders>
              <w:top w:val="nil"/>
              <w:left w:val="single" w:sz="4" w:space="0" w:color="auto"/>
              <w:bottom w:val="single" w:sz="4" w:space="0" w:color="auto"/>
              <w:right w:val="single" w:sz="4" w:space="0" w:color="auto"/>
            </w:tcBorders>
            <w:vAlign w:val="center"/>
            <w:hideMark/>
          </w:tcPr>
          <w:p w14:paraId="5DACE6DF" w14:textId="77777777" w:rsidR="000664FF" w:rsidRDefault="000664FF">
            <w:pPr>
              <w:spacing w:after="0"/>
              <w:rPr>
                <w:rFonts w:ascii="Calibri" w:eastAsia="Times New Roman" w:hAnsi="Calibri" w:cs="Calibri"/>
                <w:color w:val="000000"/>
                <w:sz w:val="16"/>
                <w:szCs w:val="16"/>
                <w:lang w:eastAsia="en-GB"/>
              </w:rPr>
            </w:pPr>
          </w:p>
        </w:tc>
      </w:tr>
      <w:tr w:rsidR="000664FF" w14:paraId="13EC14B3" w14:textId="77777777" w:rsidTr="0072053B">
        <w:trPr>
          <w:trHeight w:val="2018"/>
        </w:trPr>
        <w:tc>
          <w:tcPr>
            <w:tcW w:w="0" w:type="auto"/>
            <w:vMerge/>
            <w:tcBorders>
              <w:top w:val="nil"/>
              <w:left w:val="single" w:sz="8" w:space="0" w:color="auto"/>
              <w:bottom w:val="single" w:sz="8" w:space="0" w:color="000000"/>
              <w:right w:val="nil"/>
            </w:tcBorders>
            <w:vAlign w:val="center"/>
            <w:hideMark/>
          </w:tcPr>
          <w:p w14:paraId="2A1AD366" w14:textId="77777777" w:rsidR="000664FF" w:rsidRDefault="000664FF">
            <w:pPr>
              <w:spacing w:after="0"/>
              <w:rPr>
                <w:rFonts w:ascii="Calibri" w:eastAsia="Times New Roman" w:hAnsi="Calibri" w:cs="Calibri"/>
                <w:color w:val="000000"/>
                <w:sz w:val="16"/>
                <w:szCs w:val="16"/>
                <w:lang w:eastAsia="en-GB"/>
              </w:rPr>
            </w:pPr>
          </w:p>
        </w:tc>
        <w:tc>
          <w:tcPr>
            <w:tcW w:w="973" w:type="dxa"/>
            <w:vMerge w:val="restart"/>
            <w:tcBorders>
              <w:top w:val="single" w:sz="4" w:space="0" w:color="auto"/>
              <w:left w:val="single" w:sz="4" w:space="0" w:color="auto"/>
              <w:bottom w:val="single" w:sz="4" w:space="0" w:color="auto"/>
              <w:right w:val="single" w:sz="4" w:space="0" w:color="auto"/>
            </w:tcBorders>
            <w:hideMark/>
          </w:tcPr>
          <w:p w14:paraId="622CAC85" w14:textId="5FC447DD" w:rsidR="000664FF" w:rsidRDefault="00EC6230">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Intertidal Seagrass </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66E35A8F" w14:textId="77777777" w:rsidR="000664FF" w:rsidRDefault="000664FF">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 Food (Wild Food - fish and shellfish).    </w:t>
            </w:r>
          </w:p>
          <w:p w14:paraId="3B15FD89" w14:textId="77777777" w:rsidR="000664FF" w:rsidRDefault="000664FF">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Healthy climate (carbon sequestration).         • Sea defence. (</w:t>
            </w:r>
            <w:proofErr w:type="gramStart"/>
            <w:r>
              <w:rPr>
                <w:rFonts w:ascii="Calibri" w:eastAsia="Times New Roman" w:hAnsi="Calibri" w:cs="Calibri"/>
                <w:b/>
                <w:bCs/>
                <w:color w:val="000000"/>
                <w:sz w:val="16"/>
                <w:szCs w:val="16"/>
                <w:lang w:eastAsia="en-GB"/>
              </w:rPr>
              <w:t>natural</w:t>
            </w:r>
            <w:proofErr w:type="gramEnd"/>
            <w:r>
              <w:rPr>
                <w:rFonts w:ascii="Calibri" w:eastAsia="Times New Roman" w:hAnsi="Calibri" w:cs="Calibri"/>
                <w:b/>
                <w:bCs/>
                <w:color w:val="000000"/>
                <w:sz w:val="16"/>
                <w:szCs w:val="16"/>
                <w:lang w:eastAsia="en-GB"/>
              </w:rPr>
              <w:t xml:space="preserve"> hazard regulation).               • Tourism/nature watching.                  • Clean water and sediments.</w:t>
            </w:r>
          </w:p>
        </w:tc>
        <w:tc>
          <w:tcPr>
            <w:tcW w:w="1545" w:type="dxa"/>
            <w:vMerge w:val="restart"/>
            <w:tcBorders>
              <w:top w:val="nil"/>
              <w:left w:val="single" w:sz="4" w:space="0" w:color="auto"/>
              <w:bottom w:val="single" w:sz="4" w:space="0" w:color="auto"/>
              <w:right w:val="single" w:sz="4" w:space="0" w:color="auto"/>
            </w:tcBorders>
            <w:noWrap/>
            <w:hideMark/>
          </w:tcPr>
          <w:p w14:paraId="55AC4596" w14:textId="77777777" w:rsidR="000664FF" w:rsidRDefault="000664FF">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Spatial configuration</w:t>
            </w:r>
          </w:p>
        </w:tc>
        <w:tc>
          <w:tcPr>
            <w:tcW w:w="3587" w:type="dxa"/>
            <w:tcBorders>
              <w:top w:val="nil"/>
              <w:left w:val="nil"/>
              <w:bottom w:val="single" w:sz="4" w:space="0" w:color="auto"/>
              <w:right w:val="single" w:sz="4" w:space="0" w:color="auto"/>
            </w:tcBorders>
            <w:hideMark/>
          </w:tcPr>
          <w:p w14:paraId="06B88234" w14:textId="77777777" w:rsidR="000664FF" w:rsidRDefault="00E03E6C">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NE Package: </w:t>
            </w:r>
          </w:p>
          <w:p w14:paraId="79243F4D" w14:textId="77777777" w:rsidR="00E03E6C" w:rsidRDefault="00E03E6C">
            <w:pPr>
              <w:spacing w:after="0" w:line="240" w:lineRule="auto"/>
              <w:rPr>
                <w:rFonts w:ascii="Calibri" w:eastAsia="Times New Roman" w:hAnsi="Calibri" w:cs="Calibri"/>
                <w:color w:val="000000"/>
                <w:sz w:val="16"/>
                <w:szCs w:val="16"/>
                <w:lang w:eastAsia="en-GB"/>
              </w:rPr>
            </w:pPr>
          </w:p>
          <w:p w14:paraId="4CF67D02" w14:textId="626D1E09" w:rsidR="00E03E6C" w:rsidRDefault="00246EBF">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Conservation objectives 1)</w:t>
            </w:r>
            <w:r>
              <w:t xml:space="preserve"> </w:t>
            </w:r>
            <w:r w:rsidRPr="00246EBF">
              <w:rPr>
                <w:rFonts w:ascii="Calibri" w:eastAsia="Times New Roman" w:hAnsi="Calibri" w:cs="Calibri"/>
                <w:color w:val="000000"/>
                <w:sz w:val="16"/>
                <w:szCs w:val="16"/>
                <w:lang w:eastAsia="en-GB"/>
              </w:rPr>
              <w:t>Maintain the total extent and spatial distribution of seagrass beds</w:t>
            </w:r>
            <w:r>
              <w:rPr>
                <w:rFonts w:ascii="Calibri" w:eastAsia="Times New Roman" w:hAnsi="Calibri" w:cs="Calibri"/>
                <w:color w:val="000000"/>
                <w:sz w:val="16"/>
                <w:szCs w:val="16"/>
                <w:lang w:eastAsia="en-GB"/>
              </w:rPr>
              <w:t xml:space="preserve">, 2) </w:t>
            </w:r>
            <w:r w:rsidR="00D16C50" w:rsidRPr="00D16C50">
              <w:rPr>
                <w:rFonts w:ascii="Calibri" w:eastAsia="Times New Roman" w:hAnsi="Calibri" w:cs="Calibri"/>
                <w:color w:val="000000"/>
                <w:sz w:val="16"/>
                <w:szCs w:val="16"/>
                <w:lang w:eastAsia="en-GB"/>
              </w:rPr>
              <w:t xml:space="preserve">Maintain the area of habitat which is likely to support the </w:t>
            </w:r>
            <w:proofErr w:type="spellStart"/>
            <w:r w:rsidR="00D16C50" w:rsidRPr="00D16C50">
              <w:rPr>
                <w:rFonts w:ascii="Calibri" w:eastAsia="Times New Roman" w:hAnsi="Calibri" w:cs="Calibri"/>
                <w:color w:val="000000"/>
                <w:sz w:val="16"/>
                <w:szCs w:val="16"/>
                <w:lang w:eastAsia="en-GB"/>
              </w:rPr>
              <w:t>subfeature</w:t>
            </w:r>
            <w:proofErr w:type="spellEnd"/>
            <w:r w:rsidR="00D16C50">
              <w:rPr>
                <w:rFonts w:ascii="Calibri" w:eastAsia="Times New Roman" w:hAnsi="Calibri" w:cs="Calibri"/>
                <w:color w:val="000000"/>
                <w:sz w:val="16"/>
                <w:szCs w:val="16"/>
                <w:lang w:eastAsia="en-GB"/>
              </w:rPr>
              <w:t xml:space="preserve"> 3) </w:t>
            </w:r>
            <w:r w:rsidR="00D16C50" w:rsidRPr="00D16C50">
              <w:rPr>
                <w:rFonts w:ascii="Calibri" w:eastAsia="Times New Roman" w:hAnsi="Calibri" w:cs="Calibri"/>
                <w:color w:val="000000"/>
                <w:sz w:val="16"/>
                <w:szCs w:val="16"/>
                <w:lang w:eastAsia="en-GB"/>
              </w:rPr>
              <w:t>Maintain the presence and spatial distribution of intertidal seagrass bed communities</w:t>
            </w:r>
            <w:r w:rsidR="00D16C50">
              <w:rPr>
                <w:rFonts w:ascii="Calibri" w:eastAsia="Times New Roman" w:hAnsi="Calibri" w:cs="Calibri"/>
                <w:color w:val="000000"/>
                <w:sz w:val="16"/>
                <w:szCs w:val="16"/>
                <w:lang w:eastAsia="en-GB"/>
              </w:rPr>
              <w:t>; were all ‘met’ but with low confidence</w:t>
            </w:r>
          </w:p>
        </w:tc>
        <w:tc>
          <w:tcPr>
            <w:tcW w:w="2713" w:type="dxa"/>
            <w:tcBorders>
              <w:top w:val="nil"/>
              <w:left w:val="nil"/>
              <w:bottom w:val="single" w:sz="4" w:space="0" w:color="auto"/>
              <w:right w:val="single" w:sz="4" w:space="0" w:color="auto"/>
            </w:tcBorders>
            <w:hideMark/>
          </w:tcPr>
          <w:p w14:paraId="272696B0" w14:textId="6F997EC9" w:rsidR="000664FF" w:rsidRDefault="00EC6230">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As for extent. </w:t>
            </w:r>
          </w:p>
        </w:tc>
        <w:tc>
          <w:tcPr>
            <w:tcW w:w="1360" w:type="dxa"/>
            <w:tcBorders>
              <w:top w:val="nil"/>
              <w:left w:val="nil"/>
              <w:bottom w:val="single" w:sz="4" w:space="0" w:color="auto"/>
              <w:right w:val="single" w:sz="4" w:space="0" w:color="auto"/>
            </w:tcBorders>
            <w:noWrap/>
            <w:hideMark/>
          </w:tcPr>
          <w:p w14:paraId="0E6F9311" w14:textId="77777777" w:rsidR="000664FF" w:rsidRDefault="000664FF">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Unknown</w:t>
            </w:r>
          </w:p>
        </w:tc>
        <w:tc>
          <w:tcPr>
            <w:tcW w:w="870" w:type="dxa"/>
            <w:tcBorders>
              <w:top w:val="nil"/>
              <w:left w:val="single" w:sz="4" w:space="0" w:color="auto"/>
              <w:bottom w:val="single" w:sz="4" w:space="0" w:color="auto"/>
              <w:right w:val="single" w:sz="4" w:space="0" w:color="auto"/>
            </w:tcBorders>
            <w:shd w:val="clear" w:color="auto" w:fill="FFE9A3"/>
            <w:vAlign w:val="center"/>
            <w:hideMark/>
          </w:tcPr>
          <w:p w14:paraId="69699E55" w14:textId="6EA1C90C" w:rsidR="000664FF" w:rsidRDefault="000664FF">
            <w:pPr>
              <w:spacing w:after="0" w:line="240"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B           (8)</w:t>
            </w:r>
          </w:p>
        </w:tc>
      </w:tr>
      <w:tr w:rsidR="000664FF" w14:paraId="2AC73373" w14:textId="77777777" w:rsidTr="000664FF">
        <w:trPr>
          <w:trHeight w:val="300"/>
        </w:trPr>
        <w:tc>
          <w:tcPr>
            <w:tcW w:w="0" w:type="auto"/>
            <w:vMerge/>
            <w:tcBorders>
              <w:top w:val="nil"/>
              <w:left w:val="single" w:sz="8" w:space="0" w:color="auto"/>
              <w:bottom w:val="single" w:sz="8" w:space="0" w:color="000000"/>
              <w:right w:val="nil"/>
            </w:tcBorders>
            <w:vAlign w:val="center"/>
            <w:hideMark/>
          </w:tcPr>
          <w:p w14:paraId="62E2C721" w14:textId="77777777" w:rsidR="000664FF" w:rsidRDefault="000664FF">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FE2E5B" w14:textId="77777777" w:rsidR="000664FF" w:rsidRDefault="000664FF">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52C15" w14:textId="77777777" w:rsidR="000664FF" w:rsidRDefault="000664FF">
            <w:pPr>
              <w:spacing w:after="0"/>
              <w:rPr>
                <w:rFonts w:ascii="Calibri" w:eastAsia="Times New Roman" w:hAnsi="Calibri" w:cs="Calibri"/>
                <w:b/>
                <w:bCs/>
                <w:color w:val="000000"/>
                <w:sz w:val="16"/>
                <w:szCs w:val="16"/>
                <w:lang w:eastAsia="en-GB"/>
              </w:rPr>
            </w:pPr>
          </w:p>
        </w:tc>
        <w:tc>
          <w:tcPr>
            <w:tcW w:w="0" w:type="auto"/>
            <w:vMerge/>
            <w:tcBorders>
              <w:top w:val="nil"/>
              <w:left w:val="single" w:sz="4" w:space="0" w:color="auto"/>
              <w:bottom w:val="single" w:sz="4" w:space="0" w:color="auto"/>
              <w:right w:val="single" w:sz="4" w:space="0" w:color="auto"/>
            </w:tcBorders>
            <w:vAlign w:val="center"/>
            <w:hideMark/>
          </w:tcPr>
          <w:p w14:paraId="52B8DEFF" w14:textId="77777777" w:rsidR="000664FF" w:rsidRDefault="000664FF">
            <w:pPr>
              <w:spacing w:after="0"/>
              <w:rPr>
                <w:rFonts w:ascii="Calibri" w:eastAsia="Times New Roman" w:hAnsi="Calibri" w:cs="Calibri"/>
                <w:color w:val="000000"/>
                <w:sz w:val="16"/>
                <w:szCs w:val="16"/>
                <w:lang w:eastAsia="en-GB"/>
              </w:rPr>
            </w:pPr>
          </w:p>
        </w:tc>
        <w:tc>
          <w:tcPr>
            <w:tcW w:w="6300" w:type="dxa"/>
            <w:gridSpan w:val="2"/>
            <w:tcBorders>
              <w:top w:val="single" w:sz="4" w:space="0" w:color="auto"/>
              <w:left w:val="nil"/>
              <w:bottom w:val="single" w:sz="4" w:space="0" w:color="auto"/>
              <w:right w:val="single" w:sz="4" w:space="0" w:color="auto"/>
            </w:tcBorders>
            <w:vAlign w:val="center"/>
            <w:hideMark/>
          </w:tcPr>
          <w:p w14:paraId="194FAD69" w14:textId="77777777" w:rsidR="000664FF" w:rsidRDefault="000664FF">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B</w:t>
            </w:r>
          </w:p>
        </w:tc>
        <w:tc>
          <w:tcPr>
            <w:tcW w:w="1360" w:type="dxa"/>
            <w:tcBorders>
              <w:top w:val="nil"/>
              <w:left w:val="nil"/>
              <w:bottom w:val="single" w:sz="4" w:space="0" w:color="auto"/>
              <w:right w:val="single" w:sz="4" w:space="0" w:color="auto"/>
            </w:tcBorders>
            <w:vAlign w:val="center"/>
            <w:hideMark/>
          </w:tcPr>
          <w:p w14:paraId="20BC67A5" w14:textId="77777777" w:rsidR="000664FF" w:rsidRDefault="000664FF">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B</w:t>
            </w:r>
          </w:p>
        </w:tc>
        <w:tc>
          <w:tcPr>
            <w:tcW w:w="870" w:type="dxa"/>
            <w:vMerge w:val="restart"/>
            <w:tcBorders>
              <w:top w:val="nil"/>
              <w:left w:val="single" w:sz="4" w:space="0" w:color="auto"/>
              <w:bottom w:val="single" w:sz="4" w:space="0" w:color="auto"/>
              <w:right w:val="single" w:sz="4" w:space="0" w:color="auto"/>
            </w:tcBorders>
            <w:vAlign w:val="center"/>
            <w:hideMark/>
          </w:tcPr>
          <w:p w14:paraId="76E0D7E4" w14:textId="77777777" w:rsidR="000664FF" w:rsidRDefault="000664FF">
            <w:pPr>
              <w:rPr>
                <w:rFonts w:ascii="Calibri" w:eastAsia="Times New Roman" w:hAnsi="Calibri" w:cs="Calibri"/>
                <w:color w:val="000000"/>
                <w:sz w:val="16"/>
                <w:szCs w:val="16"/>
                <w:lang w:eastAsia="en-GB"/>
              </w:rPr>
            </w:pPr>
          </w:p>
        </w:tc>
      </w:tr>
      <w:tr w:rsidR="000664FF" w14:paraId="7A4D9E84" w14:textId="77777777" w:rsidTr="000664FF">
        <w:trPr>
          <w:trHeight w:val="315"/>
        </w:trPr>
        <w:tc>
          <w:tcPr>
            <w:tcW w:w="0" w:type="auto"/>
            <w:vMerge/>
            <w:tcBorders>
              <w:top w:val="nil"/>
              <w:left w:val="single" w:sz="8" w:space="0" w:color="auto"/>
              <w:bottom w:val="single" w:sz="8" w:space="0" w:color="000000"/>
              <w:right w:val="nil"/>
            </w:tcBorders>
            <w:vAlign w:val="center"/>
            <w:hideMark/>
          </w:tcPr>
          <w:p w14:paraId="370D92BA" w14:textId="77777777" w:rsidR="000664FF" w:rsidRDefault="000664FF">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2BC25" w14:textId="77777777" w:rsidR="000664FF" w:rsidRDefault="000664FF">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8915D" w14:textId="77777777" w:rsidR="000664FF" w:rsidRDefault="000664FF">
            <w:pPr>
              <w:spacing w:after="0"/>
              <w:rPr>
                <w:rFonts w:ascii="Calibri" w:eastAsia="Times New Roman" w:hAnsi="Calibri" w:cs="Calibri"/>
                <w:b/>
                <w:bCs/>
                <w:color w:val="000000"/>
                <w:sz w:val="16"/>
                <w:szCs w:val="16"/>
                <w:lang w:eastAsia="en-GB"/>
              </w:rPr>
            </w:pPr>
          </w:p>
        </w:tc>
        <w:tc>
          <w:tcPr>
            <w:tcW w:w="0" w:type="auto"/>
            <w:vMerge/>
            <w:tcBorders>
              <w:top w:val="nil"/>
              <w:left w:val="single" w:sz="4" w:space="0" w:color="auto"/>
              <w:bottom w:val="single" w:sz="4" w:space="0" w:color="auto"/>
              <w:right w:val="single" w:sz="4" w:space="0" w:color="auto"/>
            </w:tcBorders>
            <w:vAlign w:val="center"/>
            <w:hideMark/>
          </w:tcPr>
          <w:p w14:paraId="56AD5FEB" w14:textId="77777777" w:rsidR="000664FF" w:rsidRDefault="000664FF">
            <w:pPr>
              <w:spacing w:after="0"/>
              <w:rPr>
                <w:rFonts w:ascii="Calibri" w:eastAsia="Times New Roman" w:hAnsi="Calibri" w:cs="Calibri"/>
                <w:color w:val="000000"/>
                <w:sz w:val="16"/>
                <w:szCs w:val="16"/>
                <w:lang w:eastAsia="en-GB"/>
              </w:rPr>
            </w:pPr>
          </w:p>
        </w:tc>
        <w:tc>
          <w:tcPr>
            <w:tcW w:w="6300" w:type="dxa"/>
            <w:gridSpan w:val="2"/>
            <w:tcBorders>
              <w:top w:val="single" w:sz="4" w:space="0" w:color="auto"/>
              <w:left w:val="nil"/>
              <w:bottom w:val="single" w:sz="4" w:space="0" w:color="auto"/>
              <w:right w:val="single" w:sz="4" w:space="0" w:color="auto"/>
            </w:tcBorders>
            <w:vAlign w:val="center"/>
            <w:hideMark/>
          </w:tcPr>
          <w:p w14:paraId="5445B0FB" w14:textId="77777777" w:rsidR="000664FF" w:rsidRDefault="000664FF">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w:t>
            </w:r>
          </w:p>
        </w:tc>
        <w:tc>
          <w:tcPr>
            <w:tcW w:w="1360" w:type="dxa"/>
            <w:tcBorders>
              <w:top w:val="nil"/>
              <w:left w:val="nil"/>
              <w:bottom w:val="single" w:sz="4" w:space="0" w:color="auto"/>
              <w:right w:val="single" w:sz="4" w:space="0" w:color="auto"/>
            </w:tcBorders>
            <w:vAlign w:val="center"/>
            <w:hideMark/>
          </w:tcPr>
          <w:p w14:paraId="10A37BA2" w14:textId="77777777" w:rsidR="000664FF" w:rsidRDefault="000664FF">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w:t>
            </w:r>
          </w:p>
        </w:tc>
        <w:tc>
          <w:tcPr>
            <w:tcW w:w="0" w:type="auto"/>
            <w:vMerge/>
            <w:tcBorders>
              <w:top w:val="nil"/>
              <w:left w:val="single" w:sz="4" w:space="0" w:color="auto"/>
              <w:bottom w:val="single" w:sz="4" w:space="0" w:color="auto"/>
              <w:right w:val="single" w:sz="4" w:space="0" w:color="auto"/>
            </w:tcBorders>
            <w:vAlign w:val="center"/>
            <w:hideMark/>
          </w:tcPr>
          <w:p w14:paraId="6ACA9F49" w14:textId="77777777" w:rsidR="000664FF" w:rsidRDefault="000664FF">
            <w:pPr>
              <w:spacing w:after="0"/>
              <w:rPr>
                <w:rFonts w:ascii="Calibri" w:eastAsia="Times New Roman" w:hAnsi="Calibri" w:cs="Calibri"/>
                <w:color w:val="000000"/>
                <w:sz w:val="16"/>
                <w:szCs w:val="16"/>
                <w:lang w:eastAsia="en-GB"/>
              </w:rPr>
            </w:pPr>
          </w:p>
        </w:tc>
      </w:tr>
    </w:tbl>
    <w:p w14:paraId="176197A5" w14:textId="5E1B74E7" w:rsidR="008F5A10" w:rsidRDefault="008F5A10" w:rsidP="008E7806"/>
    <w:p w14:paraId="5E60BD06" w14:textId="77777777" w:rsidR="008F5A10" w:rsidRDefault="008F5A10">
      <w:pPr>
        <w:spacing w:line="259" w:lineRule="auto"/>
      </w:pPr>
      <w:r>
        <w:br w:type="page"/>
      </w:r>
    </w:p>
    <w:tbl>
      <w:tblPr>
        <w:tblW w:w="13580" w:type="dxa"/>
        <w:tblLook w:val="04A0" w:firstRow="1" w:lastRow="0" w:firstColumn="1" w:lastColumn="0" w:noHBand="0" w:noVBand="1"/>
      </w:tblPr>
      <w:tblGrid>
        <w:gridCol w:w="1130"/>
        <w:gridCol w:w="973"/>
        <w:gridCol w:w="1402"/>
        <w:gridCol w:w="1545"/>
        <w:gridCol w:w="3587"/>
        <w:gridCol w:w="2713"/>
        <w:gridCol w:w="1360"/>
        <w:gridCol w:w="870"/>
      </w:tblGrid>
      <w:tr w:rsidR="008F5A10" w14:paraId="05D2357D" w14:textId="77777777" w:rsidTr="0034220B">
        <w:trPr>
          <w:trHeight w:val="780"/>
          <w:tblHeader/>
        </w:trPr>
        <w:tc>
          <w:tcPr>
            <w:tcW w:w="1130" w:type="dxa"/>
            <w:tcBorders>
              <w:top w:val="single" w:sz="8" w:space="0" w:color="auto"/>
              <w:left w:val="single" w:sz="8" w:space="0" w:color="auto"/>
              <w:bottom w:val="single" w:sz="8" w:space="0" w:color="auto"/>
              <w:right w:val="single" w:sz="8" w:space="0" w:color="auto"/>
            </w:tcBorders>
            <w:hideMark/>
          </w:tcPr>
          <w:p w14:paraId="404079BA" w14:textId="77777777" w:rsidR="008F5A10" w:rsidRDefault="008F5A10"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lastRenderedPageBreak/>
              <w:t>Broad Habitat type</w:t>
            </w:r>
          </w:p>
        </w:tc>
        <w:tc>
          <w:tcPr>
            <w:tcW w:w="973" w:type="dxa"/>
            <w:tcBorders>
              <w:top w:val="single" w:sz="8" w:space="0" w:color="auto"/>
              <w:left w:val="nil"/>
              <w:bottom w:val="nil"/>
              <w:right w:val="single" w:sz="8" w:space="0" w:color="auto"/>
            </w:tcBorders>
            <w:hideMark/>
          </w:tcPr>
          <w:p w14:paraId="048AB9A7" w14:textId="77777777" w:rsidR="008F5A10" w:rsidRDefault="008F5A10"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Habitat / Species Asset</w:t>
            </w:r>
          </w:p>
        </w:tc>
        <w:tc>
          <w:tcPr>
            <w:tcW w:w="1402" w:type="dxa"/>
            <w:tcBorders>
              <w:top w:val="single" w:sz="8" w:space="0" w:color="auto"/>
              <w:left w:val="nil"/>
              <w:bottom w:val="nil"/>
              <w:right w:val="single" w:sz="8" w:space="0" w:color="auto"/>
            </w:tcBorders>
            <w:hideMark/>
          </w:tcPr>
          <w:p w14:paraId="5900F06B" w14:textId="77777777" w:rsidR="008F5A10" w:rsidRDefault="008F5A10"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Benefit</w:t>
            </w:r>
          </w:p>
        </w:tc>
        <w:tc>
          <w:tcPr>
            <w:tcW w:w="1545" w:type="dxa"/>
            <w:tcBorders>
              <w:top w:val="single" w:sz="8" w:space="0" w:color="auto"/>
              <w:left w:val="nil"/>
              <w:bottom w:val="nil"/>
              <w:right w:val="single" w:sz="8" w:space="0" w:color="auto"/>
            </w:tcBorders>
            <w:noWrap/>
            <w:hideMark/>
          </w:tcPr>
          <w:p w14:paraId="14140DEB" w14:textId="77777777" w:rsidR="008F5A10" w:rsidRDefault="008F5A10"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Characteristic</w:t>
            </w:r>
          </w:p>
        </w:tc>
        <w:tc>
          <w:tcPr>
            <w:tcW w:w="3587" w:type="dxa"/>
            <w:tcBorders>
              <w:top w:val="single" w:sz="8" w:space="0" w:color="auto"/>
              <w:left w:val="nil"/>
              <w:bottom w:val="nil"/>
              <w:right w:val="single" w:sz="8" w:space="0" w:color="auto"/>
            </w:tcBorders>
            <w:noWrap/>
            <w:hideMark/>
          </w:tcPr>
          <w:p w14:paraId="6066AA10" w14:textId="77777777" w:rsidR="008F5A10" w:rsidRDefault="008F5A10"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Current Status</w:t>
            </w:r>
          </w:p>
        </w:tc>
        <w:tc>
          <w:tcPr>
            <w:tcW w:w="2713" w:type="dxa"/>
            <w:tcBorders>
              <w:top w:val="single" w:sz="8" w:space="0" w:color="auto"/>
              <w:left w:val="nil"/>
              <w:bottom w:val="nil"/>
              <w:right w:val="single" w:sz="8" w:space="0" w:color="auto"/>
            </w:tcBorders>
            <w:noWrap/>
            <w:hideMark/>
          </w:tcPr>
          <w:p w14:paraId="5D9722C5" w14:textId="77777777" w:rsidR="008F5A10" w:rsidRDefault="008F5A10"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Target</w:t>
            </w:r>
          </w:p>
        </w:tc>
        <w:tc>
          <w:tcPr>
            <w:tcW w:w="1360" w:type="dxa"/>
            <w:tcBorders>
              <w:top w:val="single" w:sz="8" w:space="0" w:color="auto"/>
              <w:left w:val="nil"/>
              <w:bottom w:val="nil"/>
              <w:right w:val="single" w:sz="8" w:space="0" w:color="auto"/>
            </w:tcBorders>
            <w:noWrap/>
            <w:hideMark/>
          </w:tcPr>
          <w:p w14:paraId="0A1DBC2E" w14:textId="77777777" w:rsidR="008F5A10" w:rsidRDefault="008F5A10"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Trend</w:t>
            </w:r>
          </w:p>
        </w:tc>
        <w:tc>
          <w:tcPr>
            <w:tcW w:w="870" w:type="dxa"/>
            <w:tcBorders>
              <w:top w:val="single" w:sz="8" w:space="0" w:color="auto"/>
              <w:left w:val="nil"/>
              <w:bottom w:val="single" w:sz="4" w:space="0" w:color="auto"/>
              <w:right w:val="single" w:sz="8" w:space="0" w:color="auto"/>
            </w:tcBorders>
            <w:noWrap/>
            <w:hideMark/>
          </w:tcPr>
          <w:p w14:paraId="31C8F7AB" w14:textId="77777777" w:rsidR="008F5A10" w:rsidRDefault="008F5A10"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RAG</w:t>
            </w:r>
          </w:p>
        </w:tc>
      </w:tr>
      <w:tr w:rsidR="00E463F8" w14:paraId="236726E7" w14:textId="77777777" w:rsidTr="0034220B">
        <w:trPr>
          <w:trHeight w:val="2019"/>
        </w:trPr>
        <w:tc>
          <w:tcPr>
            <w:tcW w:w="1130" w:type="dxa"/>
            <w:vMerge w:val="restart"/>
            <w:tcBorders>
              <w:top w:val="nil"/>
              <w:left w:val="single" w:sz="8" w:space="0" w:color="auto"/>
              <w:bottom w:val="single" w:sz="8" w:space="0" w:color="000000"/>
              <w:right w:val="nil"/>
            </w:tcBorders>
            <w:shd w:val="clear" w:color="auto" w:fill="F2F2F2"/>
            <w:noWrap/>
            <w:hideMark/>
          </w:tcPr>
          <w:p w14:paraId="6C5AB222" w14:textId="77777777" w:rsidR="008F5A10" w:rsidRDefault="008F5A10"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Coastal Margin</w:t>
            </w:r>
          </w:p>
        </w:tc>
        <w:tc>
          <w:tcPr>
            <w:tcW w:w="973" w:type="dxa"/>
            <w:vMerge w:val="restart"/>
            <w:tcBorders>
              <w:top w:val="single" w:sz="4" w:space="0" w:color="auto"/>
              <w:left w:val="single" w:sz="4" w:space="0" w:color="auto"/>
              <w:bottom w:val="single" w:sz="4" w:space="0" w:color="auto"/>
              <w:right w:val="single" w:sz="4" w:space="0" w:color="auto"/>
            </w:tcBorders>
            <w:hideMark/>
          </w:tcPr>
          <w:p w14:paraId="6E70A541" w14:textId="37FFB8B3" w:rsidR="008F5A10" w:rsidRDefault="008F5A10"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Subtidal Seagrass </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7280A5D2" w14:textId="77777777" w:rsidR="008F5A10" w:rsidRDefault="008F5A10"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 Food (Wild Food - fish and shellfish).    </w:t>
            </w:r>
          </w:p>
          <w:p w14:paraId="4C666931" w14:textId="77777777" w:rsidR="008F5A10" w:rsidRDefault="008F5A10" w:rsidP="00500C88">
            <w:pPr>
              <w:spacing w:after="0" w:line="240" w:lineRule="auto"/>
              <w:ind w:hanging="52"/>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Healthy climate (carbon sequestration).         • Sea defence. (</w:t>
            </w:r>
            <w:proofErr w:type="gramStart"/>
            <w:r>
              <w:rPr>
                <w:rFonts w:ascii="Calibri" w:eastAsia="Times New Roman" w:hAnsi="Calibri" w:cs="Calibri"/>
                <w:b/>
                <w:bCs/>
                <w:color w:val="000000"/>
                <w:sz w:val="16"/>
                <w:szCs w:val="16"/>
                <w:lang w:eastAsia="en-GB"/>
              </w:rPr>
              <w:t>natural</w:t>
            </w:r>
            <w:proofErr w:type="gramEnd"/>
            <w:r>
              <w:rPr>
                <w:rFonts w:ascii="Calibri" w:eastAsia="Times New Roman" w:hAnsi="Calibri" w:cs="Calibri"/>
                <w:b/>
                <w:bCs/>
                <w:color w:val="000000"/>
                <w:sz w:val="16"/>
                <w:szCs w:val="16"/>
                <w:lang w:eastAsia="en-GB"/>
              </w:rPr>
              <w:t xml:space="preserve"> hazard regulation).               • Tourism/nature watching.                  • Clean water and sediments.</w:t>
            </w:r>
          </w:p>
        </w:tc>
        <w:tc>
          <w:tcPr>
            <w:tcW w:w="1545" w:type="dxa"/>
            <w:vMerge w:val="restart"/>
            <w:tcBorders>
              <w:top w:val="single" w:sz="4" w:space="0" w:color="auto"/>
              <w:left w:val="single" w:sz="4" w:space="0" w:color="auto"/>
              <w:bottom w:val="single" w:sz="4" w:space="0" w:color="auto"/>
              <w:right w:val="single" w:sz="4" w:space="0" w:color="auto"/>
            </w:tcBorders>
            <w:noWrap/>
            <w:hideMark/>
          </w:tcPr>
          <w:p w14:paraId="0FDE590A" w14:textId="77777777" w:rsidR="008F5A10" w:rsidRDefault="008F5A10"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Quantity/Extent</w:t>
            </w:r>
          </w:p>
        </w:tc>
        <w:tc>
          <w:tcPr>
            <w:tcW w:w="3587" w:type="dxa"/>
            <w:tcBorders>
              <w:top w:val="single" w:sz="4" w:space="0" w:color="auto"/>
              <w:left w:val="nil"/>
              <w:bottom w:val="single" w:sz="4" w:space="0" w:color="auto"/>
              <w:right w:val="single" w:sz="4" w:space="0" w:color="auto"/>
            </w:tcBorders>
            <w:hideMark/>
          </w:tcPr>
          <w:p w14:paraId="600A9F1C" w14:textId="708E35E0" w:rsidR="008F5A10" w:rsidRDefault="008F5A10" w:rsidP="00500C88">
            <w:pPr>
              <w:spacing w:after="0" w:line="240" w:lineRule="auto"/>
              <w:rPr>
                <w:rFonts w:ascii="Calibri" w:eastAsia="Times New Roman" w:hAnsi="Calibri" w:cs="Calibri"/>
                <w:color w:val="000000"/>
                <w:sz w:val="16"/>
                <w:szCs w:val="16"/>
                <w:lang w:eastAsia="en-GB"/>
              </w:rPr>
            </w:pPr>
            <w:r w:rsidRPr="00BA66F3">
              <w:rPr>
                <w:rFonts w:ascii="Calibri" w:eastAsia="Times New Roman" w:hAnsi="Calibri" w:cs="Calibri"/>
                <w:b/>
                <w:bCs/>
                <w:color w:val="000000"/>
                <w:sz w:val="16"/>
                <w:szCs w:val="16"/>
                <w:lang w:eastAsia="en-GB"/>
              </w:rPr>
              <w:t>Composite mapping</w:t>
            </w:r>
            <w:r>
              <w:rPr>
                <w:rFonts w:ascii="Calibri" w:eastAsia="Times New Roman" w:hAnsi="Calibri" w:cs="Calibri"/>
                <w:color w:val="000000"/>
                <w:sz w:val="16"/>
                <w:szCs w:val="16"/>
                <w:lang w:eastAsia="en-GB"/>
              </w:rPr>
              <w:t xml:space="preserve">: </w:t>
            </w:r>
            <w:r w:rsidR="002C083A" w:rsidRPr="002C083A">
              <w:rPr>
                <w:rFonts w:ascii="Calibri" w:eastAsia="Times New Roman" w:hAnsi="Calibri" w:cs="Calibri"/>
                <w:color w:val="000000"/>
                <w:sz w:val="16"/>
                <w:szCs w:val="16"/>
                <w:lang w:eastAsia="en-GB"/>
              </w:rPr>
              <w:t>Seagrass extent in the site is 0.52 km² and 99% of this area is within an MPA.</w:t>
            </w:r>
          </w:p>
          <w:p w14:paraId="1286E425" w14:textId="77777777" w:rsidR="008F5A10" w:rsidRDefault="008F5A10" w:rsidP="00500C88">
            <w:pPr>
              <w:spacing w:after="0" w:line="240" w:lineRule="auto"/>
              <w:rPr>
                <w:rFonts w:ascii="Calibri" w:eastAsia="Times New Roman" w:hAnsi="Calibri" w:cs="Calibri"/>
                <w:color w:val="000000"/>
                <w:sz w:val="16"/>
                <w:szCs w:val="16"/>
                <w:lang w:eastAsia="en-GB"/>
              </w:rPr>
            </w:pPr>
          </w:p>
          <w:p w14:paraId="71E82A58" w14:textId="5A71B27F" w:rsidR="00F3062C" w:rsidRDefault="008F5A10" w:rsidP="00500C88">
            <w:pPr>
              <w:spacing w:after="0" w:line="240" w:lineRule="auto"/>
              <w:rPr>
                <w:rFonts w:ascii="Calibri" w:eastAsia="Times New Roman" w:hAnsi="Calibri" w:cs="Calibri"/>
                <w:color w:val="000000"/>
                <w:sz w:val="16"/>
                <w:szCs w:val="16"/>
                <w:lang w:eastAsia="en-GB"/>
              </w:rPr>
            </w:pPr>
            <w:r w:rsidRPr="009D42EA">
              <w:rPr>
                <w:rFonts w:ascii="Calibri" w:eastAsia="Times New Roman" w:hAnsi="Calibri" w:cs="Calibri"/>
                <w:b/>
                <w:bCs/>
                <w:color w:val="000000"/>
                <w:sz w:val="16"/>
                <w:szCs w:val="16"/>
                <w:lang w:eastAsia="en-GB"/>
              </w:rPr>
              <w:t>NE Package:</w:t>
            </w:r>
            <w:r>
              <w:rPr>
                <w:rFonts w:ascii="Calibri" w:eastAsia="Times New Roman" w:hAnsi="Calibri" w:cs="Calibri"/>
                <w:b/>
                <w:bCs/>
                <w:color w:val="000000"/>
                <w:sz w:val="16"/>
                <w:szCs w:val="16"/>
                <w:lang w:eastAsia="en-GB"/>
              </w:rPr>
              <w:t xml:space="preserve"> </w:t>
            </w:r>
            <w:r w:rsidR="00F3062C" w:rsidRPr="00C93BA3">
              <w:rPr>
                <w:rFonts w:ascii="Calibri" w:eastAsia="Times New Roman" w:hAnsi="Calibri" w:cs="Calibri"/>
                <w:color w:val="000000"/>
                <w:sz w:val="16"/>
                <w:szCs w:val="16"/>
                <w:lang w:eastAsia="en-GB"/>
              </w:rPr>
              <w:t xml:space="preserve">Conservation objective to </w:t>
            </w:r>
            <w:r w:rsidR="00C93BA3" w:rsidRPr="00C93BA3">
              <w:rPr>
                <w:rFonts w:ascii="Calibri" w:eastAsia="Times New Roman" w:hAnsi="Calibri" w:cs="Calibri"/>
                <w:color w:val="000000"/>
                <w:sz w:val="16"/>
                <w:szCs w:val="16"/>
                <w:lang w:eastAsia="en-GB"/>
              </w:rPr>
              <w:t>“Restore the total extent of seagrass beds to 50.9 ha, and spatial distribution as defined on the map</w:t>
            </w:r>
            <w:r w:rsidR="00C93BA3">
              <w:rPr>
                <w:rFonts w:ascii="Calibri" w:eastAsia="Times New Roman" w:hAnsi="Calibri" w:cs="Calibri"/>
                <w:color w:val="000000"/>
                <w:sz w:val="16"/>
                <w:szCs w:val="16"/>
                <w:lang w:eastAsia="en-GB"/>
              </w:rPr>
              <w:t xml:space="preserve">” was not met </w:t>
            </w:r>
            <w:r w:rsidR="00C93BA3">
              <w:rPr>
                <w:rFonts w:ascii="Calibri" w:eastAsia="Times New Roman" w:hAnsi="Calibri" w:cs="Calibri"/>
                <w:color w:val="000000"/>
                <w:sz w:val="16"/>
                <w:szCs w:val="16"/>
                <w:lang w:eastAsia="en-GB"/>
              </w:rPr>
              <w:fldChar w:fldCharType="begin" w:fldLock="1"/>
            </w:r>
            <w:r w:rsidR="00811F93">
              <w:rPr>
                <w:rFonts w:ascii="Calibri" w:eastAsia="Times New Roman" w:hAnsi="Calibri" w:cs="Calibri"/>
                <w:color w:val="000000"/>
                <w:sz w:val="16"/>
                <w:szCs w:val="16"/>
                <w:lang w:eastAsia="en-GB"/>
              </w:rPr>
              <w:instrText>ADDIN CSL_CITATION {"citationItems":[{"id":"ITEM-1","itemData":{"URL":"https://designatedsites.naturalengland.org.uk/Marine/MarineSiteDetail.aspx?SiteCode=UK0013111&amp;SiteName=plymouth&amp;countyCode=&amp;responsiblePerson=&amp;SeaArea=&amp;IFCAArea=&amp;HasCA=1&amp;NumMarineSeasonality=4&amp;SiteNameDisplay=Plymouth Sound and Estuaries SAC","author":[{"dropping-particle":"","family":"Natural England","given":"","non-dropping-particle":"","parse-names":false,"suffix":""}],"id":"ITEM-1","issued":{"date-parts":[["2023"]]},"title":"Natural England Conservation Advice for Marine Protected Areas Plymouth Sound and Estuaries SAC","type":"webpage"},"uris":["http://www.mendeley.com/documents/?uuid=4eec2dc4-8616-4fe0-9714-876dc3c4513b"]}],"mendeley":{"formattedCitation":"(Natural England, 2023)","plainTextFormattedCitation":"(Natural England, 2023)","previouslyFormattedCitation":"(Natural England, 2023)"},"properties":{"noteIndex":0},"schema":"https://github.com/citation-style-language/schema/raw/master/csl-citation.json"}</w:instrText>
            </w:r>
            <w:r w:rsidR="00C93BA3">
              <w:rPr>
                <w:rFonts w:ascii="Calibri" w:eastAsia="Times New Roman" w:hAnsi="Calibri" w:cs="Calibri"/>
                <w:color w:val="000000"/>
                <w:sz w:val="16"/>
                <w:szCs w:val="16"/>
                <w:lang w:eastAsia="en-GB"/>
              </w:rPr>
              <w:fldChar w:fldCharType="separate"/>
            </w:r>
            <w:r w:rsidR="00C93BA3" w:rsidRPr="00C93BA3">
              <w:rPr>
                <w:rFonts w:ascii="Calibri" w:eastAsia="Times New Roman" w:hAnsi="Calibri" w:cs="Calibri"/>
                <w:noProof/>
                <w:color w:val="000000"/>
                <w:sz w:val="16"/>
                <w:szCs w:val="16"/>
                <w:lang w:eastAsia="en-GB"/>
              </w:rPr>
              <w:t>(Natural England, 2023)</w:t>
            </w:r>
            <w:r w:rsidR="00C93BA3">
              <w:rPr>
                <w:rFonts w:ascii="Calibri" w:eastAsia="Times New Roman" w:hAnsi="Calibri" w:cs="Calibri"/>
                <w:color w:val="000000"/>
                <w:sz w:val="16"/>
                <w:szCs w:val="16"/>
                <w:lang w:eastAsia="en-GB"/>
              </w:rPr>
              <w:fldChar w:fldCharType="end"/>
            </w:r>
            <w:r w:rsidR="00C93BA3">
              <w:rPr>
                <w:rFonts w:ascii="Calibri" w:eastAsia="Times New Roman" w:hAnsi="Calibri" w:cs="Calibri"/>
                <w:color w:val="000000"/>
                <w:sz w:val="16"/>
                <w:szCs w:val="16"/>
                <w:lang w:eastAsia="en-GB"/>
              </w:rPr>
              <w:t xml:space="preserve">. </w:t>
            </w:r>
          </w:p>
          <w:p w14:paraId="78D7153C" w14:textId="77777777" w:rsidR="00F20E3C" w:rsidRDefault="00F20E3C" w:rsidP="00500C88">
            <w:pPr>
              <w:spacing w:after="0" w:line="240" w:lineRule="auto"/>
              <w:rPr>
                <w:rFonts w:ascii="Calibri" w:eastAsia="Times New Roman" w:hAnsi="Calibri" w:cs="Calibri"/>
                <w:b/>
                <w:bCs/>
                <w:color w:val="000000"/>
                <w:sz w:val="16"/>
                <w:szCs w:val="16"/>
                <w:lang w:eastAsia="en-GB"/>
              </w:rPr>
            </w:pPr>
          </w:p>
          <w:p w14:paraId="0CEAABA5" w14:textId="3DB3F30E" w:rsidR="00F20E3C" w:rsidRPr="00F20E3C" w:rsidRDefault="00F20E3C" w:rsidP="00500C88">
            <w:pPr>
              <w:spacing w:after="0" w:line="240" w:lineRule="auto"/>
              <w:rPr>
                <w:rFonts w:ascii="Calibri" w:eastAsia="Times New Roman" w:hAnsi="Calibri" w:cs="Calibri"/>
                <w:color w:val="000000"/>
                <w:sz w:val="16"/>
                <w:szCs w:val="16"/>
                <w:lang w:eastAsia="en-GB"/>
              </w:rPr>
            </w:pPr>
            <w:r w:rsidRPr="00F20E3C">
              <w:rPr>
                <w:rFonts w:ascii="Calibri" w:eastAsia="Times New Roman" w:hAnsi="Calibri" w:cs="Calibri"/>
                <w:color w:val="000000"/>
                <w:sz w:val="16"/>
                <w:szCs w:val="16"/>
                <w:lang w:eastAsia="en-GB"/>
              </w:rPr>
              <w:t xml:space="preserve">The extents of </w:t>
            </w:r>
            <w:proofErr w:type="gramStart"/>
            <w:r w:rsidRPr="00F20E3C">
              <w:rPr>
                <w:rFonts w:ascii="Calibri" w:eastAsia="Times New Roman" w:hAnsi="Calibri" w:cs="Calibri"/>
                <w:color w:val="000000"/>
                <w:sz w:val="16"/>
                <w:szCs w:val="16"/>
                <w:lang w:eastAsia="en-GB"/>
              </w:rPr>
              <w:t>the majority of</w:t>
            </w:r>
            <w:proofErr w:type="gramEnd"/>
            <w:r w:rsidRPr="00F20E3C">
              <w:rPr>
                <w:rFonts w:ascii="Calibri" w:eastAsia="Times New Roman" w:hAnsi="Calibri" w:cs="Calibri"/>
                <w:color w:val="000000"/>
                <w:sz w:val="16"/>
                <w:szCs w:val="16"/>
                <w:lang w:eastAsia="en-GB"/>
              </w:rPr>
              <w:t xml:space="preserve"> subtidal seagrass beds within the study site declined in extent between 2012 and 2018.</w:t>
            </w:r>
          </w:p>
          <w:p w14:paraId="2434B347" w14:textId="77777777" w:rsidR="00F3062C" w:rsidRDefault="00F3062C" w:rsidP="00500C88">
            <w:pPr>
              <w:spacing w:after="0" w:line="240" w:lineRule="auto"/>
              <w:rPr>
                <w:rFonts w:ascii="Calibri" w:eastAsia="Times New Roman" w:hAnsi="Calibri" w:cs="Calibri"/>
                <w:b/>
                <w:bCs/>
                <w:color w:val="000000"/>
                <w:sz w:val="16"/>
                <w:szCs w:val="16"/>
                <w:lang w:eastAsia="en-GB"/>
              </w:rPr>
            </w:pPr>
          </w:p>
          <w:p w14:paraId="5BEB134A" w14:textId="339B93A8" w:rsidR="008F5A10" w:rsidRPr="009D42EA" w:rsidRDefault="008F5A10" w:rsidP="00500C88">
            <w:pPr>
              <w:spacing w:after="0" w:line="240" w:lineRule="auto"/>
              <w:rPr>
                <w:rFonts w:ascii="Calibri" w:eastAsia="Times New Roman" w:hAnsi="Calibri" w:cs="Calibri"/>
                <w:b/>
                <w:bCs/>
                <w:color w:val="000000"/>
                <w:sz w:val="16"/>
                <w:szCs w:val="16"/>
                <w:lang w:eastAsia="en-GB"/>
              </w:rPr>
            </w:pPr>
          </w:p>
        </w:tc>
        <w:tc>
          <w:tcPr>
            <w:tcW w:w="2713" w:type="dxa"/>
            <w:tcBorders>
              <w:top w:val="single" w:sz="4" w:space="0" w:color="auto"/>
              <w:left w:val="nil"/>
              <w:bottom w:val="single" w:sz="4" w:space="0" w:color="auto"/>
              <w:right w:val="single" w:sz="4" w:space="0" w:color="auto"/>
            </w:tcBorders>
            <w:hideMark/>
          </w:tcPr>
          <w:p w14:paraId="644FF265" w14:textId="77777777" w:rsidR="008F5A10" w:rsidRDefault="008F5A10" w:rsidP="00500C88">
            <w:pPr>
              <w:spacing w:after="0" w:line="240" w:lineRule="auto"/>
              <w:rPr>
                <w:rFonts w:ascii="Calibri" w:eastAsia="Times New Roman" w:hAnsi="Calibri" w:cs="Calibri"/>
                <w:color w:val="000000"/>
                <w:sz w:val="16"/>
                <w:szCs w:val="16"/>
                <w:lang w:eastAsia="en-GB"/>
              </w:rPr>
            </w:pPr>
            <w:r w:rsidRPr="004B486F">
              <w:rPr>
                <w:rFonts w:ascii="Calibri" w:eastAsia="Times New Roman" w:hAnsi="Calibri" w:cs="Calibri"/>
                <w:b/>
                <w:bCs/>
                <w:color w:val="000000"/>
                <w:sz w:val="16"/>
                <w:szCs w:val="16"/>
                <w:lang w:eastAsia="en-GB"/>
              </w:rPr>
              <w:t xml:space="preserve">MSFD: </w:t>
            </w:r>
            <w:r w:rsidRPr="004B486F">
              <w:rPr>
                <w:rFonts w:ascii="Calibri" w:eastAsia="Times New Roman" w:hAnsi="Calibri" w:cs="Calibri"/>
                <w:color w:val="000000"/>
                <w:sz w:val="16"/>
                <w:szCs w:val="16"/>
                <w:lang w:eastAsia="en-GB"/>
              </w:rPr>
              <w:t>target for all soft substratum habitats (where extent of the habitat is less than 50% of the assessed region). Inside MPAs: extent is stable or increasing (&gt;95% conservation objective 'maintain'. Outside MPAs: area of habitat lost + area of habitat below GES (in condition recover or impacted by unacceptable impact (</w:t>
            </w:r>
            <w:proofErr w:type="spellStart"/>
            <w:r w:rsidRPr="004B486F">
              <w:rPr>
                <w:rFonts w:ascii="Calibri" w:eastAsia="Times New Roman" w:hAnsi="Calibri" w:cs="Calibri"/>
                <w:color w:val="000000"/>
                <w:sz w:val="16"/>
                <w:szCs w:val="16"/>
                <w:lang w:eastAsia="en-GB"/>
              </w:rPr>
              <w:t>UoP</w:t>
            </w:r>
            <w:proofErr w:type="spellEnd"/>
            <w:r w:rsidRPr="004B486F">
              <w:rPr>
                <w:rFonts w:ascii="Calibri" w:eastAsia="Times New Roman" w:hAnsi="Calibri" w:cs="Calibri"/>
                <w:color w:val="000000"/>
                <w:sz w:val="16"/>
                <w:szCs w:val="16"/>
                <w:lang w:eastAsia="en-GB"/>
              </w:rPr>
              <w:t xml:space="preserve"> interpretation LRC 3 or below) ≤ 10% for entire assessed area.</w:t>
            </w:r>
          </w:p>
          <w:p w14:paraId="6A12F7D6" w14:textId="77777777" w:rsidR="008F5A10" w:rsidRDefault="008F5A10" w:rsidP="00500C88">
            <w:pPr>
              <w:spacing w:after="0" w:line="240" w:lineRule="auto"/>
              <w:rPr>
                <w:rFonts w:ascii="Calibri" w:eastAsia="Times New Roman" w:hAnsi="Calibri" w:cs="Calibri"/>
                <w:color w:val="000000"/>
                <w:sz w:val="16"/>
                <w:szCs w:val="16"/>
                <w:lang w:eastAsia="en-GB"/>
              </w:rPr>
            </w:pPr>
          </w:p>
          <w:p w14:paraId="74BAC333" w14:textId="77777777" w:rsidR="008F5A10" w:rsidRDefault="008F5A10" w:rsidP="00500C88">
            <w:pPr>
              <w:spacing w:after="0" w:line="240" w:lineRule="auto"/>
              <w:rPr>
                <w:bCs/>
                <w:sz w:val="16"/>
                <w:szCs w:val="16"/>
              </w:rPr>
            </w:pPr>
            <w:r w:rsidRPr="00370661">
              <w:rPr>
                <w:rFonts w:ascii="Calibri" w:eastAsia="Times New Roman" w:hAnsi="Calibri" w:cs="Calibri"/>
                <w:b/>
                <w:bCs/>
                <w:color w:val="000000"/>
                <w:sz w:val="16"/>
                <w:szCs w:val="16"/>
                <w:lang w:eastAsia="en-GB"/>
              </w:rPr>
              <w:t xml:space="preserve">UK Marine </w:t>
            </w:r>
            <w:r w:rsidRPr="00370661">
              <w:rPr>
                <w:rFonts w:ascii="Calibri" w:eastAsia="Times New Roman" w:hAnsi="Calibri" w:cs="Calibri"/>
                <w:color w:val="000000"/>
                <w:sz w:val="16"/>
                <w:szCs w:val="16"/>
                <w:lang w:eastAsia="en-GB"/>
              </w:rPr>
              <w:t>Strategy</w:t>
            </w:r>
            <w:r w:rsidRPr="00370661">
              <w:rPr>
                <w:rFonts w:ascii="Calibri" w:eastAsia="Times New Roman" w:hAnsi="Calibri" w:cs="Calibri"/>
                <w:b/>
                <w:bCs/>
                <w:color w:val="000000"/>
                <w:sz w:val="16"/>
                <w:szCs w:val="16"/>
                <w:lang w:eastAsia="en-GB"/>
              </w:rPr>
              <w:t xml:space="preserve">: </w:t>
            </w:r>
            <w:r w:rsidRPr="00370661">
              <w:rPr>
                <w:bCs/>
                <w:sz w:val="16"/>
                <w:szCs w:val="16"/>
              </w:rPr>
              <w:t xml:space="preserve">Habitat extent shows no loss of extent from previous </w:t>
            </w:r>
            <w:r w:rsidRPr="00370661">
              <w:rPr>
                <w:rFonts w:ascii="Calibri" w:eastAsia="Times New Roman" w:hAnsi="Calibri" w:cs="Calibri"/>
                <w:color w:val="000000"/>
                <w:sz w:val="16"/>
                <w:szCs w:val="16"/>
                <w:lang w:eastAsia="en-GB"/>
              </w:rPr>
              <w:t>assessment</w:t>
            </w:r>
            <w:r w:rsidRPr="00370661">
              <w:rPr>
                <w:bCs/>
                <w:sz w:val="16"/>
                <w:szCs w:val="16"/>
              </w:rPr>
              <w:t xml:space="preserve">. </w:t>
            </w:r>
          </w:p>
          <w:p w14:paraId="3BDF8266" w14:textId="77777777" w:rsidR="008F5A10" w:rsidRPr="00370661" w:rsidRDefault="008F5A10" w:rsidP="00500C88">
            <w:pPr>
              <w:spacing w:after="0" w:line="240" w:lineRule="auto"/>
              <w:rPr>
                <w:bCs/>
                <w:sz w:val="16"/>
                <w:szCs w:val="16"/>
              </w:rPr>
            </w:pPr>
          </w:p>
          <w:p w14:paraId="089A5B19" w14:textId="77777777" w:rsidR="008F5A10" w:rsidRPr="00370661" w:rsidRDefault="008F5A10" w:rsidP="00500C88">
            <w:pPr>
              <w:rPr>
                <w:bCs/>
                <w:sz w:val="16"/>
                <w:szCs w:val="16"/>
              </w:rPr>
            </w:pPr>
            <w:proofErr w:type="spellStart"/>
            <w:r w:rsidRPr="00370661">
              <w:rPr>
                <w:bCs/>
                <w:i/>
                <w:sz w:val="16"/>
                <w:szCs w:val="16"/>
              </w:rPr>
              <w:t>UoP</w:t>
            </w:r>
            <w:proofErr w:type="spellEnd"/>
            <w:r w:rsidRPr="00370661">
              <w:rPr>
                <w:bCs/>
                <w:i/>
                <w:sz w:val="16"/>
                <w:szCs w:val="16"/>
              </w:rPr>
              <w:t xml:space="preserve"> interpretation Qualitative threshold:</w:t>
            </w:r>
            <w:r w:rsidRPr="00370661">
              <w:rPr>
                <w:bCs/>
                <w:sz w:val="16"/>
                <w:szCs w:val="16"/>
              </w:rPr>
              <w:t xml:space="preserve"> Area in LRC of moderate or below is less than 5% of total habitat extent.</w:t>
            </w:r>
          </w:p>
          <w:p w14:paraId="24A591F8" w14:textId="77777777" w:rsidR="008F5A10" w:rsidRPr="00370661" w:rsidRDefault="008F5A10" w:rsidP="00500C88">
            <w:pPr>
              <w:rPr>
                <w:bCs/>
                <w:sz w:val="16"/>
                <w:szCs w:val="16"/>
              </w:rPr>
            </w:pPr>
            <w:r w:rsidRPr="00370661">
              <w:rPr>
                <w:bCs/>
                <w:i/>
                <w:sz w:val="16"/>
                <w:szCs w:val="16"/>
              </w:rPr>
              <w:t xml:space="preserve">Quantitative threshold: </w:t>
            </w:r>
            <w:r w:rsidRPr="00370661">
              <w:rPr>
                <w:bCs/>
                <w:sz w:val="16"/>
                <w:szCs w:val="16"/>
              </w:rPr>
              <w:t>Area assessed in condition assessments to be in unfavourable condition is less than 5% of total habitat extent.</w:t>
            </w:r>
          </w:p>
          <w:p w14:paraId="7EDDA04C" w14:textId="77777777" w:rsidR="008F5A10" w:rsidRPr="00370661" w:rsidRDefault="008F5A10" w:rsidP="00500C88">
            <w:pPr>
              <w:rPr>
                <w:bCs/>
                <w:sz w:val="16"/>
                <w:szCs w:val="16"/>
              </w:rPr>
            </w:pPr>
            <w:proofErr w:type="spellStart"/>
            <w:r w:rsidRPr="00370661">
              <w:rPr>
                <w:bCs/>
                <w:i/>
                <w:sz w:val="16"/>
                <w:szCs w:val="16"/>
              </w:rPr>
              <w:t>UoP</w:t>
            </w:r>
            <w:proofErr w:type="spellEnd"/>
            <w:r w:rsidRPr="00370661">
              <w:rPr>
                <w:bCs/>
                <w:i/>
                <w:sz w:val="16"/>
                <w:szCs w:val="16"/>
              </w:rPr>
              <w:t xml:space="preserve"> interpretation </w:t>
            </w:r>
            <w:r w:rsidRPr="00370661">
              <w:rPr>
                <w:bCs/>
                <w:sz w:val="16"/>
                <w:szCs w:val="16"/>
              </w:rPr>
              <w:t>Area in LRC of moderate or below is less than 5% of total habitat extent.</w:t>
            </w:r>
          </w:p>
          <w:p w14:paraId="175B6F36" w14:textId="77777777" w:rsidR="008F5A10" w:rsidRPr="004B486F" w:rsidRDefault="008F5A10" w:rsidP="00500C88">
            <w:pPr>
              <w:spacing w:after="0" w:line="240" w:lineRule="auto"/>
              <w:rPr>
                <w:rFonts w:ascii="Calibri" w:eastAsia="Times New Roman" w:hAnsi="Calibri" w:cs="Calibri"/>
                <w:b/>
                <w:bCs/>
                <w:color w:val="000000"/>
                <w:sz w:val="16"/>
                <w:szCs w:val="16"/>
                <w:lang w:eastAsia="en-GB"/>
              </w:rPr>
            </w:pPr>
          </w:p>
        </w:tc>
        <w:tc>
          <w:tcPr>
            <w:tcW w:w="1360" w:type="dxa"/>
            <w:tcBorders>
              <w:top w:val="single" w:sz="4" w:space="0" w:color="auto"/>
              <w:left w:val="nil"/>
              <w:bottom w:val="single" w:sz="4" w:space="0" w:color="auto"/>
              <w:right w:val="single" w:sz="4" w:space="0" w:color="auto"/>
            </w:tcBorders>
            <w:hideMark/>
          </w:tcPr>
          <w:p w14:paraId="29C617CD" w14:textId="1864284E" w:rsidR="008F5A10" w:rsidRDefault="00F20E3C"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Declining</w:t>
            </w:r>
            <w:r w:rsidR="00215D9A">
              <w:rPr>
                <w:rFonts w:ascii="Calibri" w:eastAsia="Times New Roman" w:hAnsi="Calibri" w:cs="Calibri"/>
                <w:color w:val="000000"/>
                <w:sz w:val="16"/>
                <w:szCs w:val="16"/>
                <w:lang w:eastAsia="en-GB"/>
              </w:rPr>
              <w:t xml:space="preserve"> (majority of feature)</w:t>
            </w:r>
            <w:r w:rsidR="008F5A10">
              <w:rPr>
                <w:rFonts w:ascii="Calibri" w:eastAsia="Times New Roman" w:hAnsi="Calibri" w:cs="Calibri"/>
                <w:color w:val="000000"/>
                <w:sz w:val="16"/>
                <w:szCs w:val="16"/>
                <w:lang w:eastAsia="en-GB"/>
              </w:rPr>
              <w:t xml:space="preserve"> </w:t>
            </w:r>
          </w:p>
        </w:tc>
        <w:tc>
          <w:tcPr>
            <w:tcW w:w="87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2F8BDB41" w14:textId="2680BF2B" w:rsidR="008F5A10" w:rsidRDefault="00227838" w:rsidP="00500C88">
            <w:pPr>
              <w:spacing w:after="0" w:line="240" w:lineRule="auto"/>
              <w:jc w:val="center"/>
              <w:rPr>
                <w:rFonts w:ascii="Calibri" w:eastAsia="Times New Roman" w:hAnsi="Calibri" w:cs="Calibri"/>
                <w:b/>
                <w:bCs/>
                <w:color w:val="000000"/>
                <w:sz w:val="16"/>
                <w:szCs w:val="16"/>
                <w:lang w:eastAsia="en-GB"/>
              </w:rPr>
            </w:pPr>
            <w:r w:rsidRPr="0034220B">
              <w:rPr>
                <w:rFonts w:ascii="Calibri" w:eastAsia="Times New Roman" w:hAnsi="Calibri" w:cs="Calibri"/>
                <w:b/>
                <w:bCs/>
                <w:color w:val="FFFFFF" w:themeColor="background1"/>
                <w:sz w:val="16"/>
                <w:szCs w:val="16"/>
                <w:lang w:eastAsia="en-GB"/>
              </w:rPr>
              <w:t>C</w:t>
            </w:r>
            <w:r w:rsidR="008F5A10" w:rsidRPr="0034220B">
              <w:rPr>
                <w:rFonts w:ascii="Calibri" w:eastAsia="Times New Roman" w:hAnsi="Calibri" w:cs="Calibri"/>
                <w:b/>
                <w:bCs/>
                <w:color w:val="FFFFFF" w:themeColor="background1"/>
                <w:sz w:val="16"/>
                <w:szCs w:val="16"/>
                <w:lang w:eastAsia="en-GB"/>
              </w:rPr>
              <w:t xml:space="preserve">            (</w:t>
            </w:r>
            <w:r w:rsidR="00CB0683">
              <w:rPr>
                <w:rFonts w:ascii="Calibri" w:eastAsia="Times New Roman" w:hAnsi="Calibri" w:cs="Calibri"/>
                <w:b/>
                <w:bCs/>
                <w:color w:val="FFFFFF" w:themeColor="background1"/>
                <w:sz w:val="16"/>
                <w:szCs w:val="16"/>
                <w:lang w:eastAsia="en-GB"/>
              </w:rPr>
              <w:t>4</w:t>
            </w:r>
            <w:r w:rsidR="008F5A10" w:rsidRPr="0034220B">
              <w:rPr>
                <w:rFonts w:ascii="Calibri" w:eastAsia="Times New Roman" w:hAnsi="Calibri" w:cs="Calibri"/>
                <w:b/>
                <w:bCs/>
                <w:color w:val="FFFFFF" w:themeColor="background1"/>
                <w:sz w:val="16"/>
                <w:szCs w:val="16"/>
                <w:lang w:eastAsia="en-GB"/>
              </w:rPr>
              <w:t>)</w:t>
            </w:r>
          </w:p>
        </w:tc>
      </w:tr>
      <w:tr w:rsidR="008F5A10" w14:paraId="36DD362A" w14:textId="77777777" w:rsidTr="00500C88">
        <w:trPr>
          <w:trHeight w:val="300"/>
        </w:trPr>
        <w:tc>
          <w:tcPr>
            <w:tcW w:w="0" w:type="auto"/>
            <w:vMerge/>
            <w:tcBorders>
              <w:top w:val="nil"/>
              <w:left w:val="single" w:sz="8" w:space="0" w:color="auto"/>
              <w:bottom w:val="single" w:sz="8" w:space="0" w:color="000000"/>
              <w:right w:val="nil"/>
            </w:tcBorders>
            <w:vAlign w:val="center"/>
            <w:hideMark/>
          </w:tcPr>
          <w:p w14:paraId="474C4109" w14:textId="77777777" w:rsidR="008F5A10" w:rsidRDefault="008F5A10"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7DD4C" w14:textId="77777777" w:rsidR="008F5A10" w:rsidRDefault="008F5A10"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A17D15" w14:textId="77777777" w:rsidR="008F5A10" w:rsidRDefault="008F5A10" w:rsidP="00500C88">
            <w:pPr>
              <w:spacing w:after="0"/>
              <w:rPr>
                <w:rFonts w:ascii="Calibri" w:eastAsia="Times New Roman" w:hAnsi="Calibri" w:cs="Calibri"/>
                <w:b/>
                <w:bCs/>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486B9E" w14:textId="77777777" w:rsidR="008F5A10" w:rsidRDefault="008F5A10" w:rsidP="00500C88">
            <w:pPr>
              <w:spacing w:after="0"/>
              <w:rPr>
                <w:rFonts w:ascii="Calibri" w:eastAsia="Times New Roman" w:hAnsi="Calibri" w:cs="Calibri"/>
                <w:color w:val="000000"/>
                <w:sz w:val="16"/>
                <w:szCs w:val="16"/>
                <w:lang w:eastAsia="en-GB"/>
              </w:rPr>
            </w:pPr>
          </w:p>
        </w:tc>
        <w:tc>
          <w:tcPr>
            <w:tcW w:w="6300" w:type="dxa"/>
            <w:gridSpan w:val="2"/>
            <w:tcBorders>
              <w:top w:val="single" w:sz="4" w:space="0" w:color="auto"/>
              <w:left w:val="nil"/>
              <w:bottom w:val="single" w:sz="4" w:space="0" w:color="auto"/>
              <w:right w:val="single" w:sz="4" w:space="0" w:color="auto"/>
            </w:tcBorders>
            <w:vAlign w:val="center"/>
            <w:hideMark/>
          </w:tcPr>
          <w:p w14:paraId="2D554FD6" w14:textId="2F7B8BE4" w:rsidR="008F5A10" w:rsidRDefault="0034220B"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w:t>
            </w:r>
            <w:r w:rsidR="00CB0683">
              <w:rPr>
                <w:rFonts w:ascii="Calibri" w:eastAsia="Times New Roman" w:hAnsi="Calibri" w:cs="Calibri"/>
                <w:color w:val="000000"/>
                <w:sz w:val="16"/>
                <w:szCs w:val="16"/>
                <w:lang w:eastAsia="en-GB"/>
              </w:rPr>
              <w:t xml:space="preserve"> – last condition assessment 2018</w:t>
            </w:r>
          </w:p>
        </w:tc>
        <w:tc>
          <w:tcPr>
            <w:tcW w:w="1360" w:type="dxa"/>
            <w:tcBorders>
              <w:top w:val="nil"/>
              <w:left w:val="nil"/>
              <w:bottom w:val="single" w:sz="4" w:space="0" w:color="auto"/>
              <w:right w:val="single" w:sz="4" w:space="0" w:color="auto"/>
            </w:tcBorders>
            <w:vAlign w:val="center"/>
            <w:hideMark/>
          </w:tcPr>
          <w:p w14:paraId="3CE48A80" w14:textId="09373E3F" w:rsidR="008F5A10" w:rsidRDefault="0034220B"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26A22E76" w14:textId="77777777" w:rsidR="008F5A10" w:rsidRDefault="008F5A10" w:rsidP="00500C88">
            <w:pPr>
              <w:rPr>
                <w:rFonts w:ascii="Calibri" w:eastAsia="Times New Roman" w:hAnsi="Calibri" w:cs="Calibri"/>
                <w:color w:val="000000"/>
                <w:sz w:val="16"/>
                <w:szCs w:val="16"/>
                <w:lang w:eastAsia="en-GB"/>
              </w:rPr>
            </w:pPr>
          </w:p>
        </w:tc>
      </w:tr>
      <w:tr w:rsidR="008F5A10" w14:paraId="0B3A55FD" w14:textId="77777777" w:rsidTr="00EC1967">
        <w:trPr>
          <w:trHeight w:val="315"/>
        </w:trPr>
        <w:tc>
          <w:tcPr>
            <w:tcW w:w="0" w:type="auto"/>
            <w:vMerge/>
            <w:tcBorders>
              <w:top w:val="nil"/>
              <w:left w:val="single" w:sz="8" w:space="0" w:color="auto"/>
              <w:bottom w:val="single" w:sz="8" w:space="0" w:color="000000"/>
              <w:right w:val="nil"/>
            </w:tcBorders>
            <w:vAlign w:val="center"/>
            <w:hideMark/>
          </w:tcPr>
          <w:p w14:paraId="5F73C62B" w14:textId="77777777" w:rsidR="008F5A10" w:rsidRDefault="008F5A10"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64273" w14:textId="77777777" w:rsidR="008F5A10" w:rsidRDefault="008F5A10"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B02604" w14:textId="77777777" w:rsidR="008F5A10" w:rsidRDefault="008F5A10" w:rsidP="00500C88">
            <w:pPr>
              <w:spacing w:after="0"/>
              <w:rPr>
                <w:rFonts w:ascii="Calibri" w:eastAsia="Times New Roman" w:hAnsi="Calibri" w:cs="Calibri"/>
                <w:b/>
                <w:bCs/>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AF6B8E" w14:textId="77777777" w:rsidR="008F5A10" w:rsidRDefault="008F5A10" w:rsidP="00500C88">
            <w:pPr>
              <w:spacing w:after="0"/>
              <w:rPr>
                <w:rFonts w:ascii="Calibri" w:eastAsia="Times New Roman" w:hAnsi="Calibri" w:cs="Calibri"/>
                <w:color w:val="000000"/>
                <w:sz w:val="16"/>
                <w:szCs w:val="16"/>
                <w:lang w:eastAsia="en-GB"/>
              </w:rPr>
            </w:pPr>
          </w:p>
        </w:tc>
        <w:tc>
          <w:tcPr>
            <w:tcW w:w="6300" w:type="dxa"/>
            <w:gridSpan w:val="2"/>
            <w:tcBorders>
              <w:top w:val="single" w:sz="4" w:space="0" w:color="auto"/>
              <w:left w:val="nil"/>
              <w:bottom w:val="single" w:sz="4" w:space="0" w:color="auto"/>
              <w:right w:val="single" w:sz="4" w:space="0" w:color="auto"/>
            </w:tcBorders>
            <w:hideMark/>
          </w:tcPr>
          <w:p w14:paraId="78BDE30D" w14:textId="747ED235" w:rsidR="008F5A10" w:rsidRDefault="008F5A10"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w:t>
            </w:r>
            <w:r w:rsidR="0034220B">
              <w:rPr>
                <w:rFonts w:ascii="Calibri" w:eastAsia="Times New Roman" w:hAnsi="Calibri" w:cs="Calibri"/>
                <w:color w:val="000000"/>
                <w:sz w:val="16"/>
                <w:szCs w:val="16"/>
                <w:lang w:eastAsia="en-GB"/>
              </w:rPr>
              <w:t>2</w:t>
            </w:r>
            <w:r>
              <w:rPr>
                <w:rFonts w:ascii="Calibri" w:eastAsia="Times New Roman" w:hAnsi="Calibri" w:cs="Calibri"/>
                <w:color w:val="000000"/>
                <w:sz w:val="16"/>
                <w:szCs w:val="16"/>
                <w:lang w:eastAsia="en-GB"/>
              </w:rPr>
              <w:t>)</w:t>
            </w:r>
          </w:p>
        </w:tc>
        <w:tc>
          <w:tcPr>
            <w:tcW w:w="1360" w:type="dxa"/>
            <w:tcBorders>
              <w:top w:val="nil"/>
              <w:left w:val="nil"/>
              <w:bottom w:val="single" w:sz="4" w:space="0" w:color="auto"/>
              <w:right w:val="single" w:sz="4" w:space="0" w:color="auto"/>
            </w:tcBorders>
            <w:vAlign w:val="center"/>
            <w:hideMark/>
          </w:tcPr>
          <w:p w14:paraId="27BC59F8" w14:textId="51F20249" w:rsidR="008F5A10" w:rsidRDefault="008F5A10"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w:t>
            </w:r>
            <w:r w:rsidR="0034220B">
              <w:rPr>
                <w:rFonts w:ascii="Calibri" w:eastAsia="Times New Roman" w:hAnsi="Calibri" w:cs="Calibri"/>
                <w:color w:val="000000"/>
                <w:sz w:val="16"/>
                <w:szCs w:val="16"/>
                <w:lang w:eastAsia="en-GB"/>
              </w:rPr>
              <w:t>2</w:t>
            </w:r>
            <w:r>
              <w:rPr>
                <w:rFonts w:ascii="Calibri" w:eastAsia="Times New Roman" w:hAnsi="Calibri" w:cs="Calibri"/>
                <w:color w:val="000000"/>
                <w:sz w:val="16"/>
                <w:szCs w:val="16"/>
                <w:lang w:eastAsia="en-GB"/>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43676" w14:textId="77777777" w:rsidR="008F5A10" w:rsidRDefault="008F5A10" w:rsidP="00500C88">
            <w:pPr>
              <w:spacing w:after="0"/>
              <w:rPr>
                <w:rFonts w:ascii="Calibri" w:eastAsia="Times New Roman" w:hAnsi="Calibri" w:cs="Calibri"/>
                <w:color w:val="000000"/>
                <w:sz w:val="16"/>
                <w:szCs w:val="16"/>
                <w:lang w:eastAsia="en-GB"/>
              </w:rPr>
            </w:pPr>
          </w:p>
        </w:tc>
      </w:tr>
      <w:tr w:rsidR="00E463F8" w14:paraId="03EE2798" w14:textId="77777777" w:rsidTr="00EC1967">
        <w:trPr>
          <w:trHeight w:val="406"/>
        </w:trPr>
        <w:tc>
          <w:tcPr>
            <w:tcW w:w="0" w:type="auto"/>
            <w:vMerge/>
            <w:tcBorders>
              <w:top w:val="nil"/>
              <w:left w:val="single" w:sz="8" w:space="0" w:color="auto"/>
              <w:bottom w:val="single" w:sz="8" w:space="0" w:color="000000"/>
              <w:right w:val="nil"/>
            </w:tcBorders>
            <w:vAlign w:val="center"/>
            <w:hideMark/>
          </w:tcPr>
          <w:p w14:paraId="58018DF8" w14:textId="77777777" w:rsidR="008F5A10" w:rsidRDefault="008F5A10" w:rsidP="00500C88">
            <w:pPr>
              <w:spacing w:after="0"/>
              <w:rPr>
                <w:rFonts w:ascii="Calibri" w:eastAsia="Times New Roman" w:hAnsi="Calibri" w:cs="Calibri"/>
                <w:color w:val="000000"/>
                <w:sz w:val="16"/>
                <w:szCs w:val="16"/>
                <w:lang w:eastAsia="en-GB"/>
              </w:rPr>
            </w:pPr>
          </w:p>
        </w:tc>
        <w:tc>
          <w:tcPr>
            <w:tcW w:w="973" w:type="dxa"/>
            <w:vMerge w:val="restart"/>
            <w:tcBorders>
              <w:top w:val="single" w:sz="4" w:space="0" w:color="auto"/>
              <w:left w:val="single" w:sz="4" w:space="0" w:color="auto"/>
              <w:bottom w:val="single" w:sz="4" w:space="0" w:color="auto"/>
              <w:right w:val="single" w:sz="4" w:space="0" w:color="auto"/>
            </w:tcBorders>
            <w:hideMark/>
          </w:tcPr>
          <w:p w14:paraId="4EB052BD" w14:textId="3B6E9DD4" w:rsidR="008F5A10" w:rsidRDefault="00E463F8"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Subtidal </w:t>
            </w:r>
            <w:r w:rsidR="008F5A10">
              <w:rPr>
                <w:rFonts w:ascii="Calibri" w:eastAsia="Times New Roman" w:hAnsi="Calibri" w:cs="Calibri"/>
                <w:color w:val="000000"/>
                <w:sz w:val="16"/>
                <w:szCs w:val="16"/>
                <w:lang w:eastAsia="en-GB"/>
              </w:rPr>
              <w:t>Seagrass</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5D62E8DC" w14:textId="77777777" w:rsidR="008F5A10" w:rsidRDefault="008F5A10"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 Food (Wild Food - fish and shellfish).    </w:t>
            </w:r>
          </w:p>
          <w:p w14:paraId="368C35B6" w14:textId="77777777" w:rsidR="008F5A10" w:rsidRDefault="008F5A10"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 Healthy climate (carbon sequestration).         • Sea defence. </w:t>
            </w:r>
            <w:r>
              <w:rPr>
                <w:rFonts w:ascii="Calibri" w:eastAsia="Times New Roman" w:hAnsi="Calibri" w:cs="Calibri"/>
                <w:b/>
                <w:bCs/>
                <w:color w:val="000000"/>
                <w:sz w:val="16"/>
                <w:szCs w:val="16"/>
                <w:lang w:eastAsia="en-GB"/>
              </w:rPr>
              <w:lastRenderedPageBreak/>
              <w:t>(</w:t>
            </w:r>
            <w:proofErr w:type="gramStart"/>
            <w:r>
              <w:rPr>
                <w:rFonts w:ascii="Calibri" w:eastAsia="Times New Roman" w:hAnsi="Calibri" w:cs="Calibri"/>
                <w:b/>
                <w:bCs/>
                <w:color w:val="000000"/>
                <w:sz w:val="16"/>
                <w:szCs w:val="16"/>
                <w:lang w:eastAsia="en-GB"/>
              </w:rPr>
              <w:t>natural</w:t>
            </w:r>
            <w:proofErr w:type="gramEnd"/>
            <w:r>
              <w:rPr>
                <w:rFonts w:ascii="Calibri" w:eastAsia="Times New Roman" w:hAnsi="Calibri" w:cs="Calibri"/>
                <w:b/>
                <w:bCs/>
                <w:color w:val="000000"/>
                <w:sz w:val="16"/>
                <w:szCs w:val="16"/>
                <w:lang w:eastAsia="en-GB"/>
              </w:rPr>
              <w:t xml:space="preserve"> hazard regulation).               • Tourism/nature watching.                  • Clean water and sediments.</w:t>
            </w:r>
          </w:p>
        </w:tc>
        <w:tc>
          <w:tcPr>
            <w:tcW w:w="1545" w:type="dxa"/>
            <w:tcBorders>
              <w:top w:val="nil"/>
              <w:left w:val="nil"/>
              <w:bottom w:val="single" w:sz="4" w:space="0" w:color="auto"/>
              <w:right w:val="single" w:sz="4" w:space="0" w:color="auto"/>
            </w:tcBorders>
            <w:noWrap/>
            <w:hideMark/>
          </w:tcPr>
          <w:p w14:paraId="3BF54F46" w14:textId="77777777" w:rsidR="008F5A10" w:rsidRDefault="008F5A10"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lastRenderedPageBreak/>
              <w:t>Quality/Condition</w:t>
            </w:r>
          </w:p>
        </w:tc>
        <w:tc>
          <w:tcPr>
            <w:tcW w:w="3587" w:type="dxa"/>
            <w:tcBorders>
              <w:top w:val="nil"/>
              <w:left w:val="nil"/>
              <w:bottom w:val="single" w:sz="4" w:space="0" w:color="auto"/>
              <w:right w:val="single" w:sz="4" w:space="0" w:color="auto"/>
            </w:tcBorders>
            <w:hideMark/>
          </w:tcPr>
          <w:p w14:paraId="4CEF0732" w14:textId="11581404" w:rsidR="008F5A10" w:rsidRDefault="008F5A10" w:rsidP="00500C88">
            <w:pPr>
              <w:spacing w:after="0" w:line="240" w:lineRule="auto"/>
              <w:rPr>
                <w:rFonts w:ascii="Calibri" w:eastAsia="Times New Roman" w:hAnsi="Calibri" w:cs="Calibri"/>
                <w:color w:val="000000"/>
                <w:sz w:val="16"/>
                <w:szCs w:val="16"/>
                <w:lang w:eastAsia="en-GB"/>
              </w:rPr>
            </w:pPr>
            <w:r w:rsidRPr="00AB4B8D">
              <w:rPr>
                <w:rFonts w:ascii="Calibri" w:eastAsia="Times New Roman" w:hAnsi="Calibri" w:cs="Calibri"/>
                <w:b/>
                <w:bCs/>
                <w:color w:val="000000"/>
                <w:sz w:val="16"/>
                <w:szCs w:val="16"/>
                <w:lang w:eastAsia="en-GB"/>
              </w:rPr>
              <w:t>NE Package</w:t>
            </w:r>
            <w:r>
              <w:rPr>
                <w:rFonts w:ascii="Calibri" w:eastAsia="Times New Roman" w:hAnsi="Calibri" w:cs="Calibri"/>
                <w:color w:val="000000"/>
                <w:sz w:val="16"/>
                <w:szCs w:val="16"/>
                <w:lang w:eastAsia="en-GB"/>
              </w:rPr>
              <w:t xml:space="preserve">: Within the Plymouth Sound and Estuaries SAC, </w:t>
            </w:r>
            <w:r w:rsidR="00826B6C">
              <w:rPr>
                <w:rFonts w:ascii="Calibri" w:eastAsia="Times New Roman" w:hAnsi="Calibri" w:cs="Calibri"/>
                <w:color w:val="000000"/>
                <w:sz w:val="16"/>
                <w:szCs w:val="16"/>
                <w:lang w:eastAsia="en-GB"/>
              </w:rPr>
              <w:t xml:space="preserve">Subtidal </w:t>
            </w:r>
            <w:r>
              <w:rPr>
                <w:rFonts w:ascii="Calibri" w:eastAsia="Times New Roman" w:hAnsi="Calibri" w:cs="Calibri"/>
                <w:color w:val="000000"/>
                <w:sz w:val="16"/>
                <w:szCs w:val="16"/>
                <w:lang w:eastAsia="en-GB"/>
              </w:rPr>
              <w:t xml:space="preserve">Seagrass has a feature condition of “Unfavourable </w:t>
            </w:r>
            <w:r w:rsidR="00826B6C">
              <w:rPr>
                <w:rFonts w:ascii="Calibri" w:eastAsia="Times New Roman" w:hAnsi="Calibri" w:cs="Calibri"/>
                <w:color w:val="000000"/>
                <w:sz w:val="16"/>
                <w:szCs w:val="16"/>
                <w:lang w:eastAsia="en-GB"/>
              </w:rPr>
              <w:t>Declining</w:t>
            </w:r>
            <w:r>
              <w:rPr>
                <w:rFonts w:ascii="Calibri" w:eastAsia="Times New Roman" w:hAnsi="Calibri" w:cs="Calibri"/>
                <w:color w:val="000000"/>
                <w:sz w:val="16"/>
                <w:szCs w:val="16"/>
                <w:lang w:eastAsia="en-GB"/>
              </w:rPr>
              <w:t>”.</w:t>
            </w:r>
            <w:r w:rsidR="009118C3">
              <w:rPr>
                <w:rFonts w:ascii="Calibri" w:eastAsia="Times New Roman" w:hAnsi="Calibri" w:cs="Calibri"/>
                <w:color w:val="000000"/>
                <w:sz w:val="16"/>
                <w:szCs w:val="16"/>
                <w:lang w:eastAsia="en-GB"/>
              </w:rPr>
              <w:t xml:space="preserve"> Area of subtidal seagrass in ‘unfavourable declining” condition = </w:t>
            </w:r>
            <w:r w:rsidR="00811F93">
              <w:rPr>
                <w:rFonts w:ascii="Calibri" w:eastAsia="Times New Roman" w:hAnsi="Calibri" w:cs="Calibri"/>
                <w:color w:val="000000"/>
                <w:sz w:val="16"/>
                <w:szCs w:val="16"/>
                <w:lang w:eastAsia="en-GB"/>
              </w:rPr>
              <w:t xml:space="preserve">47.9% </w:t>
            </w:r>
            <w:r w:rsidR="00811F93">
              <w:rPr>
                <w:rFonts w:ascii="Calibri" w:eastAsia="Times New Roman" w:hAnsi="Calibri" w:cs="Calibri"/>
                <w:color w:val="000000"/>
                <w:sz w:val="16"/>
                <w:szCs w:val="16"/>
                <w:lang w:eastAsia="en-GB"/>
              </w:rPr>
              <w:fldChar w:fldCharType="begin" w:fldLock="1"/>
            </w:r>
            <w:r w:rsidR="00811F93">
              <w:rPr>
                <w:rFonts w:ascii="Calibri" w:eastAsia="Times New Roman" w:hAnsi="Calibri" w:cs="Calibri"/>
                <w:color w:val="000000"/>
                <w:sz w:val="16"/>
                <w:szCs w:val="16"/>
                <w:lang w:eastAsia="en-GB"/>
              </w:rPr>
              <w:instrText>ADDIN CSL_CITATION {"citationItems":[{"id":"ITEM-1","itemData":{"URL":"https://designatedsites.naturalengland.org.uk/Marine/MarineSiteDetail.aspx?SiteCode=UK0013111&amp;SiteName=plymouth&amp;countyCode=&amp;responsiblePerson=&amp;SeaArea=&amp;IFCAArea=&amp;HasCA=1&amp;NumMarineSeasonality=4&amp;SiteNameDisplay=Plymouth Sound and Estuaries SAC","author":[{"dropping-particle":"","family":"Natural England","given":"","non-dropping-particle":"","parse-names":false,"suffix":""}],"id":"ITEM-1","issued":{"date-parts":[["2023"]]},"title":"Natural England Conservation Advice for Marine Protected Areas Plymouth Sound and Estuaries SAC","type":"webpage"},"uris":["http://www.mendeley.com/documents/?uuid=4eec2dc4-8616-4fe0-9714-876dc3c4513b"]}],"mendeley":{"formattedCitation":"(Natural England, 2023)","plainTextFormattedCitation":"(Natural England, 2023)"},"properties":{"noteIndex":0},"schema":"https://github.com/citation-style-language/schema/raw/master/csl-citation.json"}</w:instrText>
            </w:r>
            <w:r w:rsidR="00811F93">
              <w:rPr>
                <w:rFonts w:ascii="Calibri" w:eastAsia="Times New Roman" w:hAnsi="Calibri" w:cs="Calibri"/>
                <w:color w:val="000000"/>
                <w:sz w:val="16"/>
                <w:szCs w:val="16"/>
                <w:lang w:eastAsia="en-GB"/>
              </w:rPr>
              <w:fldChar w:fldCharType="separate"/>
            </w:r>
            <w:r w:rsidR="00811F93" w:rsidRPr="00811F93">
              <w:rPr>
                <w:rFonts w:ascii="Calibri" w:eastAsia="Times New Roman" w:hAnsi="Calibri" w:cs="Calibri"/>
                <w:noProof/>
                <w:color w:val="000000"/>
                <w:sz w:val="16"/>
                <w:szCs w:val="16"/>
                <w:lang w:eastAsia="en-GB"/>
              </w:rPr>
              <w:t>(Natural England, 2023)</w:t>
            </w:r>
            <w:r w:rsidR="00811F93">
              <w:rPr>
                <w:rFonts w:ascii="Calibri" w:eastAsia="Times New Roman" w:hAnsi="Calibri" w:cs="Calibri"/>
                <w:color w:val="000000"/>
                <w:sz w:val="16"/>
                <w:szCs w:val="16"/>
                <w:lang w:eastAsia="en-GB"/>
              </w:rPr>
              <w:fldChar w:fldCharType="end"/>
            </w:r>
            <w:r w:rsidR="00811F93">
              <w:rPr>
                <w:rFonts w:ascii="Calibri" w:eastAsia="Times New Roman" w:hAnsi="Calibri" w:cs="Calibri"/>
                <w:color w:val="000000"/>
                <w:sz w:val="16"/>
                <w:szCs w:val="16"/>
                <w:lang w:eastAsia="en-GB"/>
              </w:rPr>
              <w:t>.</w:t>
            </w:r>
            <w:r w:rsidR="001E4FB1">
              <w:rPr>
                <w:rFonts w:ascii="Calibri" w:eastAsia="Times New Roman" w:hAnsi="Calibri" w:cs="Calibri"/>
                <w:color w:val="000000"/>
                <w:sz w:val="16"/>
                <w:szCs w:val="16"/>
                <w:lang w:eastAsia="en-GB"/>
              </w:rPr>
              <w:t xml:space="preserve"> Condition varied between beds.</w:t>
            </w:r>
            <w:r w:rsidR="00811F93">
              <w:rPr>
                <w:rFonts w:ascii="Calibri" w:eastAsia="Times New Roman" w:hAnsi="Calibri" w:cs="Calibri"/>
                <w:color w:val="000000"/>
                <w:sz w:val="16"/>
                <w:szCs w:val="16"/>
                <w:lang w:eastAsia="en-GB"/>
              </w:rPr>
              <w:t xml:space="preserve"> </w:t>
            </w:r>
          </w:p>
          <w:p w14:paraId="08F3F00B" w14:textId="77777777" w:rsidR="008F5A10" w:rsidRDefault="008F5A10" w:rsidP="00500C88">
            <w:pPr>
              <w:spacing w:after="0" w:line="240" w:lineRule="auto"/>
              <w:rPr>
                <w:rFonts w:ascii="Calibri" w:eastAsia="Times New Roman" w:hAnsi="Calibri" w:cs="Calibri"/>
                <w:color w:val="000000"/>
                <w:sz w:val="16"/>
                <w:szCs w:val="16"/>
                <w:lang w:eastAsia="en-GB"/>
              </w:rPr>
            </w:pPr>
          </w:p>
          <w:p w14:paraId="1F23A897" w14:textId="77777777" w:rsidR="00645FC5" w:rsidRDefault="00645FC5" w:rsidP="00500C88">
            <w:pPr>
              <w:spacing w:after="0" w:line="240" w:lineRule="auto"/>
              <w:rPr>
                <w:rFonts w:ascii="Calibri" w:eastAsia="Times New Roman" w:hAnsi="Calibri" w:cs="Calibri"/>
                <w:color w:val="000000"/>
                <w:sz w:val="16"/>
                <w:szCs w:val="16"/>
                <w:lang w:eastAsia="en-GB"/>
              </w:rPr>
            </w:pPr>
            <w:r w:rsidRPr="00645FC5">
              <w:rPr>
                <w:rFonts w:ascii="Calibri" w:eastAsia="Times New Roman" w:hAnsi="Calibri" w:cs="Calibri"/>
                <w:color w:val="000000"/>
                <w:sz w:val="16"/>
                <w:szCs w:val="16"/>
                <w:lang w:eastAsia="en-GB"/>
              </w:rPr>
              <w:lastRenderedPageBreak/>
              <w:t xml:space="preserve">The identified adverse conditions likely to be impacting the feature were 1) abrasion, 2) nutrient enrichment and 3) Water clarity. </w:t>
            </w:r>
          </w:p>
          <w:p w14:paraId="0DEEF72C" w14:textId="7B048949" w:rsidR="001E4FB1" w:rsidRDefault="001E4FB1" w:rsidP="00500C88">
            <w:pPr>
              <w:spacing w:after="0" w:line="240" w:lineRule="auto"/>
              <w:rPr>
                <w:rFonts w:ascii="Calibri" w:eastAsia="Times New Roman" w:hAnsi="Calibri" w:cs="Calibri"/>
                <w:color w:val="000000"/>
                <w:sz w:val="16"/>
                <w:szCs w:val="16"/>
                <w:lang w:eastAsia="en-GB"/>
              </w:rPr>
            </w:pPr>
          </w:p>
          <w:p w14:paraId="42847EA2" w14:textId="37DB5601" w:rsidR="008F5A10" w:rsidRDefault="008F5A10" w:rsidP="00500C88">
            <w:pPr>
              <w:spacing w:after="0" w:line="240" w:lineRule="auto"/>
              <w:rPr>
                <w:rFonts w:ascii="Calibri" w:eastAsia="Times New Roman" w:hAnsi="Calibri" w:cs="Calibri"/>
                <w:color w:val="000000"/>
                <w:sz w:val="16"/>
                <w:szCs w:val="16"/>
                <w:lang w:eastAsia="en-GB"/>
              </w:rPr>
            </w:pPr>
            <w:r w:rsidRPr="001009AB">
              <w:rPr>
                <w:rFonts w:ascii="Calibri" w:eastAsia="Times New Roman" w:hAnsi="Calibri" w:cs="Calibri"/>
                <w:b/>
                <w:bCs/>
                <w:color w:val="000000"/>
                <w:sz w:val="16"/>
                <w:szCs w:val="16"/>
                <w:lang w:eastAsia="en-GB"/>
              </w:rPr>
              <w:t>LRC:</w:t>
            </w:r>
            <w:r w:rsidRPr="001009AB">
              <w:rPr>
                <w:rFonts w:ascii="Calibri" w:eastAsia="Times New Roman" w:hAnsi="Calibri" w:cs="Calibri"/>
                <w:color w:val="000000"/>
                <w:sz w:val="16"/>
                <w:szCs w:val="16"/>
                <w:lang w:eastAsia="en-GB"/>
              </w:rPr>
              <w:t xml:space="preserve"> </w:t>
            </w:r>
            <w:r w:rsidR="00F76FB3" w:rsidRPr="00F76FB3">
              <w:rPr>
                <w:rFonts w:ascii="Calibri" w:eastAsia="Times New Roman" w:hAnsi="Calibri" w:cs="Calibri"/>
                <w:color w:val="000000"/>
                <w:sz w:val="16"/>
                <w:szCs w:val="16"/>
                <w:lang w:eastAsia="en-GB"/>
              </w:rPr>
              <w:t>LRC - 0.23 km</w:t>
            </w:r>
            <w:r w:rsidR="00F76FB3" w:rsidRPr="00F76FB3">
              <w:rPr>
                <w:rFonts w:ascii="Calibri" w:eastAsia="Times New Roman" w:hAnsi="Calibri" w:cs="Calibri"/>
                <w:color w:val="000000"/>
                <w:sz w:val="16"/>
                <w:szCs w:val="16"/>
                <w:vertAlign w:val="superscript"/>
                <w:lang w:eastAsia="en-GB"/>
              </w:rPr>
              <w:t>2</w:t>
            </w:r>
            <w:r w:rsidR="00F76FB3" w:rsidRPr="00F76FB3">
              <w:rPr>
                <w:rFonts w:ascii="Calibri" w:eastAsia="Times New Roman" w:hAnsi="Calibri" w:cs="Calibri"/>
                <w:color w:val="000000"/>
                <w:sz w:val="16"/>
                <w:szCs w:val="16"/>
                <w:lang w:eastAsia="en-GB"/>
              </w:rPr>
              <w:t xml:space="preserve"> of subtidal seagrass habitat within the PSE SAC site has a LRC score of less than or equal to moderate. This </w:t>
            </w:r>
            <w:r w:rsidR="00F76FB3">
              <w:rPr>
                <w:rFonts w:ascii="Calibri" w:eastAsia="Times New Roman" w:hAnsi="Calibri" w:cs="Calibri"/>
                <w:color w:val="000000"/>
                <w:sz w:val="16"/>
                <w:szCs w:val="16"/>
                <w:lang w:eastAsia="en-GB"/>
              </w:rPr>
              <w:t xml:space="preserve">was primarily </w:t>
            </w:r>
            <w:r w:rsidR="00F76FB3" w:rsidRPr="00F76FB3">
              <w:rPr>
                <w:rFonts w:ascii="Calibri" w:eastAsia="Times New Roman" w:hAnsi="Calibri" w:cs="Calibri"/>
                <w:color w:val="000000"/>
                <w:sz w:val="16"/>
                <w:szCs w:val="16"/>
                <w:lang w:eastAsia="en-GB"/>
              </w:rPr>
              <w:t xml:space="preserve">due to abrasion pressures </w:t>
            </w:r>
            <w:r w:rsidR="00F76FB3">
              <w:rPr>
                <w:rFonts w:ascii="Calibri" w:eastAsia="Times New Roman" w:hAnsi="Calibri" w:cs="Calibri"/>
                <w:color w:val="000000"/>
                <w:sz w:val="16"/>
                <w:szCs w:val="16"/>
                <w:lang w:eastAsia="en-GB"/>
              </w:rPr>
              <w:t>from recreational anchor and mooring.</w:t>
            </w:r>
          </w:p>
          <w:p w14:paraId="6FFAF5E6" w14:textId="77777777" w:rsidR="008F5A10" w:rsidRDefault="008F5A10" w:rsidP="00500C88">
            <w:pPr>
              <w:spacing w:after="0" w:line="240" w:lineRule="auto"/>
              <w:rPr>
                <w:rFonts w:ascii="Calibri" w:eastAsia="Times New Roman" w:hAnsi="Calibri" w:cs="Calibri"/>
                <w:color w:val="000000"/>
                <w:sz w:val="16"/>
                <w:szCs w:val="16"/>
                <w:lang w:eastAsia="en-GB"/>
              </w:rPr>
            </w:pPr>
          </w:p>
          <w:p w14:paraId="09B86BB9" w14:textId="50759A32" w:rsidR="008F5A10" w:rsidRPr="001009AB" w:rsidRDefault="008F5A10" w:rsidP="00500C88">
            <w:pPr>
              <w:spacing w:after="0" w:line="240" w:lineRule="auto"/>
              <w:rPr>
                <w:rFonts w:ascii="Calibri" w:eastAsia="Times New Roman" w:hAnsi="Calibri" w:cs="Calibri"/>
                <w:b/>
                <w:bCs/>
                <w:color w:val="000000"/>
                <w:sz w:val="16"/>
                <w:szCs w:val="16"/>
                <w:lang w:eastAsia="en-GB"/>
              </w:rPr>
            </w:pPr>
            <w:r w:rsidRPr="001009AB">
              <w:rPr>
                <w:rFonts w:ascii="Calibri" w:eastAsia="Times New Roman" w:hAnsi="Calibri" w:cs="Calibri"/>
                <w:b/>
                <w:bCs/>
                <w:color w:val="000000"/>
                <w:sz w:val="16"/>
                <w:szCs w:val="16"/>
                <w:lang w:eastAsia="en-GB"/>
              </w:rPr>
              <w:t xml:space="preserve">Water Quality: </w:t>
            </w:r>
            <w:r w:rsidR="00AD10BC" w:rsidRPr="00AD10BC">
              <w:rPr>
                <w:rFonts w:ascii="Calibri" w:eastAsia="Times New Roman" w:hAnsi="Calibri" w:cs="Calibri"/>
                <w:color w:val="000000"/>
                <w:sz w:val="16"/>
                <w:szCs w:val="16"/>
                <w:lang w:eastAsia="en-GB"/>
              </w:rPr>
              <w:t xml:space="preserve">WQ – in 2019 all 4 water bodies failed to meet WFD standards with a status of ‘moderate’. RNAG for all 4 water bodies included levels of mercury and PBDEs. In </w:t>
            </w:r>
            <w:proofErr w:type="gramStart"/>
            <w:r w:rsidR="00AD10BC" w:rsidRPr="00AD10BC">
              <w:rPr>
                <w:rFonts w:ascii="Calibri" w:eastAsia="Times New Roman" w:hAnsi="Calibri" w:cs="Calibri"/>
                <w:color w:val="000000"/>
                <w:sz w:val="16"/>
                <w:szCs w:val="16"/>
                <w:lang w:eastAsia="en-GB"/>
              </w:rPr>
              <w:t>addition</w:t>
            </w:r>
            <w:proofErr w:type="gramEnd"/>
            <w:r w:rsidR="00AD10BC" w:rsidRPr="00AD10BC">
              <w:rPr>
                <w:rFonts w:ascii="Calibri" w:eastAsia="Times New Roman" w:hAnsi="Calibri" w:cs="Calibri"/>
                <w:color w:val="000000"/>
                <w:sz w:val="16"/>
                <w:szCs w:val="16"/>
                <w:lang w:eastAsia="en-GB"/>
              </w:rPr>
              <w:t xml:space="preserve"> for Plymouth Sound ‘moderate’ DIN status was a RNAG, however risk of eutrophication from nutrient loading remains low. DO remained at ‘high’ status for all water bodies.</w:t>
            </w:r>
          </w:p>
          <w:p w14:paraId="030952BB" w14:textId="77777777" w:rsidR="008F5A10" w:rsidRDefault="008F5A10" w:rsidP="00500C88">
            <w:pPr>
              <w:spacing w:after="0" w:line="240" w:lineRule="auto"/>
              <w:rPr>
                <w:rFonts w:ascii="Calibri" w:eastAsia="Times New Roman" w:hAnsi="Calibri" w:cs="Calibri"/>
                <w:color w:val="000000"/>
                <w:sz w:val="16"/>
                <w:szCs w:val="16"/>
                <w:lang w:eastAsia="en-GB"/>
              </w:rPr>
            </w:pPr>
          </w:p>
          <w:p w14:paraId="17B77E18" w14:textId="77777777" w:rsidR="008F5A10" w:rsidRDefault="008F5A10" w:rsidP="00500C88">
            <w:pPr>
              <w:spacing w:after="0" w:line="240" w:lineRule="auto"/>
              <w:rPr>
                <w:rFonts w:ascii="Calibri" w:eastAsia="Times New Roman" w:hAnsi="Calibri" w:cs="Calibri"/>
                <w:color w:val="000000"/>
                <w:sz w:val="16"/>
                <w:szCs w:val="16"/>
                <w:lang w:eastAsia="en-GB"/>
              </w:rPr>
            </w:pPr>
          </w:p>
          <w:p w14:paraId="756D0DFF" w14:textId="77777777" w:rsidR="008F5A10" w:rsidRDefault="008F5A10" w:rsidP="00500C88">
            <w:pPr>
              <w:spacing w:after="0" w:line="240" w:lineRule="auto"/>
              <w:rPr>
                <w:rFonts w:ascii="Calibri" w:eastAsia="Times New Roman" w:hAnsi="Calibri" w:cs="Calibri"/>
                <w:color w:val="000000"/>
                <w:sz w:val="16"/>
                <w:szCs w:val="16"/>
                <w:lang w:eastAsia="en-GB"/>
              </w:rPr>
            </w:pPr>
          </w:p>
          <w:p w14:paraId="73BEF814" w14:textId="77777777" w:rsidR="008F5A10" w:rsidRDefault="008F5A10" w:rsidP="00500C88">
            <w:pPr>
              <w:spacing w:after="0" w:line="240" w:lineRule="auto"/>
              <w:rPr>
                <w:rFonts w:ascii="Calibri" w:eastAsia="Times New Roman" w:hAnsi="Calibri" w:cs="Calibri"/>
                <w:color w:val="000000"/>
                <w:sz w:val="16"/>
                <w:szCs w:val="16"/>
                <w:lang w:eastAsia="en-GB"/>
              </w:rPr>
            </w:pPr>
          </w:p>
          <w:p w14:paraId="00400EA1" w14:textId="77777777" w:rsidR="008F5A10" w:rsidRDefault="008F5A10" w:rsidP="00500C88">
            <w:pPr>
              <w:spacing w:after="0" w:line="240" w:lineRule="auto"/>
              <w:rPr>
                <w:rFonts w:ascii="Calibri" w:eastAsia="Times New Roman" w:hAnsi="Calibri" w:cs="Calibri"/>
                <w:color w:val="000000"/>
                <w:sz w:val="16"/>
                <w:szCs w:val="16"/>
                <w:lang w:eastAsia="en-GB"/>
              </w:rPr>
            </w:pPr>
          </w:p>
          <w:p w14:paraId="347DF79A" w14:textId="77777777" w:rsidR="008F5A10" w:rsidRDefault="008F5A10" w:rsidP="00500C88">
            <w:pPr>
              <w:spacing w:after="0" w:line="240" w:lineRule="auto"/>
              <w:rPr>
                <w:rFonts w:ascii="Calibri" w:eastAsia="Times New Roman" w:hAnsi="Calibri" w:cs="Calibri"/>
                <w:color w:val="000000"/>
                <w:sz w:val="16"/>
                <w:szCs w:val="16"/>
                <w:lang w:eastAsia="en-GB"/>
              </w:rPr>
            </w:pPr>
          </w:p>
        </w:tc>
        <w:tc>
          <w:tcPr>
            <w:tcW w:w="2713" w:type="dxa"/>
            <w:tcBorders>
              <w:top w:val="nil"/>
              <w:left w:val="nil"/>
              <w:bottom w:val="single" w:sz="4" w:space="0" w:color="auto"/>
              <w:right w:val="single" w:sz="4" w:space="0" w:color="auto"/>
            </w:tcBorders>
            <w:hideMark/>
          </w:tcPr>
          <w:p w14:paraId="5F90A2DD" w14:textId="77777777" w:rsidR="008F5A10" w:rsidRDefault="008F5A10" w:rsidP="00500C88">
            <w:pPr>
              <w:spacing w:after="0" w:line="240" w:lineRule="auto"/>
              <w:rPr>
                <w:rFonts w:ascii="Calibri" w:eastAsia="Times New Roman" w:hAnsi="Calibri" w:cs="Calibri"/>
                <w:color w:val="000000"/>
                <w:sz w:val="16"/>
                <w:szCs w:val="16"/>
                <w:lang w:eastAsia="en-GB"/>
              </w:rPr>
            </w:pPr>
            <w:r w:rsidRPr="0020742A">
              <w:rPr>
                <w:rFonts w:ascii="Calibri" w:eastAsia="Times New Roman" w:hAnsi="Calibri" w:cs="Calibri"/>
                <w:b/>
                <w:bCs/>
                <w:color w:val="000000"/>
                <w:sz w:val="16"/>
                <w:szCs w:val="16"/>
                <w:lang w:eastAsia="en-GB"/>
              </w:rPr>
              <w:lastRenderedPageBreak/>
              <w:t>MSFD</w:t>
            </w:r>
            <w:r>
              <w:rPr>
                <w:rFonts w:ascii="Calibri" w:eastAsia="Times New Roman" w:hAnsi="Calibri" w:cs="Calibri"/>
                <w:color w:val="000000"/>
                <w:sz w:val="16"/>
                <w:szCs w:val="16"/>
                <w:lang w:eastAsia="en-GB"/>
              </w:rPr>
              <w:t xml:space="preserve">: </w:t>
            </w:r>
            <w:r w:rsidRPr="0020742A">
              <w:rPr>
                <w:rFonts w:ascii="Calibri" w:eastAsia="Times New Roman" w:hAnsi="Calibri" w:cs="Calibri"/>
                <w:color w:val="000000"/>
                <w:sz w:val="16"/>
                <w:szCs w:val="16"/>
                <w:lang w:eastAsia="en-GB"/>
              </w:rPr>
              <w:t xml:space="preserve">Pressure based target: extent affected by human disturbance should be minimised, and physical loss is minimised and where possible reversed (Defra, 2019): Inside MPAs: ≥95% of extent to be in favourable condition. </w:t>
            </w:r>
            <w:proofErr w:type="spellStart"/>
            <w:r w:rsidRPr="0020742A">
              <w:rPr>
                <w:rFonts w:ascii="Calibri" w:eastAsia="Times New Roman" w:hAnsi="Calibri" w:cs="Calibri"/>
                <w:color w:val="000000"/>
                <w:sz w:val="16"/>
                <w:szCs w:val="16"/>
                <w:lang w:eastAsia="en-GB"/>
              </w:rPr>
              <w:t>i</w:t>
            </w:r>
            <w:proofErr w:type="spellEnd"/>
            <w:r w:rsidRPr="0020742A">
              <w:rPr>
                <w:rFonts w:ascii="Calibri" w:eastAsia="Times New Roman" w:hAnsi="Calibri" w:cs="Calibri"/>
                <w:color w:val="000000"/>
                <w:sz w:val="16"/>
                <w:szCs w:val="16"/>
                <w:lang w:eastAsia="en-GB"/>
              </w:rPr>
              <w:t xml:space="preserve">) presence and spatial </w:t>
            </w:r>
            <w:r w:rsidRPr="0020742A">
              <w:rPr>
                <w:rFonts w:ascii="Calibri" w:eastAsia="Times New Roman" w:hAnsi="Calibri" w:cs="Calibri"/>
                <w:color w:val="000000"/>
                <w:sz w:val="16"/>
                <w:szCs w:val="16"/>
                <w:lang w:eastAsia="en-GB"/>
              </w:rPr>
              <w:lastRenderedPageBreak/>
              <w:t>distribution of biological communities’ representative of the feature are maintained. ii) presence and abundance of key structural and influential species are maintained (≥95% of extent to have conservation objective ‘maintain’). Outside MPAs: as for ‘extent’.</w:t>
            </w:r>
          </w:p>
          <w:p w14:paraId="4AC4F14B" w14:textId="77777777" w:rsidR="008F5A10" w:rsidRDefault="008F5A10" w:rsidP="00500C88">
            <w:pPr>
              <w:spacing w:after="0" w:line="240" w:lineRule="auto"/>
              <w:rPr>
                <w:rFonts w:ascii="Calibri" w:eastAsia="Times New Roman" w:hAnsi="Calibri" w:cs="Calibri"/>
                <w:color w:val="000000"/>
                <w:sz w:val="16"/>
                <w:szCs w:val="16"/>
                <w:lang w:eastAsia="en-GB"/>
              </w:rPr>
            </w:pPr>
          </w:p>
          <w:p w14:paraId="0069B180" w14:textId="77777777" w:rsidR="008F5A10" w:rsidRPr="00030175" w:rsidRDefault="008F5A10" w:rsidP="00500C88">
            <w:pPr>
              <w:spacing w:after="0" w:line="240" w:lineRule="auto"/>
              <w:rPr>
                <w:rFonts w:ascii="Calibri" w:eastAsia="Times New Roman" w:hAnsi="Calibri" w:cs="Calibri"/>
                <w:color w:val="000000"/>
                <w:sz w:val="16"/>
                <w:szCs w:val="16"/>
                <w:lang w:eastAsia="en-GB"/>
              </w:rPr>
            </w:pPr>
            <w:r w:rsidRPr="00911A8D">
              <w:rPr>
                <w:rFonts w:ascii="Calibri" w:eastAsia="Times New Roman" w:hAnsi="Calibri" w:cs="Calibri"/>
                <w:b/>
                <w:bCs/>
                <w:color w:val="000000"/>
                <w:sz w:val="16"/>
                <w:szCs w:val="16"/>
                <w:lang w:eastAsia="en-GB"/>
              </w:rPr>
              <w:t>UK Marine Strategy</w:t>
            </w:r>
            <w:r>
              <w:rPr>
                <w:rFonts w:ascii="Calibri" w:eastAsia="Times New Roman" w:hAnsi="Calibri" w:cs="Calibri"/>
                <w:color w:val="000000"/>
                <w:sz w:val="16"/>
                <w:szCs w:val="16"/>
                <w:lang w:eastAsia="en-GB"/>
              </w:rPr>
              <w:t xml:space="preserve">: </w:t>
            </w:r>
            <w:r w:rsidRPr="00B8358E">
              <w:rPr>
                <w:rFonts w:ascii="Calibri" w:eastAsia="Times New Roman" w:hAnsi="Calibri" w:cs="Calibri"/>
                <w:color w:val="000000"/>
                <w:sz w:val="16"/>
                <w:szCs w:val="16"/>
                <w:lang w:eastAsia="en-GB"/>
              </w:rPr>
              <w:t>Listed habitats: Area assessed in condition assessments to be in favourable condition with less than 5% unfavourable.</w:t>
            </w:r>
            <w:r>
              <w:t xml:space="preserve"> </w:t>
            </w:r>
            <w:r w:rsidRPr="00030175">
              <w:rPr>
                <w:rFonts w:ascii="Calibri" w:eastAsia="Times New Roman" w:hAnsi="Calibri" w:cs="Calibri"/>
                <w:color w:val="000000"/>
                <w:sz w:val="16"/>
                <w:szCs w:val="16"/>
                <w:lang w:eastAsia="en-GB"/>
              </w:rPr>
              <w:t xml:space="preserve">If proportion of extent assessed as unfavourable in previous assessment, then this proportion to have decreased. </w:t>
            </w:r>
          </w:p>
          <w:p w14:paraId="71CB3A83" w14:textId="77777777" w:rsidR="008F5A10" w:rsidRPr="00030175" w:rsidRDefault="008F5A10" w:rsidP="00500C88">
            <w:pPr>
              <w:spacing w:after="0" w:line="240" w:lineRule="auto"/>
              <w:rPr>
                <w:rFonts w:ascii="Calibri" w:eastAsia="Times New Roman" w:hAnsi="Calibri" w:cs="Calibri"/>
                <w:color w:val="000000"/>
                <w:sz w:val="16"/>
                <w:szCs w:val="16"/>
                <w:lang w:eastAsia="en-GB"/>
              </w:rPr>
            </w:pPr>
          </w:p>
          <w:p w14:paraId="1C90AA94" w14:textId="77777777" w:rsidR="008F5A10" w:rsidRPr="00030175" w:rsidRDefault="008F5A10" w:rsidP="00500C88">
            <w:pPr>
              <w:spacing w:after="0" w:line="240" w:lineRule="auto"/>
              <w:rPr>
                <w:rFonts w:ascii="Calibri" w:eastAsia="Times New Roman" w:hAnsi="Calibri" w:cs="Calibri"/>
                <w:color w:val="000000"/>
                <w:sz w:val="16"/>
                <w:szCs w:val="16"/>
                <w:lang w:eastAsia="en-GB"/>
              </w:rPr>
            </w:pPr>
            <w:proofErr w:type="spellStart"/>
            <w:r w:rsidRPr="00030175">
              <w:rPr>
                <w:rFonts w:ascii="Calibri" w:eastAsia="Times New Roman" w:hAnsi="Calibri" w:cs="Calibri"/>
                <w:color w:val="000000"/>
                <w:sz w:val="16"/>
                <w:szCs w:val="16"/>
                <w:lang w:eastAsia="en-GB"/>
              </w:rPr>
              <w:t>UoP</w:t>
            </w:r>
            <w:proofErr w:type="spellEnd"/>
            <w:r w:rsidRPr="00030175">
              <w:rPr>
                <w:rFonts w:ascii="Calibri" w:eastAsia="Times New Roman" w:hAnsi="Calibri" w:cs="Calibri"/>
                <w:color w:val="000000"/>
                <w:sz w:val="16"/>
                <w:szCs w:val="16"/>
                <w:lang w:eastAsia="en-GB"/>
              </w:rPr>
              <w:t xml:space="preserve"> interpretation</w:t>
            </w:r>
          </w:p>
          <w:p w14:paraId="74ECC2B5" w14:textId="77777777" w:rsidR="008F5A10" w:rsidRPr="00030175" w:rsidRDefault="008F5A10" w:rsidP="00500C88">
            <w:pPr>
              <w:spacing w:after="0" w:line="240" w:lineRule="auto"/>
              <w:rPr>
                <w:rFonts w:ascii="Calibri" w:eastAsia="Times New Roman" w:hAnsi="Calibri" w:cs="Calibri"/>
                <w:color w:val="000000"/>
                <w:sz w:val="16"/>
                <w:szCs w:val="16"/>
                <w:lang w:eastAsia="en-GB"/>
              </w:rPr>
            </w:pPr>
            <w:r w:rsidRPr="00030175">
              <w:rPr>
                <w:rFonts w:ascii="Calibri" w:eastAsia="Times New Roman" w:hAnsi="Calibri" w:cs="Calibri"/>
                <w:color w:val="000000"/>
                <w:sz w:val="16"/>
                <w:szCs w:val="16"/>
                <w:lang w:eastAsia="en-GB"/>
              </w:rPr>
              <w:t>Area in LRC of moderate or below is less than 5% of total habitat extent.</w:t>
            </w:r>
          </w:p>
          <w:p w14:paraId="39F69CE1" w14:textId="77777777" w:rsidR="008F5A10" w:rsidRPr="00030175" w:rsidRDefault="008F5A10" w:rsidP="00500C88">
            <w:pPr>
              <w:spacing w:after="0" w:line="240" w:lineRule="auto"/>
              <w:rPr>
                <w:rFonts w:ascii="Calibri" w:eastAsia="Times New Roman" w:hAnsi="Calibri" w:cs="Calibri"/>
                <w:color w:val="000000"/>
                <w:sz w:val="16"/>
                <w:szCs w:val="16"/>
                <w:lang w:eastAsia="en-GB"/>
              </w:rPr>
            </w:pPr>
          </w:p>
          <w:p w14:paraId="44ED38C8" w14:textId="77777777" w:rsidR="008F5A10" w:rsidRDefault="008F5A10" w:rsidP="00500C88">
            <w:pPr>
              <w:spacing w:after="0" w:line="240" w:lineRule="auto"/>
              <w:rPr>
                <w:rFonts w:ascii="Calibri" w:eastAsia="Times New Roman" w:hAnsi="Calibri" w:cs="Calibri"/>
                <w:color w:val="000000"/>
                <w:sz w:val="16"/>
                <w:szCs w:val="16"/>
                <w:lang w:eastAsia="en-GB"/>
              </w:rPr>
            </w:pPr>
            <w:r w:rsidRPr="00030175">
              <w:rPr>
                <w:rFonts w:ascii="Calibri" w:eastAsia="Times New Roman" w:hAnsi="Calibri" w:cs="Calibri"/>
                <w:color w:val="000000"/>
                <w:sz w:val="16"/>
                <w:szCs w:val="16"/>
                <w:lang w:eastAsia="en-GB"/>
              </w:rPr>
              <w:t>Area in LRC of moderate or below to have reduced since last assessment.</w:t>
            </w:r>
          </w:p>
          <w:p w14:paraId="5BA830B7" w14:textId="77777777" w:rsidR="008F5A10" w:rsidRDefault="008F5A10" w:rsidP="00500C88">
            <w:pPr>
              <w:spacing w:after="0" w:line="240" w:lineRule="auto"/>
              <w:rPr>
                <w:rFonts w:ascii="Calibri" w:eastAsia="Times New Roman" w:hAnsi="Calibri" w:cs="Calibri"/>
                <w:color w:val="000000"/>
                <w:sz w:val="16"/>
                <w:szCs w:val="16"/>
                <w:lang w:eastAsia="en-GB"/>
              </w:rPr>
            </w:pPr>
          </w:p>
          <w:p w14:paraId="5E61B113" w14:textId="77777777" w:rsidR="008F5A10" w:rsidRPr="00911A8D" w:rsidRDefault="008F5A10" w:rsidP="00500C88">
            <w:pPr>
              <w:spacing w:after="0" w:line="240" w:lineRule="auto"/>
              <w:rPr>
                <w:rFonts w:ascii="Calibri" w:eastAsia="Times New Roman" w:hAnsi="Calibri" w:cs="Calibri"/>
                <w:color w:val="000000"/>
                <w:sz w:val="16"/>
                <w:szCs w:val="16"/>
                <w:lang w:eastAsia="en-GB"/>
              </w:rPr>
            </w:pPr>
            <w:r w:rsidRPr="00264AE0">
              <w:rPr>
                <w:rFonts w:ascii="Calibri" w:eastAsia="Times New Roman" w:hAnsi="Calibri" w:cs="Calibri"/>
                <w:b/>
                <w:bCs/>
                <w:color w:val="000000"/>
                <w:sz w:val="16"/>
                <w:szCs w:val="16"/>
                <w:lang w:eastAsia="en-GB"/>
              </w:rPr>
              <w:t>Water Framework Directive</w:t>
            </w:r>
            <w:r>
              <w:rPr>
                <w:rFonts w:ascii="Calibri" w:eastAsia="Times New Roman" w:hAnsi="Calibri" w:cs="Calibri"/>
                <w:b/>
                <w:bCs/>
                <w:color w:val="000000"/>
                <w:sz w:val="16"/>
                <w:szCs w:val="16"/>
                <w:lang w:eastAsia="en-GB"/>
              </w:rPr>
              <w:t xml:space="preserve">: </w:t>
            </w:r>
            <w:r w:rsidRPr="00911A8D">
              <w:rPr>
                <w:rFonts w:ascii="Calibri" w:eastAsia="Times New Roman" w:hAnsi="Calibri" w:cs="Calibri"/>
                <w:color w:val="000000"/>
                <w:sz w:val="16"/>
                <w:szCs w:val="16"/>
                <w:lang w:eastAsia="en-GB"/>
              </w:rPr>
              <w:t>WFD Ecological Quality Ratios for seagrass within WFD boundaries.</w:t>
            </w:r>
          </w:p>
          <w:p w14:paraId="64D30283" w14:textId="77777777" w:rsidR="008F5A10" w:rsidRPr="00911A8D" w:rsidRDefault="008F5A10" w:rsidP="00500C88">
            <w:pPr>
              <w:spacing w:after="0" w:line="240" w:lineRule="auto"/>
              <w:rPr>
                <w:rFonts w:ascii="Calibri" w:eastAsia="Times New Roman" w:hAnsi="Calibri" w:cs="Calibri"/>
                <w:color w:val="000000"/>
                <w:sz w:val="16"/>
                <w:szCs w:val="16"/>
                <w:lang w:eastAsia="en-GB"/>
              </w:rPr>
            </w:pPr>
          </w:p>
          <w:p w14:paraId="0E1448EA" w14:textId="77777777" w:rsidR="008F5A10" w:rsidRPr="00911A8D" w:rsidRDefault="008F5A10" w:rsidP="00500C88">
            <w:pPr>
              <w:spacing w:after="0" w:line="240" w:lineRule="auto"/>
              <w:rPr>
                <w:rFonts w:ascii="Calibri" w:eastAsia="Times New Roman" w:hAnsi="Calibri" w:cs="Calibri"/>
                <w:color w:val="000000"/>
                <w:sz w:val="16"/>
                <w:szCs w:val="16"/>
                <w:lang w:eastAsia="en-GB"/>
              </w:rPr>
            </w:pPr>
            <w:r w:rsidRPr="00911A8D">
              <w:rPr>
                <w:rFonts w:ascii="Calibri" w:eastAsia="Times New Roman" w:hAnsi="Calibri" w:cs="Calibri"/>
                <w:color w:val="000000"/>
                <w:sz w:val="16"/>
                <w:szCs w:val="16"/>
                <w:lang w:eastAsia="en-GB"/>
              </w:rPr>
              <w:t xml:space="preserve">Water body ecological, </w:t>
            </w:r>
            <w:proofErr w:type="gramStart"/>
            <w:r w:rsidRPr="00911A8D">
              <w:rPr>
                <w:rFonts w:ascii="Calibri" w:eastAsia="Times New Roman" w:hAnsi="Calibri" w:cs="Calibri"/>
                <w:color w:val="000000"/>
                <w:sz w:val="16"/>
                <w:szCs w:val="16"/>
                <w:lang w:eastAsia="en-GB"/>
              </w:rPr>
              <w:t>chemical</w:t>
            </w:r>
            <w:proofErr w:type="gramEnd"/>
            <w:r w:rsidRPr="00911A8D">
              <w:rPr>
                <w:rFonts w:ascii="Calibri" w:eastAsia="Times New Roman" w:hAnsi="Calibri" w:cs="Calibri"/>
                <w:color w:val="000000"/>
                <w:sz w:val="16"/>
                <w:szCs w:val="16"/>
                <w:lang w:eastAsia="en-GB"/>
              </w:rPr>
              <w:t xml:space="preserve"> and overall condition to be good or better.</w:t>
            </w:r>
          </w:p>
          <w:p w14:paraId="3B3DED02" w14:textId="77777777" w:rsidR="008F5A10" w:rsidRPr="00911A8D" w:rsidRDefault="008F5A10" w:rsidP="00500C88">
            <w:pPr>
              <w:spacing w:after="0" w:line="240" w:lineRule="auto"/>
              <w:rPr>
                <w:rFonts w:ascii="Calibri" w:eastAsia="Times New Roman" w:hAnsi="Calibri" w:cs="Calibri"/>
                <w:color w:val="000000"/>
                <w:sz w:val="16"/>
                <w:szCs w:val="16"/>
                <w:lang w:eastAsia="en-GB"/>
              </w:rPr>
            </w:pPr>
          </w:p>
          <w:p w14:paraId="51BA41D0" w14:textId="77777777" w:rsidR="008F5A10" w:rsidRPr="00264AE0" w:rsidRDefault="008F5A10" w:rsidP="00500C88">
            <w:pPr>
              <w:spacing w:after="0" w:line="240" w:lineRule="auto"/>
              <w:rPr>
                <w:rFonts w:ascii="Calibri" w:eastAsia="Times New Roman" w:hAnsi="Calibri" w:cs="Calibri"/>
                <w:b/>
                <w:bCs/>
                <w:color w:val="000000"/>
                <w:sz w:val="16"/>
                <w:szCs w:val="16"/>
                <w:lang w:eastAsia="en-GB"/>
              </w:rPr>
            </w:pPr>
            <w:r w:rsidRPr="00911A8D">
              <w:rPr>
                <w:rFonts w:ascii="Calibri" w:eastAsia="Times New Roman" w:hAnsi="Calibri" w:cs="Calibri"/>
                <w:color w:val="000000"/>
                <w:sz w:val="16"/>
                <w:szCs w:val="16"/>
                <w:lang w:eastAsia="en-GB"/>
              </w:rPr>
              <w:t>DO and DIN levels to meet WFD targets in water body data.</w:t>
            </w:r>
          </w:p>
        </w:tc>
        <w:tc>
          <w:tcPr>
            <w:tcW w:w="1360" w:type="dxa"/>
            <w:tcBorders>
              <w:top w:val="nil"/>
              <w:left w:val="nil"/>
              <w:bottom w:val="single" w:sz="4" w:space="0" w:color="auto"/>
              <w:right w:val="single" w:sz="4" w:space="0" w:color="auto"/>
            </w:tcBorders>
            <w:hideMark/>
          </w:tcPr>
          <w:p w14:paraId="717BAB77" w14:textId="4D3A41C6" w:rsidR="008F5A10" w:rsidRDefault="008F5A10"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lastRenderedPageBreak/>
              <w:t xml:space="preserve">Unfavourable </w:t>
            </w:r>
            <w:r w:rsidR="00AD10BC">
              <w:rPr>
                <w:rFonts w:ascii="Calibri" w:eastAsia="Times New Roman" w:hAnsi="Calibri" w:cs="Calibri"/>
                <w:color w:val="000000"/>
                <w:sz w:val="16"/>
                <w:szCs w:val="16"/>
                <w:lang w:eastAsia="en-GB"/>
              </w:rPr>
              <w:t>Declining</w:t>
            </w:r>
            <w:r w:rsidR="00EC1967">
              <w:rPr>
                <w:rFonts w:ascii="Calibri" w:eastAsia="Times New Roman" w:hAnsi="Calibri" w:cs="Calibri"/>
                <w:color w:val="000000"/>
                <w:sz w:val="16"/>
                <w:szCs w:val="16"/>
                <w:lang w:eastAsia="en-GB"/>
              </w:rPr>
              <w:t xml:space="preserve"> based on data from condition assessments in 2012 and 2018. </w:t>
            </w:r>
          </w:p>
        </w:tc>
        <w:tc>
          <w:tcPr>
            <w:tcW w:w="87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306DEB71" w14:textId="2BD075F4" w:rsidR="008F5A10" w:rsidRDefault="00EC1967" w:rsidP="00500C88">
            <w:pPr>
              <w:spacing w:after="0" w:line="240"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FFFFFF" w:themeColor="background1"/>
                <w:sz w:val="16"/>
                <w:szCs w:val="16"/>
                <w:lang w:eastAsia="en-GB"/>
              </w:rPr>
              <w:t>C</w:t>
            </w:r>
            <w:r w:rsidR="008F5A10" w:rsidRPr="00EC1967">
              <w:rPr>
                <w:rFonts w:ascii="Calibri" w:eastAsia="Times New Roman" w:hAnsi="Calibri" w:cs="Calibri"/>
                <w:b/>
                <w:bCs/>
                <w:color w:val="FFFFFF" w:themeColor="background1"/>
                <w:sz w:val="16"/>
                <w:szCs w:val="16"/>
                <w:lang w:eastAsia="en-GB"/>
              </w:rPr>
              <w:t xml:space="preserve">          </w:t>
            </w:r>
            <w:proofErr w:type="gramStart"/>
            <w:r w:rsidR="008F5A10" w:rsidRPr="00EC1967">
              <w:rPr>
                <w:rFonts w:ascii="Calibri" w:eastAsia="Times New Roman" w:hAnsi="Calibri" w:cs="Calibri"/>
                <w:b/>
                <w:bCs/>
                <w:color w:val="FFFFFF" w:themeColor="background1"/>
                <w:sz w:val="16"/>
                <w:szCs w:val="16"/>
                <w:lang w:eastAsia="en-GB"/>
              </w:rPr>
              <w:t xml:space="preserve">   (</w:t>
            </w:r>
            <w:proofErr w:type="gramEnd"/>
            <w:r w:rsidR="00EE607E">
              <w:rPr>
                <w:rFonts w:ascii="Calibri" w:eastAsia="Times New Roman" w:hAnsi="Calibri" w:cs="Calibri"/>
                <w:b/>
                <w:bCs/>
                <w:color w:val="FFFFFF" w:themeColor="background1"/>
                <w:sz w:val="16"/>
                <w:szCs w:val="16"/>
                <w:lang w:eastAsia="en-GB"/>
              </w:rPr>
              <w:t>4</w:t>
            </w:r>
            <w:r w:rsidR="008F5A10" w:rsidRPr="00EC1967">
              <w:rPr>
                <w:rFonts w:ascii="Calibri" w:eastAsia="Times New Roman" w:hAnsi="Calibri" w:cs="Calibri"/>
                <w:b/>
                <w:bCs/>
                <w:color w:val="FFFFFF" w:themeColor="background1"/>
                <w:sz w:val="16"/>
                <w:szCs w:val="16"/>
                <w:lang w:eastAsia="en-GB"/>
              </w:rPr>
              <w:t>)</w:t>
            </w:r>
          </w:p>
        </w:tc>
      </w:tr>
      <w:tr w:rsidR="00CB0683" w14:paraId="7496F3D3" w14:textId="77777777" w:rsidTr="00500C88">
        <w:trPr>
          <w:trHeight w:val="210"/>
        </w:trPr>
        <w:tc>
          <w:tcPr>
            <w:tcW w:w="0" w:type="auto"/>
            <w:vMerge/>
            <w:tcBorders>
              <w:top w:val="nil"/>
              <w:left w:val="single" w:sz="8" w:space="0" w:color="auto"/>
              <w:bottom w:val="single" w:sz="8" w:space="0" w:color="000000"/>
              <w:right w:val="nil"/>
            </w:tcBorders>
            <w:vAlign w:val="center"/>
            <w:hideMark/>
          </w:tcPr>
          <w:p w14:paraId="6271A804" w14:textId="77777777" w:rsidR="00CB0683" w:rsidRDefault="00CB0683" w:rsidP="00CB0683">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78B54" w14:textId="77777777" w:rsidR="00CB0683" w:rsidRDefault="00CB0683" w:rsidP="00CB0683">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B8E23D" w14:textId="77777777" w:rsidR="00CB0683" w:rsidRDefault="00CB0683" w:rsidP="00CB0683">
            <w:pPr>
              <w:spacing w:after="0"/>
              <w:rPr>
                <w:rFonts w:ascii="Calibri" w:eastAsia="Times New Roman" w:hAnsi="Calibri" w:cs="Calibri"/>
                <w:b/>
                <w:bCs/>
                <w:color w:val="000000"/>
                <w:sz w:val="16"/>
                <w:szCs w:val="16"/>
                <w:lang w:eastAsia="en-GB"/>
              </w:rPr>
            </w:pPr>
          </w:p>
        </w:tc>
        <w:tc>
          <w:tcPr>
            <w:tcW w:w="1545" w:type="dxa"/>
            <w:tcBorders>
              <w:top w:val="nil"/>
              <w:left w:val="nil"/>
              <w:bottom w:val="single" w:sz="4" w:space="0" w:color="auto"/>
              <w:right w:val="single" w:sz="4" w:space="0" w:color="auto"/>
            </w:tcBorders>
            <w:noWrap/>
            <w:hideMark/>
          </w:tcPr>
          <w:p w14:paraId="5BCC3E5C" w14:textId="77777777" w:rsidR="00CB0683" w:rsidRDefault="00CB0683" w:rsidP="00CB0683">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6300" w:type="dxa"/>
            <w:gridSpan w:val="2"/>
            <w:tcBorders>
              <w:top w:val="single" w:sz="4" w:space="0" w:color="auto"/>
              <w:left w:val="nil"/>
              <w:bottom w:val="single" w:sz="4" w:space="0" w:color="auto"/>
              <w:right w:val="single" w:sz="4" w:space="0" w:color="auto"/>
            </w:tcBorders>
            <w:vAlign w:val="center"/>
            <w:hideMark/>
          </w:tcPr>
          <w:p w14:paraId="45814788" w14:textId="4A76EFD3" w:rsidR="00CB0683" w:rsidRDefault="00CB0683" w:rsidP="00CB0683">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 – last condition assessment 2018</w:t>
            </w:r>
          </w:p>
        </w:tc>
        <w:tc>
          <w:tcPr>
            <w:tcW w:w="1360" w:type="dxa"/>
            <w:tcBorders>
              <w:top w:val="nil"/>
              <w:left w:val="nil"/>
              <w:bottom w:val="single" w:sz="4" w:space="0" w:color="auto"/>
              <w:right w:val="single" w:sz="4" w:space="0" w:color="auto"/>
            </w:tcBorders>
            <w:vAlign w:val="center"/>
            <w:hideMark/>
          </w:tcPr>
          <w:p w14:paraId="0BA20CC4" w14:textId="251D5EED" w:rsidR="00CB0683" w:rsidRDefault="00CB0683" w:rsidP="00CB0683">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w:t>
            </w:r>
          </w:p>
        </w:tc>
        <w:tc>
          <w:tcPr>
            <w:tcW w:w="870" w:type="dxa"/>
            <w:vMerge w:val="restart"/>
            <w:tcBorders>
              <w:top w:val="nil"/>
              <w:left w:val="single" w:sz="4" w:space="0" w:color="auto"/>
              <w:bottom w:val="single" w:sz="4" w:space="0" w:color="auto"/>
              <w:right w:val="single" w:sz="4" w:space="0" w:color="auto"/>
            </w:tcBorders>
            <w:vAlign w:val="center"/>
            <w:hideMark/>
          </w:tcPr>
          <w:p w14:paraId="62D0854E" w14:textId="77777777" w:rsidR="00CB0683" w:rsidRDefault="00CB0683" w:rsidP="00CB0683">
            <w:pPr>
              <w:rPr>
                <w:rFonts w:ascii="Calibri" w:eastAsia="Times New Roman" w:hAnsi="Calibri" w:cs="Calibri"/>
                <w:color w:val="000000"/>
                <w:sz w:val="16"/>
                <w:szCs w:val="16"/>
                <w:lang w:eastAsia="en-GB"/>
              </w:rPr>
            </w:pPr>
          </w:p>
        </w:tc>
      </w:tr>
      <w:tr w:rsidR="00CB0683" w14:paraId="7D41F791" w14:textId="77777777" w:rsidTr="00D54F54">
        <w:trPr>
          <w:trHeight w:val="270"/>
        </w:trPr>
        <w:tc>
          <w:tcPr>
            <w:tcW w:w="0" w:type="auto"/>
            <w:vMerge/>
            <w:tcBorders>
              <w:top w:val="nil"/>
              <w:left w:val="single" w:sz="8" w:space="0" w:color="auto"/>
              <w:bottom w:val="single" w:sz="8" w:space="0" w:color="000000"/>
              <w:right w:val="nil"/>
            </w:tcBorders>
            <w:vAlign w:val="center"/>
            <w:hideMark/>
          </w:tcPr>
          <w:p w14:paraId="5E14D478" w14:textId="77777777" w:rsidR="00CB0683" w:rsidRDefault="00CB0683" w:rsidP="00CB0683">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27F24F" w14:textId="77777777" w:rsidR="00CB0683" w:rsidRDefault="00CB0683" w:rsidP="00CB0683">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79E0F" w14:textId="77777777" w:rsidR="00CB0683" w:rsidRDefault="00CB0683" w:rsidP="00CB0683">
            <w:pPr>
              <w:spacing w:after="0"/>
              <w:rPr>
                <w:rFonts w:ascii="Calibri" w:eastAsia="Times New Roman" w:hAnsi="Calibri" w:cs="Calibri"/>
                <w:b/>
                <w:bCs/>
                <w:color w:val="000000"/>
                <w:sz w:val="16"/>
                <w:szCs w:val="16"/>
                <w:lang w:eastAsia="en-GB"/>
              </w:rPr>
            </w:pPr>
          </w:p>
        </w:tc>
        <w:tc>
          <w:tcPr>
            <w:tcW w:w="1545" w:type="dxa"/>
            <w:tcBorders>
              <w:top w:val="nil"/>
              <w:left w:val="nil"/>
              <w:bottom w:val="single" w:sz="4" w:space="0" w:color="auto"/>
              <w:right w:val="single" w:sz="4" w:space="0" w:color="auto"/>
            </w:tcBorders>
            <w:noWrap/>
            <w:hideMark/>
          </w:tcPr>
          <w:p w14:paraId="28C78BBA" w14:textId="77777777" w:rsidR="00CB0683" w:rsidRDefault="00CB0683" w:rsidP="00CB0683">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6300" w:type="dxa"/>
            <w:gridSpan w:val="2"/>
            <w:tcBorders>
              <w:top w:val="single" w:sz="4" w:space="0" w:color="auto"/>
              <w:left w:val="nil"/>
              <w:bottom w:val="single" w:sz="4" w:space="0" w:color="auto"/>
              <w:right w:val="single" w:sz="4" w:space="0" w:color="auto"/>
            </w:tcBorders>
            <w:vAlign w:val="center"/>
            <w:hideMark/>
          </w:tcPr>
          <w:p w14:paraId="0A48362A" w14:textId="152947BE" w:rsidR="00CB0683" w:rsidRDefault="00CB0683" w:rsidP="00CB0683">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1360" w:type="dxa"/>
            <w:tcBorders>
              <w:top w:val="nil"/>
              <w:left w:val="nil"/>
              <w:bottom w:val="single" w:sz="4" w:space="0" w:color="auto"/>
              <w:right w:val="single" w:sz="4" w:space="0" w:color="auto"/>
            </w:tcBorders>
            <w:vAlign w:val="center"/>
            <w:hideMark/>
          </w:tcPr>
          <w:p w14:paraId="0F52A9B3" w14:textId="18E0DB18" w:rsidR="00CB0683" w:rsidRDefault="00CB0683" w:rsidP="00CB0683">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0" w:type="auto"/>
            <w:vMerge/>
            <w:tcBorders>
              <w:top w:val="nil"/>
              <w:left w:val="single" w:sz="4" w:space="0" w:color="auto"/>
              <w:bottom w:val="single" w:sz="4" w:space="0" w:color="auto"/>
              <w:right w:val="single" w:sz="4" w:space="0" w:color="auto"/>
            </w:tcBorders>
            <w:vAlign w:val="center"/>
            <w:hideMark/>
          </w:tcPr>
          <w:p w14:paraId="7144F398" w14:textId="77777777" w:rsidR="00CB0683" w:rsidRDefault="00CB0683" w:rsidP="00CB0683">
            <w:pPr>
              <w:spacing w:after="0"/>
              <w:rPr>
                <w:rFonts w:ascii="Calibri" w:eastAsia="Times New Roman" w:hAnsi="Calibri" w:cs="Calibri"/>
                <w:color w:val="000000"/>
                <w:sz w:val="16"/>
                <w:szCs w:val="16"/>
                <w:lang w:eastAsia="en-GB"/>
              </w:rPr>
            </w:pPr>
          </w:p>
        </w:tc>
      </w:tr>
      <w:tr w:rsidR="00D54F54" w14:paraId="6A72897B" w14:textId="77777777" w:rsidTr="00D54F54">
        <w:trPr>
          <w:trHeight w:val="2018"/>
        </w:trPr>
        <w:tc>
          <w:tcPr>
            <w:tcW w:w="0" w:type="auto"/>
            <w:vMerge/>
            <w:tcBorders>
              <w:top w:val="nil"/>
              <w:left w:val="single" w:sz="8" w:space="0" w:color="auto"/>
              <w:bottom w:val="single" w:sz="8" w:space="0" w:color="000000"/>
              <w:right w:val="nil"/>
            </w:tcBorders>
            <w:vAlign w:val="center"/>
            <w:hideMark/>
          </w:tcPr>
          <w:p w14:paraId="66C35E80" w14:textId="77777777" w:rsidR="00CB0683" w:rsidRDefault="00CB0683" w:rsidP="00CB0683">
            <w:pPr>
              <w:spacing w:after="0"/>
              <w:rPr>
                <w:rFonts w:ascii="Calibri" w:eastAsia="Times New Roman" w:hAnsi="Calibri" w:cs="Calibri"/>
                <w:color w:val="000000"/>
                <w:sz w:val="16"/>
                <w:szCs w:val="16"/>
                <w:lang w:eastAsia="en-GB"/>
              </w:rPr>
            </w:pPr>
          </w:p>
        </w:tc>
        <w:tc>
          <w:tcPr>
            <w:tcW w:w="973" w:type="dxa"/>
            <w:vMerge w:val="restart"/>
            <w:tcBorders>
              <w:top w:val="single" w:sz="4" w:space="0" w:color="auto"/>
              <w:left w:val="single" w:sz="4" w:space="0" w:color="auto"/>
              <w:bottom w:val="single" w:sz="4" w:space="0" w:color="auto"/>
              <w:right w:val="single" w:sz="4" w:space="0" w:color="auto"/>
            </w:tcBorders>
            <w:hideMark/>
          </w:tcPr>
          <w:p w14:paraId="700D32D5" w14:textId="1598D902" w:rsidR="00CB0683" w:rsidRDefault="00621ADB" w:rsidP="00CB0683">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Subtidal Seagrass</w:t>
            </w:r>
            <w:r w:rsidR="00CB0683">
              <w:rPr>
                <w:rFonts w:ascii="Calibri" w:eastAsia="Times New Roman" w:hAnsi="Calibri" w:cs="Calibri"/>
                <w:color w:val="000000"/>
                <w:sz w:val="16"/>
                <w:szCs w:val="16"/>
                <w:lang w:eastAsia="en-GB"/>
              </w:rPr>
              <w:t xml:space="preserve"> </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45640985" w14:textId="77777777" w:rsidR="00CB0683" w:rsidRDefault="00CB0683" w:rsidP="00CB0683">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 Food (Wild Food - fish and shellfish).    </w:t>
            </w:r>
          </w:p>
          <w:p w14:paraId="29CDFBC6" w14:textId="77777777" w:rsidR="00CB0683" w:rsidRDefault="00CB0683" w:rsidP="00CB0683">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Healthy climate (carbon sequestration).         • Sea defence. (</w:t>
            </w:r>
            <w:proofErr w:type="gramStart"/>
            <w:r>
              <w:rPr>
                <w:rFonts w:ascii="Calibri" w:eastAsia="Times New Roman" w:hAnsi="Calibri" w:cs="Calibri"/>
                <w:b/>
                <w:bCs/>
                <w:color w:val="000000"/>
                <w:sz w:val="16"/>
                <w:szCs w:val="16"/>
                <w:lang w:eastAsia="en-GB"/>
              </w:rPr>
              <w:t>natural</w:t>
            </w:r>
            <w:proofErr w:type="gramEnd"/>
            <w:r>
              <w:rPr>
                <w:rFonts w:ascii="Calibri" w:eastAsia="Times New Roman" w:hAnsi="Calibri" w:cs="Calibri"/>
                <w:b/>
                <w:bCs/>
                <w:color w:val="000000"/>
                <w:sz w:val="16"/>
                <w:szCs w:val="16"/>
                <w:lang w:eastAsia="en-GB"/>
              </w:rPr>
              <w:t xml:space="preserve"> hazard regulation).               • Tourism/nature watching.                  • Clean water and sediments.</w:t>
            </w:r>
          </w:p>
        </w:tc>
        <w:tc>
          <w:tcPr>
            <w:tcW w:w="1545" w:type="dxa"/>
            <w:vMerge w:val="restart"/>
            <w:tcBorders>
              <w:top w:val="nil"/>
              <w:left w:val="single" w:sz="4" w:space="0" w:color="auto"/>
              <w:bottom w:val="single" w:sz="4" w:space="0" w:color="auto"/>
              <w:right w:val="single" w:sz="4" w:space="0" w:color="auto"/>
            </w:tcBorders>
            <w:noWrap/>
            <w:hideMark/>
          </w:tcPr>
          <w:p w14:paraId="5E40A735" w14:textId="77777777" w:rsidR="00CB0683" w:rsidRDefault="00CB0683" w:rsidP="00CB0683">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Spatial configuration</w:t>
            </w:r>
          </w:p>
        </w:tc>
        <w:tc>
          <w:tcPr>
            <w:tcW w:w="3587" w:type="dxa"/>
            <w:tcBorders>
              <w:top w:val="nil"/>
              <w:left w:val="nil"/>
              <w:bottom w:val="single" w:sz="4" w:space="0" w:color="auto"/>
              <w:right w:val="single" w:sz="4" w:space="0" w:color="auto"/>
            </w:tcBorders>
            <w:hideMark/>
          </w:tcPr>
          <w:p w14:paraId="715B72A5" w14:textId="77777777" w:rsidR="00CB0683" w:rsidRPr="008E59E5" w:rsidRDefault="00CB0683" w:rsidP="00CB0683">
            <w:pPr>
              <w:spacing w:after="0" w:line="240" w:lineRule="auto"/>
              <w:rPr>
                <w:rFonts w:ascii="Calibri" w:eastAsia="Times New Roman" w:hAnsi="Calibri" w:cs="Calibri"/>
                <w:b/>
                <w:bCs/>
                <w:color w:val="000000"/>
                <w:sz w:val="16"/>
                <w:szCs w:val="16"/>
                <w:lang w:eastAsia="en-GB"/>
              </w:rPr>
            </w:pPr>
            <w:r w:rsidRPr="008E59E5">
              <w:rPr>
                <w:rFonts w:ascii="Calibri" w:eastAsia="Times New Roman" w:hAnsi="Calibri" w:cs="Calibri"/>
                <w:b/>
                <w:bCs/>
                <w:color w:val="000000"/>
                <w:sz w:val="16"/>
                <w:szCs w:val="16"/>
                <w:lang w:eastAsia="en-GB"/>
              </w:rPr>
              <w:t xml:space="preserve">NE Package: </w:t>
            </w:r>
          </w:p>
          <w:p w14:paraId="5C4A0E57" w14:textId="77777777" w:rsidR="00CB0683" w:rsidRDefault="00CB0683" w:rsidP="00CB0683">
            <w:pPr>
              <w:spacing w:after="0" w:line="240" w:lineRule="auto"/>
              <w:rPr>
                <w:rFonts w:ascii="Calibri" w:eastAsia="Times New Roman" w:hAnsi="Calibri" w:cs="Calibri"/>
                <w:color w:val="000000"/>
                <w:sz w:val="16"/>
                <w:szCs w:val="16"/>
                <w:lang w:eastAsia="en-GB"/>
              </w:rPr>
            </w:pPr>
          </w:p>
          <w:p w14:paraId="69393E22" w14:textId="77777777" w:rsidR="008E59E5" w:rsidRDefault="008E59E5" w:rsidP="008E59E5">
            <w:pPr>
              <w:spacing w:after="0" w:line="240" w:lineRule="auto"/>
              <w:rPr>
                <w:rFonts w:ascii="Calibri" w:eastAsia="Times New Roman" w:hAnsi="Calibri" w:cs="Calibri"/>
                <w:color w:val="000000"/>
                <w:sz w:val="16"/>
                <w:szCs w:val="16"/>
                <w:lang w:eastAsia="en-GB"/>
              </w:rPr>
            </w:pPr>
            <w:r w:rsidRPr="00BA66F3">
              <w:rPr>
                <w:rFonts w:ascii="Calibri" w:eastAsia="Times New Roman" w:hAnsi="Calibri" w:cs="Calibri"/>
                <w:b/>
                <w:bCs/>
                <w:color w:val="000000"/>
                <w:sz w:val="16"/>
                <w:szCs w:val="16"/>
                <w:lang w:eastAsia="en-GB"/>
              </w:rPr>
              <w:t>Composite mapping</w:t>
            </w:r>
            <w:r>
              <w:rPr>
                <w:rFonts w:ascii="Calibri" w:eastAsia="Times New Roman" w:hAnsi="Calibri" w:cs="Calibri"/>
                <w:color w:val="000000"/>
                <w:sz w:val="16"/>
                <w:szCs w:val="16"/>
                <w:lang w:eastAsia="en-GB"/>
              </w:rPr>
              <w:t xml:space="preserve">: </w:t>
            </w:r>
            <w:r w:rsidRPr="002C083A">
              <w:rPr>
                <w:rFonts w:ascii="Calibri" w:eastAsia="Times New Roman" w:hAnsi="Calibri" w:cs="Calibri"/>
                <w:color w:val="000000"/>
                <w:sz w:val="16"/>
                <w:szCs w:val="16"/>
                <w:lang w:eastAsia="en-GB"/>
              </w:rPr>
              <w:t>Seagrass extent in the site is 0.52 km² and 99% of this area is within an MPA.</w:t>
            </w:r>
          </w:p>
          <w:p w14:paraId="54119A6F" w14:textId="77777777" w:rsidR="008E59E5" w:rsidRDefault="008E59E5" w:rsidP="008E59E5">
            <w:pPr>
              <w:spacing w:after="0" w:line="240" w:lineRule="auto"/>
              <w:rPr>
                <w:rFonts w:ascii="Calibri" w:eastAsia="Times New Roman" w:hAnsi="Calibri" w:cs="Calibri"/>
                <w:color w:val="000000"/>
                <w:sz w:val="16"/>
                <w:szCs w:val="16"/>
                <w:lang w:eastAsia="en-GB"/>
              </w:rPr>
            </w:pPr>
          </w:p>
          <w:p w14:paraId="425E665F" w14:textId="77777777" w:rsidR="008E59E5" w:rsidRDefault="008E59E5" w:rsidP="008E59E5">
            <w:pPr>
              <w:spacing w:after="0" w:line="240" w:lineRule="auto"/>
              <w:rPr>
                <w:rFonts w:ascii="Calibri" w:eastAsia="Times New Roman" w:hAnsi="Calibri" w:cs="Calibri"/>
                <w:color w:val="000000"/>
                <w:sz w:val="16"/>
                <w:szCs w:val="16"/>
                <w:lang w:eastAsia="en-GB"/>
              </w:rPr>
            </w:pPr>
            <w:r w:rsidRPr="009D42EA">
              <w:rPr>
                <w:rFonts w:ascii="Calibri" w:eastAsia="Times New Roman" w:hAnsi="Calibri" w:cs="Calibri"/>
                <w:b/>
                <w:bCs/>
                <w:color w:val="000000"/>
                <w:sz w:val="16"/>
                <w:szCs w:val="16"/>
                <w:lang w:eastAsia="en-GB"/>
              </w:rPr>
              <w:t>NE Package:</w:t>
            </w:r>
            <w:r>
              <w:rPr>
                <w:rFonts w:ascii="Calibri" w:eastAsia="Times New Roman" w:hAnsi="Calibri" w:cs="Calibri"/>
                <w:b/>
                <w:bCs/>
                <w:color w:val="000000"/>
                <w:sz w:val="16"/>
                <w:szCs w:val="16"/>
                <w:lang w:eastAsia="en-GB"/>
              </w:rPr>
              <w:t xml:space="preserve"> </w:t>
            </w:r>
            <w:r w:rsidRPr="00C93BA3">
              <w:rPr>
                <w:rFonts w:ascii="Calibri" w:eastAsia="Times New Roman" w:hAnsi="Calibri" w:cs="Calibri"/>
                <w:color w:val="000000"/>
                <w:sz w:val="16"/>
                <w:szCs w:val="16"/>
                <w:lang w:eastAsia="en-GB"/>
              </w:rPr>
              <w:t>Conservation objective to “Restore the total extent of seagrass beds to 50.9 ha, and spatial distribution as defined on the map</w:t>
            </w:r>
            <w:r>
              <w:rPr>
                <w:rFonts w:ascii="Calibri" w:eastAsia="Times New Roman" w:hAnsi="Calibri" w:cs="Calibri"/>
                <w:color w:val="000000"/>
                <w:sz w:val="16"/>
                <w:szCs w:val="16"/>
                <w:lang w:eastAsia="en-GB"/>
              </w:rPr>
              <w:t xml:space="preserve">” was not met </w:t>
            </w:r>
            <w:r>
              <w:rPr>
                <w:rFonts w:ascii="Calibri" w:eastAsia="Times New Roman" w:hAnsi="Calibri" w:cs="Calibri"/>
                <w:color w:val="000000"/>
                <w:sz w:val="16"/>
                <w:szCs w:val="16"/>
                <w:lang w:eastAsia="en-GB"/>
              </w:rPr>
              <w:fldChar w:fldCharType="begin" w:fldLock="1"/>
            </w:r>
            <w:r>
              <w:rPr>
                <w:rFonts w:ascii="Calibri" w:eastAsia="Times New Roman" w:hAnsi="Calibri" w:cs="Calibri"/>
                <w:color w:val="000000"/>
                <w:sz w:val="16"/>
                <w:szCs w:val="16"/>
                <w:lang w:eastAsia="en-GB"/>
              </w:rPr>
              <w:instrText>ADDIN CSL_CITATION {"citationItems":[{"id":"ITEM-1","itemData":{"URL":"https://designatedsites.naturalengland.org.uk/Marine/MarineSiteDetail.aspx?SiteCode=UK0013111&amp;SiteName=plymouth&amp;countyCode=&amp;responsiblePerson=&amp;SeaArea=&amp;IFCAArea=&amp;HasCA=1&amp;NumMarineSeasonality=4&amp;SiteNameDisplay=Plymouth Sound and Estuaries SAC","author":[{"dropping-particle":"","family":"Natural England","given":"","non-dropping-particle":"","parse-names":false,"suffix":""}],"id":"ITEM-1","issued":{"date-parts":[["2023"]]},"title":"Natural England Conservation Advice for Marine Protected Areas Plymouth Sound and Estuaries SAC","type":"webpage"},"uris":["http://www.mendeley.com/documents/?uuid=4eec2dc4-8616-4fe0-9714-876dc3c4513b"]}],"mendeley":{"formattedCitation":"(Natural England, 2023)","plainTextFormattedCitation":"(Natural England, 2023)","previouslyFormattedCitation":"(Natural England, 2023)"},"properties":{"noteIndex":0},"schema":"https://github.com/citation-style-language/schema/raw/master/csl-citation.json"}</w:instrText>
            </w:r>
            <w:r>
              <w:rPr>
                <w:rFonts w:ascii="Calibri" w:eastAsia="Times New Roman" w:hAnsi="Calibri" w:cs="Calibri"/>
                <w:color w:val="000000"/>
                <w:sz w:val="16"/>
                <w:szCs w:val="16"/>
                <w:lang w:eastAsia="en-GB"/>
              </w:rPr>
              <w:fldChar w:fldCharType="separate"/>
            </w:r>
            <w:r w:rsidRPr="00C93BA3">
              <w:rPr>
                <w:rFonts w:ascii="Calibri" w:eastAsia="Times New Roman" w:hAnsi="Calibri" w:cs="Calibri"/>
                <w:noProof/>
                <w:color w:val="000000"/>
                <w:sz w:val="16"/>
                <w:szCs w:val="16"/>
                <w:lang w:eastAsia="en-GB"/>
              </w:rPr>
              <w:t>(Natural England, 2023)</w:t>
            </w:r>
            <w:r>
              <w:rPr>
                <w:rFonts w:ascii="Calibri" w:eastAsia="Times New Roman" w:hAnsi="Calibri" w:cs="Calibri"/>
                <w:color w:val="000000"/>
                <w:sz w:val="16"/>
                <w:szCs w:val="16"/>
                <w:lang w:eastAsia="en-GB"/>
              </w:rPr>
              <w:fldChar w:fldCharType="end"/>
            </w:r>
            <w:r>
              <w:rPr>
                <w:rFonts w:ascii="Calibri" w:eastAsia="Times New Roman" w:hAnsi="Calibri" w:cs="Calibri"/>
                <w:color w:val="000000"/>
                <w:sz w:val="16"/>
                <w:szCs w:val="16"/>
                <w:lang w:eastAsia="en-GB"/>
              </w:rPr>
              <w:t xml:space="preserve">. </w:t>
            </w:r>
          </w:p>
          <w:p w14:paraId="3A8A2061" w14:textId="77777777" w:rsidR="008E59E5" w:rsidRDefault="008E59E5" w:rsidP="008E59E5">
            <w:pPr>
              <w:spacing w:after="0" w:line="240" w:lineRule="auto"/>
              <w:rPr>
                <w:rFonts w:ascii="Calibri" w:eastAsia="Times New Roman" w:hAnsi="Calibri" w:cs="Calibri"/>
                <w:b/>
                <w:bCs/>
                <w:color w:val="000000"/>
                <w:sz w:val="16"/>
                <w:szCs w:val="16"/>
                <w:lang w:eastAsia="en-GB"/>
              </w:rPr>
            </w:pPr>
          </w:p>
          <w:p w14:paraId="60090938" w14:textId="77777777" w:rsidR="008E59E5" w:rsidRDefault="008E59E5" w:rsidP="008E59E5">
            <w:pPr>
              <w:spacing w:after="0" w:line="240" w:lineRule="auto"/>
              <w:rPr>
                <w:rFonts w:ascii="Calibri" w:eastAsia="Times New Roman" w:hAnsi="Calibri" w:cs="Calibri"/>
                <w:color w:val="000000"/>
                <w:sz w:val="16"/>
                <w:szCs w:val="16"/>
                <w:lang w:eastAsia="en-GB"/>
              </w:rPr>
            </w:pPr>
            <w:r w:rsidRPr="00F20E3C">
              <w:rPr>
                <w:rFonts w:ascii="Calibri" w:eastAsia="Times New Roman" w:hAnsi="Calibri" w:cs="Calibri"/>
                <w:color w:val="000000"/>
                <w:sz w:val="16"/>
                <w:szCs w:val="16"/>
                <w:lang w:eastAsia="en-GB"/>
              </w:rPr>
              <w:t xml:space="preserve">The extents of </w:t>
            </w:r>
            <w:proofErr w:type="gramStart"/>
            <w:r w:rsidRPr="00F20E3C">
              <w:rPr>
                <w:rFonts w:ascii="Calibri" w:eastAsia="Times New Roman" w:hAnsi="Calibri" w:cs="Calibri"/>
                <w:color w:val="000000"/>
                <w:sz w:val="16"/>
                <w:szCs w:val="16"/>
                <w:lang w:eastAsia="en-GB"/>
              </w:rPr>
              <w:t>the majority of</w:t>
            </w:r>
            <w:proofErr w:type="gramEnd"/>
            <w:r w:rsidRPr="00F20E3C">
              <w:rPr>
                <w:rFonts w:ascii="Calibri" w:eastAsia="Times New Roman" w:hAnsi="Calibri" w:cs="Calibri"/>
                <w:color w:val="000000"/>
                <w:sz w:val="16"/>
                <w:szCs w:val="16"/>
                <w:lang w:eastAsia="en-GB"/>
              </w:rPr>
              <w:t xml:space="preserve"> subtidal seagrass beds within the study site declined in extent between 2012 and 2018.</w:t>
            </w:r>
          </w:p>
          <w:p w14:paraId="6D78A4DD" w14:textId="77777777" w:rsidR="00B30A29" w:rsidRDefault="00B30A29" w:rsidP="008E59E5">
            <w:pPr>
              <w:spacing w:after="0" w:line="240" w:lineRule="auto"/>
              <w:rPr>
                <w:rFonts w:ascii="Calibri" w:eastAsia="Times New Roman" w:hAnsi="Calibri" w:cs="Calibri"/>
                <w:color w:val="000000"/>
                <w:sz w:val="16"/>
                <w:szCs w:val="16"/>
                <w:lang w:eastAsia="en-GB"/>
              </w:rPr>
            </w:pPr>
          </w:p>
          <w:p w14:paraId="3094E006" w14:textId="5992B192" w:rsidR="00B30A29" w:rsidRPr="00F20E3C" w:rsidRDefault="00D54F54" w:rsidP="008E59E5">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The conservation objective “</w:t>
            </w:r>
            <w:r w:rsidRPr="00D54F54">
              <w:rPr>
                <w:rFonts w:ascii="Calibri" w:eastAsia="Times New Roman" w:hAnsi="Calibri" w:cs="Calibri"/>
                <w:color w:val="000000"/>
                <w:sz w:val="16"/>
                <w:szCs w:val="16"/>
                <w:lang w:eastAsia="en-GB"/>
              </w:rPr>
              <w:t>Restore the presence and spatial distribution of subtidal seagrass bed communities according to the map</w:t>
            </w:r>
            <w:r>
              <w:rPr>
                <w:rFonts w:ascii="Calibri" w:eastAsia="Times New Roman" w:hAnsi="Calibri" w:cs="Calibri"/>
                <w:color w:val="000000"/>
                <w:sz w:val="16"/>
                <w:szCs w:val="16"/>
                <w:lang w:eastAsia="en-GB"/>
              </w:rPr>
              <w:t xml:space="preserve">” was not met. </w:t>
            </w:r>
          </w:p>
          <w:p w14:paraId="2014F6C0" w14:textId="58B66B25" w:rsidR="00CB0683" w:rsidRDefault="00CB0683" w:rsidP="00CB0683">
            <w:pPr>
              <w:spacing w:after="0" w:line="240" w:lineRule="auto"/>
              <w:rPr>
                <w:rFonts w:ascii="Calibri" w:eastAsia="Times New Roman" w:hAnsi="Calibri" w:cs="Calibri"/>
                <w:color w:val="000000"/>
                <w:sz w:val="16"/>
                <w:szCs w:val="16"/>
                <w:lang w:eastAsia="en-GB"/>
              </w:rPr>
            </w:pPr>
          </w:p>
        </w:tc>
        <w:tc>
          <w:tcPr>
            <w:tcW w:w="2713" w:type="dxa"/>
            <w:tcBorders>
              <w:top w:val="nil"/>
              <w:left w:val="nil"/>
              <w:bottom w:val="single" w:sz="4" w:space="0" w:color="auto"/>
              <w:right w:val="single" w:sz="4" w:space="0" w:color="auto"/>
            </w:tcBorders>
            <w:hideMark/>
          </w:tcPr>
          <w:p w14:paraId="5F4AE0BD" w14:textId="77777777" w:rsidR="00CB0683" w:rsidRDefault="00CB0683" w:rsidP="00CB0683">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As for extent. </w:t>
            </w:r>
          </w:p>
        </w:tc>
        <w:tc>
          <w:tcPr>
            <w:tcW w:w="1360" w:type="dxa"/>
            <w:tcBorders>
              <w:top w:val="nil"/>
              <w:left w:val="nil"/>
              <w:bottom w:val="single" w:sz="4" w:space="0" w:color="auto"/>
              <w:right w:val="single" w:sz="4" w:space="0" w:color="auto"/>
            </w:tcBorders>
            <w:noWrap/>
            <w:hideMark/>
          </w:tcPr>
          <w:p w14:paraId="569CAD51" w14:textId="228AECD1" w:rsidR="00CB0683" w:rsidRDefault="00D54F54" w:rsidP="00CB0683">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As for extent - Declining (majority of feature)</w:t>
            </w:r>
          </w:p>
        </w:tc>
        <w:tc>
          <w:tcPr>
            <w:tcW w:w="87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53B1E387" w14:textId="3B7C53C1" w:rsidR="00CB0683" w:rsidRDefault="00D54F54" w:rsidP="00CB0683">
            <w:pPr>
              <w:spacing w:after="0" w:line="240" w:lineRule="auto"/>
              <w:jc w:val="center"/>
              <w:rPr>
                <w:rFonts w:ascii="Calibri" w:eastAsia="Times New Roman" w:hAnsi="Calibri" w:cs="Calibri"/>
                <w:b/>
                <w:bCs/>
                <w:color w:val="000000"/>
                <w:sz w:val="16"/>
                <w:szCs w:val="16"/>
                <w:lang w:eastAsia="en-GB"/>
              </w:rPr>
            </w:pPr>
            <w:r w:rsidRPr="00D54F54">
              <w:rPr>
                <w:rFonts w:ascii="Calibri" w:eastAsia="Times New Roman" w:hAnsi="Calibri" w:cs="Calibri"/>
                <w:b/>
                <w:bCs/>
                <w:color w:val="FFFFFF" w:themeColor="background1"/>
                <w:sz w:val="16"/>
                <w:szCs w:val="16"/>
                <w:lang w:eastAsia="en-GB"/>
              </w:rPr>
              <w:t>C</w:t>
            </w:r>
            <w:r w:rsidR="00CB0683" w:rsidRPr="00D54F54">
              <w:rPr>
                <w:rFonts w:ascii="Calibri" w:eastAsia="Times New Roman" w:hAnsi="Calibri" w:cs="Calibri"/>
                <w:b/>
                <w:bCs/>
                <w:color w:val="FFFFFF" w:themeColor="background1"/>
                <w:sz w:val="16"/>
                <w:szCs w:val="16"/>
                <w:lang w:eastAsia="en-GB"/>
              </w:rPr>
              <w:t xml:space="preserve">           (</w:t>
            </w:r>
            <w:r w:rsidRPr="00D54F54">
              <w:rPr>
                <w:rFonts w:ascii="Calibri" w:eastAsia="Times New Roman" w:hAnsi="Calibri" w:cs="Calibri"/>
                <w:b/>
                <w:bCs/>
                <w:color w:val="FFFFFF" w:themeColor="background1"/>
                <w:sz w:val="16"/>
                <w:szCs w:val="16"/>
                <w:lang w:eastAsia="en-GB"/>
              </w:rPr>
              <w:t>4</w:t>
            </w:r>
            <w:r w:rsidR="00CB0683" w:rsidRPr="00D54F54">
              <w:rPr>
                <w:rFonts w:ascii="Calibri" w:eastAsia="Times New Roman" w:hAnsi="Calibri" w:cs="Calibri"/>
                <w:b/>
                <w:bCs/>
                <w:color w:val="FFFFFF" w:themeColor="background1"/>
                <w:sz w:val="16"/>
                <w:szCs w:val="16"/>
                <w:lang w:eastAsia="en-GB"/>
              </w:rPr>
              <w:t>)</w:t>
            </w:r>
          </w:p>
        </w:tc>
      </w:tr>
      <w:tr w:rsidR="00CB0683" w14:paraId="7A1393E5" w14:textId="77777777" w:rsidTr="00500C88">
        <w:trPr>
          <w:trHeight w:val="300"/>
        </w:trPr>
        <w:tc>
          <w:tcPr>
            <w:tcW w:w="0" w:type="auto"/>
            <w:vMerge/>
            <w:tcBorders>
              <w:top w:val="nil"/>
              <w:left w:val="single" w:sz="8" w:space="0" w:color="auto"/>
              <w:bottom w:val="single" w:sz="8" w:space="0" w:color="000000"/>
              <w:right w:val="nil"/>
            </w:tcBorders>
            <w:vAlign w:val="center"/>
            <w:hideMark/>
          </w:tcPr>
          <w:p w14:paraId="471132E9" w14:textId="77777777" w:rsidR="00CB0683" w:rsidRDefault="00CB0683" w:rsidP="00CB0683">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DAFED1" w14:textId="77777777" w:rsidR="00CB0683" w:rsidRDefault="00CB0683" w:rsidP="00CB0683">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6E8086" w14:textId="77777777" w:rsidR="00CB0683" w:rsidRDefault="00CB0683" w:rsidP="00CB0683">
            <w:pPr>
              <w:spacing w:after="0"/>
              <w:rPr>
                <w:rFonts w:ascii="Calibri" w:eastAsia="Times New Roman" w:hAnsi="Calibri" w:cs="Calibri"/>
                <w:b/>
                <w:bCs/>
                <w:color w:val="000000"/>
                <w:sz w:val="16"/>
                <w:szCs w:val="16"/>
                <w:lang w:eastAsia="en-GB"/>
              </w:rPr>
            </w:pPr>
          </w:p>
        </w:tc>
        <w:tc>
          <w:tcPr>
            <w:tcW w:w="0" w:type="auto"/>
            <w:vMerge/>
            <w:tcBorders>
              <w:top w:val="nil"/>
              <w:left w:val="single" w:sz="4" w:space="0" w:color="auto"/>
              <w:bottom w:val="single" w:sz="4" w:space="0" w:color="auto"/>
              <w:right w:val="single" w:sz="4" w:space="0" w:color="auto"/>
            </w:tcBorders>
            <w:vAlign w:val="center"/>
            <w:hideMark/>
          </w:tcPr>
          <w:p w14:paraId="67458465" w14:textId="77777777" w:rsidR="00CB0683" w:rsidRDefault="00CB0683" w:rsidP="00CB0683">
            <w:pPr>
              <w:spacing w:after="0"/>
              <w:rPr>
                <w:rFonts w:ascii="Calibri" w:eastAsia="Times New Roman" w:hAnsi="Calibri" w:cs="Calibri"/>
                <w:color w:val="000000"/>
                <w:sz w:val="16"/>
                <w:szCs w:val="16"/>
                <w:lang w:eastAsia="en-GB"/>
              </w:rPr>
            </w:pPr>
          </w:p>
        </w:tc>
        <w:tc>
          <w:tcPr>
            <w:tcW w:w="6300" w:type="dxa"/>
            <w:gridSpan w:val="2"/>
            <w:tcBorders>
              <w:top w:val="single" w:sz="4" w:space="0" w:color="auto"/>
              <w:left w:val="nil"/>
              <w:bottom w:val="single" w:sz="4" w:space="0" w:color="auto"/>
              <w:right w:val="single" w:sz="4" w:space="0" w:color="auto"/>
            </w:tcBorders>
            <w:vAlign w:val="center"/>
            <w:hideMark/>
          </w:tcPr>
          <w:p w14:paraId="70F51039" w14:textId="66A7A69C" w:rsidR="00CB0683" w:rsidRDefault="008E59E5" w:rsidP="00CB0683">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w:t>
            </w:r>
          </w:p>
        </w:tc>
        <w:tc>
          <w:tcPr>
            <w:tcW w:w="1360" w:type="dxa"/>
            <w:tcBorders>
              <w:top w:val="nil"/>
              <w:left w:val="nil"/>
              <w:bottom w:val="single" w:sz="4" w:space="0" w:color="auto"/>
              <w:right w:val="single" w:sz="4" w:space="0" w:color="auto"/>
            </w:tcBorders>
            <w:vAlign w:val="center"/>
            <w:hideMark/>
          </w:tcPr>
          <w:p w14:paraId="047C4C61" w14:textId="13F1DA49" w:rsidR="00CB0683" w:rsidRDefault="008E59E5" w:rsidP="00CB0683">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w:t>
            </w:r>
          </w:p>
        </w:tc>
        <w:tc>
          <w:tcPr>
            <w:tcW w:w="870" w:type="dxa"/>
            <w:vMerge w:val="restart"/>
            <w:tcBorders>
              <w:top w:val="nil"/>
              <w:left w:val="single" w:sz="4" w:space="0" w:color="auto"/>
              <w:bottom w:val="single" w:sz="4" w:space="0" w:color="auto"/>
              <w:right w:val="single" w:sz="4" w:space="0" w:color="auto"/>
            </w:tcBorders>
            <w:vAlign w:val="center"/>
            <w:hideMark/>
          </w:tcPr>
          <w:p w14:paraId="2F8AC77B" w14:textId="77777777" w:rsidR="00CB0683" w:rsidRDefault="00CB0683" w:rsidP="00CB0683">
            <w:pPr>
              <w:rPr>
                <w:rFonts w:ascii="Calibri" w:eastAsia="Times New Roman" w:hAnsi="Calibri" w:cs="Calibri"/>
                <w:color w:val="000000"/>
                <w:sz w:val="16"/>
                <w:szCs w:val="16"/>
                <w:lang w:eastAsia="en-GB"/>
              </w:rPr>
            </w:pPr>
          </w:p>
        </w:tc>
      </w:tr>
      <w:tr w:rsidR="00CB0683" w14:paraId="3026218B" w14:textId="77777777" w:rsidTr="00500C88">
        <w:trPr>
          <w:trHeight w:val="315"/>
        </w:trPr>
        <w:tc>
          <w:tcPr>
            <w:tcW w:w="0" w:type="auto"/>
            <w:vMerge/>
            <w:tcBorders>
              <w:top w:val="nil"/>
              <w:left w:val="single" w:sz="8" w:space="0" w:color="auto"/>
              <w:bottom w:val="single" w:sz="8" w:space="0" w:color="000000"/>
              <w:right w:val="nil"/>
            </w:tcBorders>
            <w:vAlign w:val="center"/>
            <w:hideMark/>
          </w:tcPr>
          <w:p w14:paraId="5C1DACB4" w14:textId="77777777" w:rsidR="00CB0683" w:rsidRDefault="00CB0683" w:rsidP="00CB0683">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77609C" w14:textId="77777777" w:rsidR="00CB0683" w:rsidRDefault="00CB0683" w:rsidP="00CB0683">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C23E19" w14:textId="77777777" w:rsidR="00CB0683" w:rsidRDefault="00CB0683" w:rsidP="00CB0683">
            <w:pPr>
              <w:spacing w:after="0"/>
              <w:rPr>
                <w:rFonts w:ascii="Calibri" w:eastAsia="Times New Roman" w:hAnsi="Calibri" w:cs="Calibri"/>
                <w:b/>
                <w:bCs/>
                <w:color w:val="000000"/>
                <w:sz w:val="16"/>
                <w:szCs w:val="16"/>
                <w:lang w:eastAsia="en-GB"/>
              </w:rPr>
            </w:pPr>
          </w:p>
        </w:tc>
        <w:tc>
          <w:tcPr>
            <w:tcW w:w="0" w:type="auto"/>
            <w:vMerge/>
            <w:tcBorders>
              <w:top w:val="nil"/>
              <w:left w:val="single" w:sz="4" w:space="0" w:color="auto"/>
              <w:bottom w:val="single" w:sz="4" w:space="0" w:color="auto"/>
              <w:right w:val="single" w:sz="4" w:space="0" w:color="auto"/>
            </w:tcBorders>
            <w:vAlign w:val="center"/>
            <w:hideMark/>
          </w:tcPr>
          <w:p w14:paraId="7DD547FA" w14:textId="77777777" w:rsidR="00CB0683" w:rsidRDefault="00CB0683" w:rsidP="00CB0683">
            <w:pPr>
              <w:spacing w:after="0"/>
              <w:rPr>
                <w:rFonts w:ascii="Calibri" w:eastAsia="Times New Roman" w:hAnsi="Calibri" w:cs="Calibri"/>
                <w:color w:val="000000"/>
                <w:sz w:val="16"/>
                <w:szCs w:val="16"/>
                <w:lang w:eastAsia="en-GB"/>
              </w:rPr>
            </w:pPr>
          </w:p>
        </w:tc>
        <w:tc>
          <w:tcPr>
            <w:tcW w:w="6300" w:type="dxa"/>
            <w:gridSpan w:val="2"/>
            <w:tcBorders>
              <w:top w:val="single" w:sz="4" w:space="0" w:color="auto"/>
              <w:left w:val="nil"/>
              <w:bottom w:val="single" w:sz="4" w:space="0" w:color="auto"/>
              <w:right w:val="single" w:sz="4" w:space="0" w:color="auto"/>
            </w:tcBorders>
            <w:vAlign w:val="center"/>
            <w:hideMark/>
          </w:tcPr>
          <w:p w14:paraId="7A374E9B" w14:textId="553E21DD" w:rsidR="00CB0683" w:rsidRDefault="00CB0683" w:rsidP="00CB0683">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w:t>
            </w:r>
            <w:r w:rsidR="008E59E5">
              <w:rPr>
                <w:rFonts w:ascii="Calibri" w:eastAsia="Times New Roman" w:hAnsi="Calibri" w:cs="Calibri"/>
                <w:color w:val="000000"/>
                <w:sz w:val="16"/>
                <w:szCs w:val="16"/>
                <w:lang w:eastAsia="en-GB"/>
              </w:rPr>
              <w:t>2</w:t>
            </w:r>
            <w:r>
              <w:rPr>
                <w:rFonts w:ascii="Calibri" w:eastAsia="Times New Roman" w:hAnsi="Calibri" w:cs="Calibri"/>
                <w:color w:val="000000"/>
                <w:sz w:val="16"/>
                <w:szCs w:val="16"/>
                <w:lang w:eastAsia="en-GB"/>
              </w:rPr>
              <w:t>)</w:t>
            </w:r>
          </w:p>
        </w:tc>
        <w:tc>
          <w:tcPr>
            <w:tcW w:w="1360" w:type="dxa"/>
            <w:tcBorders>
              <w:top w:val="nil"/>
              <w:left w:val="nil"/>
              <w:bottom w:val="single" w:sz="4" w:space="0" w:color="auto"/>
              <w:right w:val="single" w:sz="4" w:space="0" w:color="auto"/>
            </w:tcBorders>
            <w:vAlign w:val="center"/>
            <w:hideMark/>
          </w:tcPr>
          <w:p w14:paraId="36CF9C33" w14:textId="3A042F6D" w:rsidR="00CB0683" w:rsidRDefault="00CB0683" w:rsidP="00CB0683">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w:t>
            </w:r>
            <w:r w:rsidR="008E59E5">
              <w:rPr>
                <w:rFonts w:ascii="Calibri" w:eastAsia="Times New Roman" w:hAnsi="Calibri" w:cs="Calibri"/>
                <w:color w:val="000000"/>
                <w:sz w:val="16"/>
                <w:szCs w:val="16"/>
                <w:lang w:eastAsia="en-GB"/>
              </w:rPr>
              <w:t>2</w:t>
            </w:r>
            <w:r>
              <w:rPr>
                <w:rFonts w:ascii="Calibri" w:eastAsia="Times New Roman" w:hAnsi="Calibri" w:cs="Calibri"/>
                <w:color w:val="000000"/>
                <w:sz w:val="16"/>
                <w:szCs w:val="16"/>
                <w:lang w:eastAsia="en-GB"/>
              </w:rPr>
              <w:t>)</w:t>
            </w:r>
          </w:p>
        </w:tc>
        <w:tc>
          <w:tcPr>
            <w:tcW w:w="0" w:type="auto"/>
            <w:vMerge/>
            <w:tcBorders>
              <w:top w:val="nil"/>
              <w:left w:val="single" w:sz="4" w:space="0" w:color="auto"/>
              <w:bottom w:val="single" w:sz="4" w:space="0" w:color="auto"/>
              <w:right w:val="single" w:sz="4" w:space="0" w:color="auto"/>
            </w:tcBorders>
            <w:vAlign w:val="center"/>
            <w:hideMark/>
          </w:tcPr>
          <w:p w14:paraId="55A82F29" w14:textId="77777777" w:rsidR="00CB0683" w:rsidRDefault="00CB0683" w:rsidP="00CB0683">
            <w:pPr>
              <w:spacing w:after="0"/>
              <w:rPr>
                <w:rFonts w:ascii="Calibri" w:eastAsia="Times New Roman" w:hAnsi="Calibri" w:cs="Calibri"/>
                <w:color w:val="000000"/>
                <w:sz w:val="16"/>
                <w:szCs w:val="16"/>
                <w:lang w:eastAsia="en-GB"/>
              </w:rPr>
            </w:pPr>
          </w:p>
        </w:tc>
      </w:tr>
    </w:tbl>
    <w:p w14:paraId="3780AA8B" w14:textId="77777777" w:rsidR="008E7806" w:rsidRDefault="008E7806" w:rsidP="008E7806"/>
    <w:p w14:paraId="08BD0ACB" w14:textId="77777777" w:rsidR="00357A28" w:rsidRDefault="00357A28">
      <w:pPr>
        <w:spacing w:line="259" w:lineRule="auto"/>
      </w:pPr>
    </w:p>
    <w:p w14:paraId="411A710C" w14:textId="77777777" w:rsidR="00357A28" w:rsidRDefault="00357A28">
      <w:pPr>
        <w:spacing w:line="259" w:lineRule="auto"/>
      </w:pPr>
    </w:p>
    <w:p w14:paraId="0C32349C" w14:textId="77777777" w:rsidR="00357A28" w:rsidRDefault="00357A28">
      <w:pPr>
        <w:spacing w:line="259" w:lineRule="auto"/>
      </w:pPr>
    </w:p>
    <w:p w14:paraId="446FDEE5" w14:textId="77777777" w:rsidR="00357A28" w:rsidRDefault="00357A28">
      <w:pPr>
        <w:spacing w:line="259" w:lineRule="auto"/>
      </w:pPr>
    </w:p>
    <w:p w14:paraId="71BDE106" w14:textId="77777777" w:rsidR="00357A28" w:rsidRDefault="00357A28">
      <w:pPr>
        <w:spacing w:line="259" w:lineRule="auto"/>
      </w:pPr>
    </w:p>
    <w:p w14:paraId="571DAAC9" w14:textId="77777777" w:rsidR="00357A28" w:rsidRDefault="00357A28">
      <w:pPr>
        <w:spacing w:line="259" w:lineRule="auto"/>
      </w:pPr>
    </w:p>
    <w:p w14:paraId="7DC53753" w14:textId="77777777" w:rsidR="00357A28" w:rsidRDefault="00357A28">
      <w:pPr>
        <w:spacing w:line="259" w:lineRule="auto"/>
      </w:pPr>
    </w:p>
    <w:p w14:paraId="343E0160" w14:textId="1819E33A" w:rsidR="00357A28" w:rsidRDefault="00357A28">
      <w:pPr>
        <w:spacing w:line="259" w:lineRule="auto"/>
      </w:pPr>
      <w:r>
        <w:br w:type="page"/>
      </w:r>
    </w:p>
    <w:tbl>
      <w:tblPr>
        <w:tblW w:w="13580" w:type="dxa"/>
        <w:tblLook w:val="04A0" w:firstRow="1" w:lastRow="0" w:firstColumn="1" w:lastColumn="0" w:noHBand="0" w:noVBand="1"/>
      </w:tblPr>
      <w:tblGrid>
        <w:gridCol w:w="1130"/>
        <w:gridCol w:w="973"/>
        <w:gridCol w:w="1402"/>
        <w:gridCol w:w="1545"/>
        <w:gridCol w:w="3587"/>
        <w:gridCol w:w="2713"/>
        <w:gridCol w:w="1360"/>
        <w:gridCol w:w="870"/>
      </w:tblGrid>
      <w:tr w:rsidR="00357A28" w14:paraId="7DA263DE" w14:textId="77777777" w:rsidTr="00E5098D">
        <w:trPr>
          <w:trHeight w:val="780"/>
          <w:tblHeader/>
        </w:trPr>
        <w:tc>
          <w:tcPr>
            <w:tcW w:w="1130" w:type="dxa"/>
            <w:tcBorders>
              <w:top w:val="single" w:sz="8" w:space="0" w:color="auto"/>
              <w:left w:val="single" w:sz="8" w:space="0" w:color="auto"/>
              <w:bottom w:val="single" w:sz="8" w:space="0" w:color="auto"/>
              <w:right w:val="single" w:sz="8" w:space="0" w:color="auto"/>
            </w:tcBorders>
            <w:hideMark/>
          </w:tcPr>
          <w:p w14:paraId="1E9C9D3A" w14:textId="77777777" w:rsidR="00357A28" w:rsidRDefault="00357A28"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lastRenderedPageBreak/>
              <w:t>Broad Habitat type</w:t>
            </w:r>
          </w:p>
        </w:tc>
        <w:tc>
          <w:tcPr>
            <w:tcW w:w="973" w:type="dxa"/>
            <w:tcBorders>
              <w:top w:val="single" w:sz="8" w:space="0" w:color="auto"/>
              <w:left w:val="nil"/>
              <w:bottom w:val="nil"/>
              <w:right w:val="single" w:sz="8" w:space="0" w:color="auto"/>
            </w:tcBorders>
            <w:hideMark/>
          </w:tcPr>
          <w:p w14:paraId="79488C0A" w14:textId="77777777" w:rsidR="00357A28" w:rsidRDefault="00357A28"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Habitat / Species Asset</w:t>
            </w:r>
          </w:p>
        </w:tc>
        <w:tc>
          <w:tcPr>
            <w:tcW w:w="1402" w:type="dxa"/>
            <w:tcBorders>
              <w:top w:val="single" w:sz="8" w:space="0" w:color="auto"/>
              <w:left w:val="nil"/>
              <w:bottom w:val="nil"/>
              <w:right w:val="single" w:sz="8" w:space="0" w:color="auto"/>
            </w:tcBorders>
            <w:hideMark/>
          </w:tcPr>
          <w:p w14:paraId="6F3150E5" w14:textId="77777777" w:rsidR="00357A28" w:rsidRDefault="00357A28"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Benefit</w:t>
            </w:r>
          </w:p>
        </w:tc>
        <w:tc>
          <w:tcPr>
            <w:tcW w:w="1545" w:type="dxa"/>
            <w:tcBorders>
              <w:top w:val="single" w:sz="8" w:space="0" w:color="auto"/>
              <w:left w:val="nil"/>
              <w:bottom w:val="nil"/>
              <w:right w:val="single" w:sz="8" w:space="0" w:color="auto"/>
            </w:tcBorders>
            <w:noWrap/>
            <w:hideMark/>
          </w:tcPr>
          <w:p w14:paraId="51F9455F" w14:textId="77777777" w:rsidR="00357A28" w:rsidRDefault="00357A28"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Characteristic</w:t>
            </w:r>
          </w:p>
        </w:tc>
        <w:tc>
          <w:tcPr>
            <w:tcW w:w="3587" w:type="dxa"/>
            <w:tcBorders>
              <w:top w:val="single" w:sz="8" w:space="0" w:color="auto"/>
              <w:left w:val="nil"/>
              <w:bottom w:val="nil"/>
              <w:right w:val="single" w:sz="8" w:space="0" w:color="auto"/>
            </w:tcBorders>
            <w:noWrap/>
            <w:hideMark/>
          </w:tcPr>
          <w:p w14:paraId="62E721CE" w14:textId="77777777" w:rsidR="00357A28" w:rsidRDefault="00357A28"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Current Status</w:t>
            </w:r>
          </w:p>
        </w:tc>
        <w:tc>
          <w:tcPr>
            <w:tcW w:w="2713" w:type="dxa"/>
            <w:tcBorders>
              <w:top w:val="single" w:sz="8" w:space="0" w:color="auto"/>
              <w:left w:val="nil"/>
              <w:bottom w:val="nil"/>
              <w:right w:val="single" w:sz="8" w:space="0" w:color="auto"/>
            </w:tcBorders>
            <w:noWrap/>
            <w:hideMark/>
          </w:tcPr>
          <w:p w14:paraId="5808C2F0" w14:textId="77777777" w:rsidR="00357A28" w:rsidRDefault="00357A28"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Target</w:t>
            </w:r>
          </w:p>
        </w:tc>
        <w:tc>
          <w:tcPr>
            <w:tcW w:w="1360" w:type="dxa"/>
            <w:tcBorders>
              <w:top w:val="single" w:sz="8" w:space="0" w:color="auto"/>
              <w:left w:val="nil"/>
              <w:bottom w:val="nil"/>
              <w:right w:val="single" w:sz="8" w:space="0" w:color="auto"/>
            </w:tcBorders>
            <w:noWrap/>
            <w:hideMark/>
          </w:tcPr>
          <w:p w14:paraId="632B48A1" w14:textId="77777777" w:rsidR="00357A28" w:rsidRDefault="00357A28"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Trend</w:t>
            </w:r>
          </w:p>
        </w:tc>
        <w:tc>
          <w:tcPr>
            <w:tcW w:w="870" w:type="dxa"/>
            <w:tcBorders>
              <w:top w:val="single" w:sz="8" w:space="0" w:color="auto"/>
              <w:left w:val="nil"/>
              <w:bottom w:val="single" w:sz="4" w:space="0" w:color="auto"/>
              <w:right w:val="single" w:sz="8" w:space="0" w:color="auto"/>
            </w:tcBorders>
            <w:noWrap/>
            <w:hideMark/>
          </w:tcPr>
          <w:p w14:paraId="0E8E215B" w14:textId="77777777" w:rsidR="00357A28" w:rsidRDefault="00357A28"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RAG</w:t>
            </w:r>
          </w:p>
        </w:tc>
      </w:tr>
      <w:tr w:rsidR="00357A28" w14:paraId="16F00DD8" w14:textId="77777777" w:rsidTr="00E5098D">
        <w:trPr>
          <w:trHeight w:val="2019"/>
        </w:trPr>
        <w:tc>
          <w:tcPr>
            <w:tcW w:w="1130" w:type="dxa"/>
            <w:vMerge w:val="restart"/>
            <w:tcBorders>
              <w:top w:val="nil"/>
              <w:left w:val="single" w:sz="8" w:space="0" w:color="auto"/>
              <w:bottom w:val="single" w:sz="8" w:space="0" w:color="000000"/>
              <w:right w:val="nil"/>
            </w:tcBorders>
            <w:shd w:val="clear" w:color="auto" w:fill="F2F2F2"/>
            <w:noWrap/>
            <w:hideMark/>
          </w:tcPr>
          <w:p w14:paraId="59DE243F" w14:textId="77777777" w:rsidR="00357A28" w:rsidRDefault="00357A28"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Coastal Margin</w:t>
            </w:r>
          </w:p>
        </w:tc>
        <w:tc>
          <w:tcPr>
            <w:tcW w:w="973" w:type="dxa"/>
            <w:vMerge w:val="restart"/>
            <w:tcBorders>
              <w:top w:val="single" w:sz="4" w:space="0" w:color="auto"/>
              <w:left w:val="single" w:sz="4" w:space="0" w:color="auto"/>
              <w:bottom w:val="single" w:sz="4" w:space="0" w:color="auto"/>
              <w:right w:val="single" w:sz="4" w:space="0" w:color="auto"/>
            </w:tcBorders>
            <w:hideMark/>
          </w:tcPr>
          <w:p w14:paraId="3A21749B" w14:textId="520D1BBF" w:rsidR="00357A28" w:rsidRDefault="00357A28"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Subtidal Seagrass </w:t>
            </w:r>
            <w:r w:rsidR="005664BD">
              <w:rPr>
                <w:rFonts w:ascii="Calibri" w:eastAsia="Times New Roman" w:hAnsi="Calibri" w:cs="Calibri"/>
                <w:color w:val="000000"/>
                <w:sz w:val="16"/>
                <w:szCs w:val="16"/>
                <w:lang w:eastAsia="en-GB"/>
              </w:rPr>
              <w:t>– Firestone Bay</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3083317B" w14:textId="77777777" w:rsidR="00357A28" w:rsidRDefault="00357A28"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 Food (Wild Food - fish and shellfish).    </w:t>
            </w:r>
          </w:p>
          <w:p w14:paraId="340E06FD" w14:textId="77777777" w:rsidR="00357A28" w:rsidRDefault="00357A28" w:rsidP="00500C88">
            <w:pPr>
              <w:spacing w:after="0" w:line="240" w:lineRule="auto"/>
              <w:ind w:hanging="52"/>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Healthy climate (carbon sequestration).         • Sea defence. (</w:t>
            </w:r>
            <w:proofErr w:type="gramStart"/>
            <w:r>
              <w:rPr>
                <w:rFonts w:ascii="Calibri" w:eastAsia="Times New Roman" w:hAnsi="Calibri" w:cs="Calibri"/>
                <w:b/>
                <w:bCs/>
                <w:color w:val="000000"/>
                <w:sz w:val="16"/>
                <w:szCs w:val="16"/>
                <w:lang w:eastAsia="en-GB"/>
              </w:rPr>
              <w:t>natural</w:t>
            </w:r>
            <w:proofErr w:type="gramEnd"/>
            <w:r>
              <w:rPr>
                <w:rFonts w:ascii="Calibri" w:eastAsia="Times New Roman" w:hAnsi="Calibri" w:cs="Calibri"/>
                <w:b/>
                <w:bCs/>
                <w:color w:val="000000"/>
                <w:sz w:val="16"/>
                <w:szCs w:val="16"/>
                <w:lang w:eastAsia="en-GB"/>
              </w:rPr>
              <w:t xml:space="preserve"> hazard regulation).               • Tourism/nature watching.                  • Clean water and sediments.</w:t>
            </w:r>
          </w:p>
        </w:tc>
        <w:tc>
          <w:tcPr>
            <w:tcW w:w="1545" w:type="dxa"/>
            <w:vMerge w:val="restart"/>
            <w:tcBorders>
              <w:top w:val="single" w:sz="4" w:space="0" w:color="auto"/>
              <w:left w:val="single" w:sz="4" w:space="0" w:color="auto"/>
              <w:bottom w:val="single" w:sz="4" w:space="0" w:color="auto"/>
              <w:right w:val="single" w:sz="4" w:space="0" w:color="auto"/>
            </w:tcBorders>
            <w:noWrap/>
            <w:hideMark/>
          </w:tcPr>
          <w:p w14:paraId="192EE072" w14:textId="77777777" w:rsidR="00357A28" w:rsidRDefault="00357A28"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Quantity/Extent</w:t>
            </w:r>
          </w:p>
        </w:tc>
        <w:tc>
          <w:tcPr>
            <w:tcW w:w="3587" w:type="dxa"/>
            <w:tcBorders>
              <w:top w:val="single" w:sz="4" w:space="0" w:color="auto"/>
              <w:left w:val="nil"/>
              <w:bottom w:val="single" w:sz="4" w:space="0" w:color="auto"/>
              <w:right w:val="single" w:sz="4" w:space="0" w:color="auto"/>
            </w:tcBorders>
            <w:hideMark/>
          </w:tcPr>
          <w:p w14:paraId="3665224C" w14:textId="467A193B" w:rsidR="00357A28" w:rsidRPr="00D81799" w:rsidRDefault="00357A28" w:rsidP="00500C88">
            <w:pPr>
              <w:spacing w:after="0" w:line="240" w:lineRule="auto"/>
              <w:rPr>
                <w:rFonts w:ascii="Calibri" w:eastAsia="Times New Roman" w:hAnsi="Calibri" w:cs="Calibri"/>
                <w:color w:val="000000"/>
                <w:sz w:val="16"/>
                <w:szCs w:val="16"/>
                <w:lang w:eastAsia="en-GB"/>
              </w:rPr>
            </w:pPr>
            <w:r w:rsidRPr="00BA66F3">
              <w:rPr>
                <w:rFonts w:ascii="Calibri" w:eastAsia="Times New Roman" w:hAnsi="Calibri" w:cs="Calibri"/>
                <w:b/>
                <w:bCs/>
                <w:color w:val="000000"/>
                <w:sz w:val="16"/>
                <w:szCs w:val="16"/>
                <w:lang w:eastAsia="en-GB"/>
              </w:rPr>
              <w:t>Composite mapping</w:t>
            </w:r>
            <w:r>
              <w:rPr>
                <w:rFonts w:ascii="Calibri" w:eastAsia="Times New Roman" w:hAnsi="Calibri" w:cs="Calibri"/>
                <w:color w:val="000000"/>
                <w:sz w:val="16"/>
                <w:szCs w:val="16"/>
                <w:lang w:eastAsia="en-GB"/>
              </w:rPr>
              <w:t xml:space="preserve">: </w:t>
            </w:r>
            <w:r w:rsidR="00D81799" w:rsidRPr="00D81799">
              <w:rPr>
                <w:rFonts w:ascii="Calibri" w:eastAsia="Times New Roman" w:hAnsi="Calibri" w:cs="Calibri"/>
                <w:color w:val="000000"/>
                <w:sz w:val="16"/>
                <w:szCs w:val="16"/>
                <w:lang w:eastAsia="en-GB"/>
              </w:rPr>
              <w:t>seagrass bed at Firestone Bay to have an area of 0.076 Km</w:t>
            </w:r>
            <w:r w:rsidR="00D81799" w:rsidRPr="00D81799">
              <w:rPr>
                <w:rFonts w:ascii="Calibri" w:eastAsia="Times New Roman" w:hAnsi="Calibri" w:cs="Calibri"/>
                <w:color w:val="000000"/>
                <w:sz w:val="16"/>
                <w:szCs w:val="16"/>
                <w:vertAlign w:val="superscript"/>
                <w:lang w:eastAsia="en-GB"/>
              </w:rPr>
              <w:t>2</w:t>
            </w:r>
            <w:r w:rsidR="00D81799">
              <w:rPr>
                <w:rFonts w:ascii="Calibri" w:eastAsia="Times New Roman" w:hAnsi="Calibri" w:cs="Calibri"/>
                <w:color w:val="000000"/>
                <w:sz w:val="16"/>
                <w:szCs w:val="16"/>
                <w:lang w:eastAsia="en-GB"/>
              </w:rPr>
              <w:t>.</w:t>
            </w:r>
          </w:p>
          <w:p w14:paraId="60E18FE1" w14:textId="77777777" w:rsidR="00357A28" w:rsidRDefault="00357A28" w:rsidP="00500C88">
            <w:pPr>
              <w:spacing w:after="0" w:line="240" w:lineRule="auto"/>
              <w:rPr>
                <w:rFonts w:ascii="Calibri" w:eastAsia="Times New Roman" w:hAnsi="Calibri" w:cs="Calibri"/>
                <w:color w:val="000000"/>
                <w:sz w:val="16"/>
                <w:szCs w:val="16"/>
                <w:lang w:eastAsia="en-GB"/>
              </w:rPr>
            </w:pPr>
          </w:p>
          <w:p w14:paraId="48599583" w14:textId="7AF1CB57" w:rsidR="00357A28" w:rsidRDefault="00357A28" w:rsidP="00500C88">
            <w:pPr>
              <w:spacing w:after="0" w:line="240" w:lineRule="auto"/>
              <w:rPr>
                <w:rFonts w:ascii="Calibri" w:eastAsia="Times New Roman" w:hAnsi="Calibri" w:cs="Calibri"/>
                <w:color w:val="000000"/>
                <w:sz w:val="16"/>
                <w:szCs w:val="16"/>
                <w:lang w:eastAsia="en-GB"/>
              </w:rPr>
            </w:pPr>
            <w:r w:rsidRPr="009D42EA">
              <w:rPr>
                <w:rFonts w:ascii="Calibri" w:eastAsia="Times New Roman" w:hAnsi="Calibri" w:cs="Calibri"/>
                <w:b/>
                <w:bCs/>
                <w:color w:val="000000"/>
                <w:sz w:val="16"/>
                <w:szCs w:val="16"/>
                <w:lang w:eastAsia="en-GB"/>
              </w:rPr>
              <w:t>NE Package:</w:t>
            </w:r>
            <w:r>
              <w:rPr>
                <w:rFonts w:ascii="Calibri" w:eastAsia="Times New Roman" w:hAnsi="Calibri" w:cs="Calibri"/>
                <w:b/>
                <w:bCs/>
                <w:color w:val="000000"/>
                <w:sz w:val="16"/>
                <w:szCs w:val="16"/>
                <w:lang w:eastAsia="en-GB"/>
              </w:rPr>
              <w:t xml:space="preserve"> </w:t>
            </w:r>
            <w:r w:rsidR="00FC79B0" w:rsidRPr="00FC79B0">
              <w:rPr>
                <w:rFonts w:ascii="Calibri" w:eastAsia="Times New Roman" w:hAnsi="Calibri" w:cs="Calibri"/>
                <w:color w:val="000000"/>
                <w:sz w:val="16"/>
                <w:szCs w:val="16"/>
                <w:lang w:eastAsia="en-GB"/>
              </w:rPr>
              <w:t>The Bunker et al (2019) report estimated a decrease in seagrass area from 7,607 m</w:t>
            </w:r>
            <w:r w:rsidR="00FC79B0" w:rsidRPr="00D537A0">
              <w:rPr>
                <w:rFonts w:ascii="Calibri" w:eastAsia="Times New Roman" w:hAnsi="Calibri" w:cs="Calibri"/>
                <w:color w:val="000000"/>
                <w:sz w:val="16"/>
                <w:szCs w:val="16"/>
                <w:vertAlign w:val="superscript"/>
                <w:lang w:eastAsia="en-GB"/>
              </w:rPr>
              <w:t>2</w:t>
            </w:r>
            <w:r w:rsidR="00FC79B0" w:rsidRPr="00FC79B0">
              <w:rPr>
                <w:rFonts w:ascii="Calibri" w:eastAsia="Times New Roman" w:hAnsi="Calibri" w:cs="Calibri"/>
                <w:color w:val="000000"/>
                <w:sz w:val="16"/>
                <w:szCs w:val="16"/>
                <w:lang w:eastAsia="en-GB"/>
              </w:rPr>
              <w:t xml:space="preserve"> to 3,149 m</w:t>
            </w:r>
            <w:r w:rsidR="00FC79B0" w:rsidRPr="00D537A0">
              <w:rPr>
                <w:rFonts w:ascii="Calibri" w:eastAsia="Times New Roman" w:hAnsi="Calibri" w:cs="Calibri"/>
                <w:color w:val="000000"/>
                <w:sz w:val="16"/>
                <w:szCs w:val="16"/>
                <w:vertAlign w:val="superscript"/>
                <w:lang w:eastAsia="en-GB"/>
              </w:rPr>
              <w:t>2</w:t>
            </w:r>
            <w:r w:rsidR="00FC79B0" w:rsidRPr="00FC79B0">
              <w:rPr>
                <w:rFonts w:ascii="Calibri" w:eastAsia="Times New Roman" w:hAnsi="Calibri" w:cs="Calibri"/>
                <w:color w:val="000000"/>
                <w:sz w:val="16"/>
                <w:szCs w:val="16"/>
                <w:lang w:eastAsia="en-GB"/>
              </w:rPr>
              <w:t xml:space="preserve"> between 2012 and 2018 at Firestone Bay. Equivalent to an 59% decrease in area. </w:t>
            </w:r>
            <w:r>
              <w:rPr>
                <w:rFonts w:ascii="Calibri" w:eastAsia="Times New Roman" w:hAnsi="Calibri" w:cs="Calibri"/>
                <w:color w:val="000000"/>
                <w:sz w:val="16"/>
                <w:szCs w:val="16"/>
                <w:lang w:eastAsia="en-GB"/>
              </w:rPr>
              <w:fldChar w:fldCharType="begin" w:fldLock="1"/>
            </w:r>
            <w:r>
              <w:rPr>
                <w:rFonts w:ascii="Calibri" w:eastAsia="Times New Roman" w:hAnsi="Calibri" w:cs="Calibri"/>
                <w:color w:val="000000"/>
                <w:sz w:val="16"/>
                <w:szCs w:val="16"/>
                <w:lang w:eastAsia="en-GB"/>
              </w:rPr>
              <w:instrText>ADDIN CSL_CITATION {"citationItems":[{"id":"ITEM-1","itemData":{"URL":"https://designatedsites.naturalengland.org.uk/Marine/MarineSiteDetail.aspx?SiteCode=UK0013111&amp;SiteName=plymouth&amp;countyCode=&amp;responsiblePerson=&amp;SeaArea=&amp;IFCAArea=&amp;HasCA=1&amp;NumMarineSeasonality=4&amp;SiteNameDisplay=Plymouth Sound and Estuaries SAC","author":[{"dropping-particle":"","family":"Natural England","given":"","non-dropping-particle":"","parse-names":false,"suffix":""}],"id":"ITEM-1","issued":{"date-parts":[["2023"]]},"title":"Natural England Conservation Advice for Marine Protected Areas Plymouth Sound and Estuaries SAC","type":"webpage"},"uris":["http://www.mendeley.com/documents/?uuid=4eec2dc4-8616-4fe0-9714-876dc3c4513b"]}],"mendeley":{"formattedCitation":"(Natural England, 2023)","plainTextFormattedCitation":"(Natural England, 2023)","previouslyFormattedCitation":"(Natural England, 2023)"},"properties":{"noteIndex":0},"schema":"https://github.com/citation-style-language/schema/raw/master/csl-citation.json"}</w:instrText>
            </w:r>
            <w:r>
              <w:rPr>
                <w:rFonts w:ascii="Calibri" w:eastAsia="Times New Roman" w:hAnsi="Calibri" w:cs="Calibri"/>
                <w:color w:val="000000"/>
                <w:sz w:val="16"/>
                <w:szCs w:val="16"/>
                <w:lang w:eastAsia="en-GB"/>
              </w:rPr>
              <w:fldChar w:fldCharType="separate"/>
            </w:r>
            <w:r w:rsidRPr="00C93BA3">
              <w:rPr>
                <w:rFonts w:ascii="Calibri" w:eastAsia="Times New Roman" w:hAnsi="Calibri" w:cs="Calibri"/>
                <w:noProof/>
                <w:color w:val="000000"/>
                <w:sz w:val="16"/>
                <w:szCs w:val="16"/>
                <w:lang w:eastAsia="en-GB"/>
              </w:rPr>
              <w:t>(Natural England, 2023)</w:t>
            </w:r>
            <w:r>
              <w:rPr>
                <w:rFonts w:ascii="Calibri" w:eastAsia="Times New Roman" w:hAnsi="Calibri" w:cs="Calibri"/>
                <w:color w:val="000000"/>
                <w:sz w:val="16"/>
                <w:szCs w:val="16"/>
                <w:lang w:eastAsia="en-GB"/>
              </w:rPr>
              <w:fldChar w:fldCharType="end"/>
            </w:r>
            <w:r>
              <w:rPr>
                <w:rFonts w:ascii="Calibri" w:eastAsia="Times New Roman" w:hAnsi="Calibri" w:cs="Calibri"/>
                <w:color w:val="000000"/>
                <w:sz w:val="16"/>
                <w:szCs w:val="16"/>
                <w:lang w:eastAsia="en-GB"/>
              </w:rPr>
              <w:t xml:space="preserve">. </w:t>
            </w:r>
          </w:p>
          <w:p w14:paraId="2FC99636" w14:textId="77777777" w:rsidR="00357A28" w:rsidRDefault="00357A28" w:rsidP="00500C88">
            <w:pPr>
              <w:spacing w:after="0" w:line="240" w:lineRule="auto"/>
              <w:rPr>
                <w:rFonts w:ascii="Calibri" w:eastAsia="Times New Roman" w:hAnsi="Calibri" w:cs="Calibri"/>
                <w:b/>
                <w:bCs/>
                <w:color w:val="000000"/>
                <w:sz w:val="16"/>
                <w:szCs w:val="16"/>
                <w:lang w:eastAsia="en-GB"/>
              </w:rPr>
            </w:pPr>
          </w:p>
          <w:p w14:paraId="4EDB4051" w14:textId="77777777" w:rsidR="00357A28" w:rsidRDefault="00357A28" w:rsidP="00500C88">
            <w:pPr>
              <w:spacing w:after="0" w:line="240" w:lineRule="auto"/>
              <w:rPr>
                <w:rFonts w:ascii="Calibri" w:eastAsia="Times New Roman" w:hAnsi="Calibri" w:cs="Calibri"/>
                <w:b/>
                <w:bCs/>
                <w:color w:val="000000"/>
                <w:sz w:val="16"/>
                <w:szCs w:val="16"/>
                <w:lang w:eastAsia="en-GB"/>
              </w:rPr>
            </w:pPr>
          </w:p>
          <w:p w14:paraId="4C3F38EB" w14:textId="77777777" w:rsidR="00357A28" w:rsidRPr="009D42EA" w:rsidRDefault="00357A28" w:rsidP="00500C88">
            <w:pPr>
              <w:spacing w:after="0" w:line="240" w:lineRule="auto"/>
              <w:rPr>
                <w:rFonts w:ascii="Calibri" w:eastAsia="Times New Roman" w:hAnsi="Calibri" w:cs="Calibri"/>
                <w:b/>
                <w:bCs/>
                <w:color w:val="000000"/>
                <w:sz w:val="16"/>
                <w:szCs w:val="16"/>
                <w:lang w:eastAsia="en-GB"/>
              </w:rPr>
            </w:pPr>
          </w:p>
        </w:tc>
        <w:tc>
          <w:tcPr>
            <w:tcW w:w="2713" w:type="dxa"/>
            <w:tcBorders>
              <w:top w:val="single" w:sz="4" w:space="0" w:color="auto"/>
              <w:left w:val="nil"/>
              <w:bottom w:val="single" w:sz="4" w:space="0" w:color="auto"/>
              <w:right w:val="single" w:sz="4" w:space="0" w:color="auto"/>
            </w:tcBorders>
            <w:hideMark/>
          </w:tcPr>
          <w:p w14:paraId="5792A80C" w14:textId="77777777" w:rsidR="00357A28" w:rsidRDefault="00243A27" w:rsidP="00243A27">
            <w:pP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MSFD: As above.</w:t>
            </w:r>
          </w:p>
          <w:p w14:paraId="2AE81E96" w14:textId="771CF7F6" w:rsidR="00243A27" w:rsidRPr="004B486F" w:rsidRDefault="00243A27" w:rsidP="00243A27">
            <w:pP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UK Marine Strategy: As above. </w:t>
            </w:r>
          </w:p>
        </w:tc>
        <w:tc>
          <w:tcPr>
            <w:tcW w:w="1360" w:type="dxa"/>
            <w:tcBorders>
              <w:top w:val="single" w:sz="4" w:space="0" w:color="auto"/>
              <w:left w:val="nil"/>
              <w:bottom w:val="single" w:sz="4" w:space="0" w:color="auto"/>
              <w:right w:val="single" w:sz="4" w:space="0" w:color="auto"/>
            </w:tcBorders>
            <w:hideMark/>
          </w:tcPr>
          <w:p w14:paraId="79845FF0" w14:textId="77777777" w:rsidR="00357A28" w:rsidRDefault="00357A28"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Declining </w:t>
            </w:r>
          </w:p>
          <w:p w14:paraId="429E66F0" w14:textId="77777777" w:rsidR="00992477" w:rsidRDefault="00992477" w:rsidP="00500C88">
            <w:pPr>
              <w:spacing w:after="0" w:line="240" w:lineRule="auto"/>
              <w:rPr>
                <w:rFonts w:ascii="Calibri" w:eastAsia="Times New Roman" w:hAnsi="Calibri" w:cs="Calibri"/>
                <w:color w:val="000000"/>
                <w:sz w:val="16"/>
                <w:szCs w:val="16"/>
                <w:lang w:eastAsia="en-GB"/>
              </w:rPr>
            </w:pPr>
          </w:p>
          <w:p w14:paraId="25EA3144" w14:textId="5154B2F6" w:rsidR="00992477" w:rsidRDefault="00992477" w:rsidP="00500C88">
            <w:pPr>
              <w:spacing w:after="0" w:line="240" w:lineRule="auto"/>
              <w:rPr>
                <w:rFonts w:ascii="Calibri" w:eastAsia="Times New Roman" w:hAnsi="Calibri" w:cs="Calibri"/>
                <w:color w:val="000000"/>
                <w:sz w:val="16"/>
                <w:szCs w:val="16"/>
                <w:lang w:eastAsia="en-GB"/>
              </w:rPr>
            </w:pPr>
            <w:r w:rsidRPr="00992477">
              <w:rPr>
                <w:rFonts w:ascii="Calibri" w:eastAsia="Times New Roman" w:hAnsi="Calibri" w:cs="Calibri"/>
                <w:color w:val="000000"/>
                <w:sz w:val="16"/>
                <w:szCs w:val="16"/>
                <w:lang w:eastAsia="en-GB"/>
              </w:rPr>
              <w:t>Bunker et al. (2019) report suggests an 59% decrease in seagrass area between 2012 and 2018.</w:t>
            </w:r>
          </w:p>
        </w:tc>
        <w:tc>
          <w:tcPr>
            <w:tcW w:w="870" w:type="dxa"/>
            <w:tcBorders>
              <w:top w:val="single" w:sz="4" w:space="0" w:color="auto"/>
              <w:left w:val="single" w:sz="4" w:space="0" w:color="auto"/>
              <w:bottom w:val="single" w:sz="4" w:space="0" w:color="auto"/>
              <w:right w:val="single" w:sz="4" w:space="0" w:color="auto"/>
            </w:tcBorders>
            <w:shd w:val="clear" w:color="auto" w:fill="FFA3A3"/>
            <w:vAlign w:val="center"/>
            <w:hideMark/>
          </w:tcPr>
          <w:p w14:paraId="2470D034" w14:textId="77777777" w:rsidR="00357A28" w:rsidRDefault="00357A28" w:rsidP="00500C88">
            <w:pPr>
              <w:spacing w:after="0" w:line="240" w:lineRule="auto"/>
              <w:jc w:val="center"/>
              <w:rPr>
                <w:rFonts w:ascii="Calibri" w:eastAsia="Times New Roman" w:hAnsi="Calibri" w:cs="Calibri"/>
                <w:b/>
                <w:bCs/>
                <w:color w:val="000000"/>
                <w:sz w:val="16"/>
                <w:szCs w:val="16"/>
                <w:lang w:eastAsia="en-GB"/>
              </w:rPr>
            </w:pPr>
            <w:r w:rsidRPr="007C0E0B">
              <w:rPr>
                <w:rFonts w:ascii="Calibri" w:eastAsia="Times New Roman" w:hAnsi="Calibri" w:cs="Calibri"/>
                <w:b/>
                <w:bCs/>
                <w:sz w:val="16"/>
                <w:szCs w:val="16"/>
                <w:lang w:eastAsia="en-GB"/>
              </w:rPr>
              <w:t xml:space="preserve">C         </w:t>
            </w:r>
            <w:proofErr w:type="gramStart"/>
            <w:r w:rsidRPr="007C0E0B">
              <w:rPr>
                <w:rFonts w:ascii="Calibri" w:eastAsia="Times New Roman" w:hAnsi="Calibri" w:cs="Calibri"/>
                <w:b/>
                <w:bCs/>
                <w:sz w:val="16"/>
                <w:szCs w:val="16"/>
                <w:lang w:eastAsia="en-GB"/>
              </w:rPr>
              <w:t xml:space="preserve">   (</w:t>
            </w:r>
            <w:proofErr w:type="gramEnd"/>
            <w:r w:rsidRPr="007C0E0B">
              <w:rPr>
                <w:rFonts w:ascii="Calibri" w:eastAsia="Times New Roman" w:hAnsi="Calibri" w:cs="Calibri"/>
                <w:b/>
                <w:bCs/>
                <w:sz w:val="16"/>
                <w:szCs w:val="16"/>
                <w:lang w:eastAsia="en-GB"/>
              </w:rPr>
              <w:t>4)</w:t>
            </w:r>
          </w:p>
        </w:tc>
      </w:tr>
      <w:tr w:rsidR="00357A28" w14:paraId="1D46D509" w14:textId="77777777" w:rsidTr="00500C88">
        <w:trPr>
          <w:trHeight w:val="300"/>
        </w:trPr>
        <w:tc>
          <w:tcPr>
            <w:tcW w:w="0" w:type="auto"/>
            <w:vMerge/>
            <w:tcBorders>
              <w:top w:val="nil"/>
              <w:left w:val="single" w:sz="8" w:space="0" w:color="auto"/>
              <w:bottom w:val="single" w:sz="8" w:space="0" w:color="000000"/>
              <w:right w:val="nil"/>
            </w:tcBorders>
            <w:vAlign w:val="center"/>
            <w:hideMark/>
          </w:tcPr>
          <w:p w14:paraId="124FDEBB" w14:textId="77777777" w:rsidR="00357A28" w:rsidRDefault="00357A28"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205572" w14:textId="77777777" w:rsidR="00357A28" w:rsidRDefault="00357A28"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7AC203" w14:textId="77777777" w:rsidR="00357A28" w:rsidRDefault="00357A28" w:rsidP="00500C88">
            <w:pPr>
              <w:spacing w:after="0"/>
              <w:rPr>
                <w:rFonts w:ascii="Calibri" w:eastAsia="Times New Roman" w:hAnsi="Calibri" w:cs="Calibri"/>
                <w:b/>
                <w:bCs/>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71F7DC" w14:textId="77777777" w:rsidR="00357A28" w:rsidRDefault="00357A28" w:rsidP="00500C88">
            <w:pPr>
              <w:spacing w:after="0"/>
              <w:rPr>
                <w:rFonts w:ascii="Calibri" w:eastAsia="Times New Roman" w:hAnsi="Calibri" w:cs="Calibri"/>
                <w:color w:val="000000"/>
                <w:sz w:val="16"/>
                <w:szCs w:val="16"/>
                <w:lang w:eastAsia="en-GB"/>
              </w:rPr>
            </w:pPr>
          </w:p>
        </w:tc>
        <w:tc>
          <w:tcPr>
            <w:tcW w:w="6300" w:type="dxa"/>
            <w:gridSpan w:val="2"/>
            <w:tcBorders>
              <w:top w:val="single" w:sz="4" w:space="0" w:color="auto"/>
              <w:left w:val="nil"/>
              <w:bottom w:val="single" w:sz="4" w:space="0" w:color="auto"/>
              <w:right w:val="single" w:sz="4" w:space="0" w:color="auto"/>
            </w:tcBorders>
            <w:vAlign w:val="center"/>
            <w:hideMark/>
          </w:tcPr>
          <w:p w14:paraId="0B3E75B0" w14:textId="77777777" w:rsidR="00357A28" w:rsidRDefault="00357A28"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 – last condition assessment 2018</w:t>
            </w:r>
          </w:p>
        </w:tc>
        <w:tc>
          <w:tcPr>
            <w:tcW w:w="1360" w:type="dxa"/>
            <w:tcBorders>
              <w:top w:val="nil"/>
              <w:left w:val="nil"/>
              <w:bottom w:val="single" w:sz="4" w:space="0" w:color="auto"/>
              <w:right w:val="single" w:sz="4" w:space="0" w:color="auto"/>
            </w:tcBorders>
            <w:vAlign w:val="center"/>
            <w:hideMark/>
          </w:tcPr>
          <w:p w14:paraId="76358E57" w14:textId="77777777" w:rsidR="00357A28" w:rsidRDefault="00357A28"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7FA2A2A7" w14:textId="77777777" w:rsidR="00357A28" w:rsidRDefault="00357A28" w:rsidP="00500C88">
            <w:pPr>
              <w:rPr>
                <w:rFonts w:ascii="Calibri" w:eastAsia="Times New Roman" w:hAnsi="Calibri" w:cs="Calibri"/>
                <w:color w:val="000000"/>
                <w:sz w:val="16"/>
                <w:szCs w:val="16"/>
                <w:lang w:eastAsia="en-GB"/>
              </w:rPr>
            </w:pPr>
          </w:p>
        </w:tc>
      </w:tr>
      <w:tr w:rsidR="00A80804" w14:paraId="0A7A3BFC" w14:textId="77777777" w:rsidTr="00A80804">
        <w:trPr>
          <w:trHeight w:val="315"/>
        </w:trPr>
        <w:tc>
          <w:tcPr>
            <w:tcW w:w="0" w:type="auto"/>
            <w:vMerge/>
            <w:tcBorders>
              <w:top w:val="nil"/>
              <w:left w:val="single" w:sz="8" w:space="0" w:color="auto"/>
              <w:bottom w:val="single" w:sz="8" w:space="0" w:color="000000"/>
              <w:right w:val="nil"/>
            </w:tcBorders>
            <w:vAlign w:val="center"/>
            <w:hideMark/>
          </w:tcPr>
          <w:p w14:paraId="41677131" w14:textId="77777777" w:rsidR="00357A28" w:rsidRDefault="00357A28"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6E441C" w14:textId="77777777" w:rsidR="00357A28" w:rsidRDefault="00357A28"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37C1CE" w14:textId="77777777" w:rsidR="00357A28" w:rsidRDefault="00357A28" w:rsidP="00500C88">
            <w:pPr>
              <w:spacing w:after="0"/>
              <w:rPr>
                <w:rFonts w:ascii="Calibri" w:eastAsia="Times New Roman" w:hAnsi="Calibri" w:cs="Calibri"/>
                <w:b/>
                <w:bCs/>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1301A8" w14:textId="77777777" w:rsidR="00357A28" w:rsidRDefault="00357A28" w:rsidP="00500C88">
            <w:pPr>
              <w:spacing w:after="0"/>
              <w:rPr>
                <w:rFonts w:ascii="Calibri" w:eastAsia="Times New Roman" w:hAnsi="Calibri" w:cs="Calibri"/>
                <w:color w:val="000000"/>
                <w:sz w:val="16"/>
                <w:szCs w:val="16"/>
                <w:lang w:eastAsia="en-GB"/>
              </w:rPr>
            </w:pPr>
          </w:p>
        </w:tc>
        <w:tc>
          <w:tcPr>
            <w:tcW w:w="6300" w:type="dxa"/>
            <w:gridSpan w:val="2"/>
            <w:tcBorders>
              <w:top w:val="single" w:sz="4" w:space="0" w:color="auto"/>
              <w:left w:val="nil"/>
              <w:bottom w:val="single" w:sz="4" w:space="0" w:color="auto"/>
              <w:right w:val="single" w:sz="4" w:space="0" w:color="auto"/>
            </w:tcBorders>
            <w:hideMark/>
          </w:tcPr>
          <w:p w14:paraId="533373C1" w14:textId="77777777" w:rsidR="00357A28" w:rsidRDefault="00357A28"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1360" w:type="dxa"/>
            <w:tcBorders>
              <w:top w:val="nil"/>
              <w:left w:val="nil"/>
              <w:bottom w:val="single" w:sz="4" w:space="0" w:color="auto"/>
              <w:right w:val="single" w:sz="4" w:space="0" w:color="auto"/>
            </w:tcBorders>
            <w:vAlign w:val="center"/>
            <w:hideMark/>
          </w:tcPr>
          <w:p w14:paraId="77EC9857" w14:textId="77777777" w:rsidR="00357A28" w:rsidRDefault="00357A28"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D2AA8" w14:textId="77777777" w:rsidR="00357A28" w:rsidRDefault="00357A28" w:rsidP="00500C88">
            <w:pPr>
              <w:spacing w:after="0"/>
              <w:rPr>
                <w:rFonts w:ascii="Calibri" w:eastAsia="Times New Roman" w:hAnsi="Calibri" w:cs="Calibri"/>
                <w:color w:val="000000"/>
                <w:sz w:val="16"/>
                <w:szCs w:val="16"/>
                <w:lang w:eastAsia="en-GB"/>
              </w:rPr>
            </w:pPr>
          </w:p>
        </w:tc>
      </w:tr>
      <w:tr w:rsidR="00357A28" w14:paraId="1459E4B0" w14:textId="77777777" w:rsidTr="00A80804">
        <w:trPr>
          <w:trHeight w:val="406"/>
        </w:trPr>
        <w:tc>
          <w:tcPr>
            <w:tcW w:w="0" w:type="auto"/>
            <w:vMerge/>
            <w:tcBorders>
              <w:top w:val="nil"/>
              <w:left w:val="single" w:sz="8" w:space="0" w:color="auto"/>
              <w:bottom w:val="single" w:sz="8" w:space="0" w:color="000000"/>
              <w:right w:val="nil"/>
            </w:tcBorders>
            <w:vAlign w:val="center"/>
            <w:hideMark/>
          </w:tcPr>
          <w:p w14:paraId="0E5BFAEE" w14:textId="77777777" w:rsidR="00357A28" w:rsidRDefault="00357A28" w:rsidP="00500C88">
            <w:pPr>
              <w:spacing w:after="0"/>
              <w:rPr>
                <w:rFonts w:ascii="Calibri" w:eastAsia="Times New Roman" w:hAnsi="Calibri" w:cs="Calibri"/>
                <w:color w:val="000000"/>
                <w:sz w:val="16"/>
                <w:szCs w:val="16"/>
                <w:lang w:eastAsia="en-GB"/>
              </w:rPr>
            </w:pPr>
          </w:p>
        </w:tc>
        <w:tc>
          <w:tcPr>
            <w:tcW w:w="973" w:type="dxa"/>
            <w:vMerge w:val="restart"/>
            <w:tcBorders>
              <w:top w:val="single" w:sz="4" w:space="0" w:color="auto"/>
              <w:left w:val="single" w:sz="4" w:space="0" w:color="auto"/>
              <w:bottom w:val="single" w:sz="4" w:space="0" w:color="auto"/>
              <w:right w:val="single" w:sz="4" w:space="0" w:color="auto"/>
            </w:tcBorders>
            <w:hideMark/>
          </w:tcPr>
          <w:p w14:paraId="79B641C4" w14:textId="49C648DB" w:rsidR="00357A28" w:rsidRDefault="00357A28"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Subtidal Seagrass</w:t>
            </w:r>
            <w:r w:rsidR="00C3334B">
              <w:rPr>
                <w:rFonts w:ascii="Calibri" w:eastAsia="Times New Roman" w:hAnsi="Calibri" w:cs="Calibri"/>
                <w:color w:val="000000"/>
                <w:sz w:val="16"/>
                <w:szCs w:val="16"/>
                <w:lang w:eastAsia="en-GB"/>
              </w:rPr>
              <w:t xml:space="preserve"> – Firestone Bay </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6005FD14" w14:textId="77777777" w:rsidR="00357A28" w:rsidRDefault="00357A28"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 Food (Wild Food - fish and shellfish).    </w:t>
            </w:r>
          </w:p>
          <w:p w14:paraId="60CAD24A" w14:textId="77777777" w:rsidR="00357A28" w:rsidRDefault="00357A28"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Healthy climate (carbon sequestration).         • Sea defence. (</w:t>
            </w:r>
            <w:proofErr w:type="gramStart"/>
            <w:r>
              <w:rPr>
                <w:rFonts w:ascii="Calibri" w:eastAsia="Times New Roman" w:hAnsi="Calibri" w:cs="Calibri"/>
                <w:b/>
                <w:bCs/>
                <w:color w:val="000000"/>
                <w:sz w:val="16"/>
                <w:szCs w:val="16"/>
                <w:lang w:eastAsia="en-GB"/>
              </w:rPr>
              <w:t>natural</w:t>
            </w:r>
            <w:proofErr w:type="gramEnd"/>
            <w:r>
              <w:rPr>
                <w:rFonts w:ascii="Calibri" w:eastAsia="Times New Roman" w:hAnsi="Calibri" w:cs="Calibri"/>
                <w:b/>
                <w:bCs/>
                <w:color w:val="000000"/>
                <w:sz w:val="16"/>
                <w:szCs w:val="16"/>
                <w:lang w:eastAsia="en-GB"/>
              </w:rPr>
              <w:t xml:space="preserve"> hazard regulation).               • Tourism/nature watching.                  • Clean water and sediments.</w:t>
            </w:r>
          </w:p>
        </w:tc>
        <w:tc>
          <w:tcPr>
            <w:tcW w:w="1545" w:type="dxa"/>
            <w:tcBorders>
              <w:top w:val="nil"/>
              <w:left w:val="nil"/>
              <w:bottom w:val="single" w:sz="4" w:space="0" w:color="auto"/>
              <w:right w:val="single" w:sz="4" w:space="0" w:color="auto"/>
            </w:tcBorders>
            <w:noWrap/>
            <w:hideMark/>
          </w:tcPr>
          <w:p w14:paraId="5FF23B8B" w14:textId="77777777" w:rsidR="00357A28" w:rsidRDefault="00357A28"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Quality/Condition</w:t>
            </w:r>
          </w:p>
        </w:tc>
        <w:tc>
          <w:tcPr>
            <w:tcW w:w="3587" w:type="dxa"/>
            <w:tcBorders>
              <w:top w:val="nil"/>
              <w:left w:val="nil"/>
              <w:bottom w:val="single" w:sz="4" w:space="0" w:color="auto"/>
              <w:right w:val="single" w:sz="4" w:space="0" w:color="auto"/>
            </w:tcBorders>
            <w:hideMark/>
          </w:tcPr>
          <w:p w14:paraId="6AE33B74" w14:textId="408E348D" w:rsidR="00357A28" w:rsidRDefault="00357A28" w:rsidP="00500C88">
            <w:pPr>
              <w:spacing w:after="0" w:line="240" w:lineRule="auto"/>
              <w:rPr>
                <w:rFonts w:ascii="Calibri" w:eastAsia="Times New Roman" w:hAnsi="Calibri" w:cs="Calibri"/>
                <w:color w:val="000000"/>
                <w:sz w:val="16"/>
                <w:szCs w:val="16"/>
                <w:lang w:eastAsia="en-GB"/>
              </w:rPr>
            </w:pPr>
            <w:r w:rsidRPr="00AB4B8D">
              <w:rPr>
                <w:rFonts w:ascii="Calibri" w:eastAsia="Times New Roman" w:hAnsi="Calibri" w:cs="Calibri"/>
                <w:b/>
                <w:bCs/>
                <w:color w:val="000000"/>
                <w:sz w:val="16"/>
                <w:szCs w:val="16"/>
                <w:lang w:eastAsia="en-GB"/>
              </w:rPr>
              <w:t>NE Package</w:t>
            </w:r>
            <w:r>
              <w:rPr>
                <w:rFonts w:ascii="Calibri" w:eastAsia="Times New Roman" w:hAnsi="Calibri" w:cs="Calibri"/>
                <w:color w:val="000000"/>
                <w:sz w:val="16"/>
                <w:szCs w:val="16"/>
                <w:lang w:eastAsia="en-GB"/>
              </w:rPr>
              <w:t xml:space="preserve">: </w:t>
            </w:r>
            <w:r w:rsidR="00C3334B" w:rsidRPr="00C3334B">
              <w:rPr>
                <w:rFonts w:ascii="Calibri" w:eastAsia="Times New Roman" w:hAnsi="Calibri" w:cs="Calibri"/>
                <w:color w:val="000000"/>
                <w:sz w:val="16"/>
                <w:szCs w:val="16"/>
                <w:lang w:eastAsia="en-GB"/>
              </w:rPr>
              <w:t>Average % Seagrass Cover DDV decreased from 21 in 2012 to 17 in 2018.</w:t>
            </w:r>
          </w:p>
          <w:p w14:paraId="2A6CC9ED" w14:textId="77777777" w:rsidR="00357A28" w:rsidRDefault="00357A28" w:rsidP="00500C88">
            <w:pPr>
              <w:spacing w:after="0" w:line="240" w:lineRule="auto"/>
              <w:rPr>
                <w:rFonts w:ascii="Calibri" w:eastAsia="Times New Roman" w:hAnsi="Calibri" w:cs="Calibri"/>
                <w:color w:val="000000"/>
                <w:sz w:val="16"/>
                <w:szCs w:val="16"/>
                <w:lang w:eastAsia="en-GB"/>
              </w:rPr>
            </w:pPr>
          </w:p>
          <w:p w14:paraId="3F3FEFCB" w14:textId="77777777" w:rsidR="00357A28" w:rsidRDefault="00357A28" w:rsidP="00500C88">
            <w:pPr>
              <w:spacing w:after="0" w:line="240" w:lineRule="auto"/>
              <w:rPr>
                <w:rFonts w:ascii="Calibri" w:eastAsia="Times New Roman" w:hAnsi="Calibri" w:cs="Calibri"/>
                <w:color w:val="000000"/>
                <w:sz w:val="16"/>
                <w:szCs w:val="16"/>
                <w:lang w:eastAsia="en-GB"/>
              </w:rPr>
            </w:pPr>
          </w:p>
          <w:p w14:paraId="12325604" w14:textId="717075D0" w:rsidR="00357A28" w:rsidRDefault="007A71B9" w:rsidP="00500C88">
            <w:pPr>
              <w:spacing w:after="0" w:line="240" w:lineRule="auto"/>
              <w:rPr>
                <w:rFonts w:ascii="Calibri" w:eastAsia="Times New Roman" w:hAnsi="Calibri" w:cs="Calibri"/>
                <w:b/>
                <w:bCs/>
                <w:color w:val="000000"/>
                <w:sz w:val="16"/>
                <w:szCs w:val="16"/>
                <w:lang w:eastAsia="en-GB"/>
              </w:rPr>
            </w:pPr>
            <w:r w:rsidRPr="007A71B9">
              <w:rPr>
                <w:rFonts w:ascii="Calibri" w:eastAsia="Times New Roman" w:hAnsi="Calibri" w:cs="Calibri"/>
                <w:b/>
                <w:bCs/>
                <w:color w:val="000000"/>
                <w:sz w:val="16"/>
                <w:szCs w:val="16"/>
                <w:lang w:eastAsia="en-GB"/>
              </w:rPr>
              <w:t xml:space="preserve">LRC: </w:t>
            </w:r>
            <w:r w:rsidRPr="007A71B9">
              <w:rPr>
                <w:rFonts w:ascii="Calibri" w:eastAsia="Times New Roman" w:hAnsi="Calibri" w:cs="Calibri"/>
                <w:color w:val="000000"/>
                <w:sz w:val="16"/>
                <w:szCs w:val="16"/>
                <w:lang w:eastAsia="en-GB"/>
              </w:rPr>
              <w:t>LRC score above &gt; moderate, due to lack of abrasion pressures.</w:t>
            </w:r>
            <w:r w:rsidRPr="007A71B9">
              <w:rPr>
                <w:rFonts w:ascii="Calibri" w:eastAsia="Times New Roman" w:hAnsi="Calibri" w:cs="Calibri"/>
                <w:b/>
                <w:bCs/>
                <w:color w:val="000000"/>
                <w:sz w:val="16"/>
                <w:szCs w:val="16"/>
                <w:lang w:eastAsia="en-GB"/>
              </w:rPr>
              <w:t xml:space="preserve"> </w:t>
            </w:r>
          </w:p>
          <w:p w14:paraId="69AF5F42" w14:textId="77777777" w:rsidR="007A71B9" w:rsidRDefault="007A71B9" w:rsidP="00500C88">
            <w:pPr>
              <w:spacing w:after="0" w:line="240" w:lineRule="auto"/>
              <w:rPr>
                <w:rFonts w:ascii="Calibri" w:eastAsia="Times New Roman" w:hAnsi="Calibri" w:cs="Calibri"/>
                <w:color w:val="000000"/>
                <w:sz w:val="16"/>
                <w:szCs w:val="16"/>
                <w:lang w:eastAsia="en-GB"/>
              </w:rPr>
            </w:pPr>
          </w:p>
          <w:p w14:paraId="301A83BD" w14:textId="22DA8D95" w:rsidR="00357A28" w:rsidRPr="001009AB" w:rsidRDefault="00357A28" w:rsidP="00500C88">
            <w:pPr>
              <w:spacing w:after="0" w:line="240" w:lineRule="auto"/>
              <w:rPr>
                <w:rFonts w:ascii="Calibri" w:eastAsia="Times New Roman" w:hAnsi="Calibri" w:cs="Calibri"/>
                <w:b/>
                <w:bCs/>
                <w:color w:val="000000"/>
                <w:sz w:val="16"/>
                <w:szCs w:val="16"/>
                <w:lang w:eastAsia="en-GB"/>
              </w:rPr>
            </w:pPr>
            <w:r w:rsidRPr="001009AB">
              <w:rPr>
                <w:rFonts w:ascii="Calibri" w:eastAsia="Times New Roman" w:hAnsi="Calibri" w:cs="Calibri"/>
                <w:b/>
                <w:bCs/>
                <w:color w:val="000000"/>
                <w:sz w:val="16"/>
                <w:szCs w:val="16"/>
                <w:lang w:eastAsia="en-GB"/>
              </w:rPr>
              <w:t xml:space="preserve">Water Quality: </w:t>
            </w:r>
            <w:r w:rsidR="000760BD" w:rsidRPr="000760BD">
              <w:rPr>
                <w:rFonts w:ascii="Calibri" w:eastAsia="Times New Roman" w:hAnsi="Calibri" w:cs="Calibri"/>
                <w:color w:val="000000"/>
                <w:sz w:val="16"/>
                <w:szCs w:val="16"/>
                <w:lang w:eastAsia="en-GB"/>
              </w:rPr>
              <w:t>This seagrass bed is within the Plymouth Sound water body area. Water body fails to achieve good status due to levels of chemical contaminants and levels of DIN. Risk of eutrophication is supposedly</w:t>
            </w:r>
            <w:r w:rsidR="00A80804">
              <w:rPr>
                <w:rFonts w:ascii="Calibri" w:eastAsia="Times New Roman" w:hAnsi="Calibri" w:cs="Calibri"/>
                <w:color w:val="000000"/>
                <w:sz w:val="16"/>
                <w:szCs w:val="16"/>
                <w:lang w:eastAsia="en-GB"/>
              </w:rPr>
              <w:t xml:space="preserve"> </w:t>
            </w:r>
            <w:r w:rsidR="00A80804" w:rsidRPr="00A80804">
              <w:rPr>
                <w:rFonts w:ascii="Calibri" w:eastAsia="Times New Roman" w:hAnsi="Calibri" w:cs="Calibri"/>
                <w:color w:val="000000"/>
                <w:sz w:val="16"/>
                <w:szCs w:val="16"/>
                <w:lang w:eastAsia="en-GB"/>
              </w:rPr>
              <w:t>low due to good-high status of phytoplankton and macroalgae</w:t>
            </w:r>
            <w:r w:rsidR="00A80804">
              <w:rPr>
                <w:rFonts w:ascii="Calibri" w:eastAsia="Times New Roman" w:hAnsi="Calibri" w:cs="Calibri"/>
                <w:color w:val="000000"/>
                <w:sz w:val="16"/>
                <w:szCs w:val="16"/>
                <w:lang w:eastAsia="en-GB"/>
              </w:rPr>
              <w:t xml:space="preserve">. </w:t>
            </w:r>
          </w:p>
          <w:p w14:paraId="043CAA8D" w14:textId="77777777" w:rsidR="00357A28" w:rsidRDefault="00357A28" w:rsidP="00500C88">
            <w:pPr>
              <w:spacing w:after="0" w:line="240" w:lineRule="auto"/>
              <w:rPr>
                <w:rFonts w:ascii="Calibri" w:eastAsia="Times New Roman" w:hAnsi="Calibri" w:cs="Calibri"/>
                <w:color w:val="000000"/>
                <w:sz w:val="16"/>
                <w:szCs w:val="16"/>
                <w:lang w:eastAsia="en-GB"/>
              </w:rPr>
            </w:pPr>
          </w:p>
          <w:p w14:paraId="2667A23D" w14:textId="77777777" w:rsidR="00357A28" w:rsidRDefault="00357A28" w:rsidP="00500C88">
            <w:pPr>
              <w:spacing w:after="0" w:line="240" w:lineRule="auto"/>
              <w:rPr>
                <w:rFonts w:ascii="Calibri" w:eastAsia="Times New Roman" w:hAnsi="Calibri" w:cs="Calibri"/>
                <w:color w:val="000000"/>
                <w:sz w:val="16"/>
                <w:szCs w:val="16"/>
                <w:lang w:eastAsia="en-GB"/>
              </w:rPr>
            </w:pPr>
          </w:p>
          <w:p w14:paraId="70C7CEC8" w14:textId="77777777" w:rsidR="00357A28" w:rsidRDefault="00357A28" w:rsidP="00500C88">
            <w:pPr>
              <w:spacing w:after="0" w:line="240" w:lineRule="auto"/>
              <w:rPr>
                <w:rFonts w:ascii="Calibri" w:eastAsia="Times New Roman" w:hAnsi="Calibri" w:cs="Calibri"/>
                <w:color w:val="000000"/>
                <w:sz w:val="16"/>
                <w:szCs w:val="16"/>
                <w:lang w:eastAsia="en-GB"/>
              </w:rPr>
            </w:pPr>
          </w:p>
          <w:p w14:paraId="3C54B994" w14:textId="77777777" w:rsidR="00357A28" w:rsidRDefault="00357A28" w:rsidP="00500C88">
            <w:pPr>
              <w:spacing w:after="0" w:line="240" w:lineRule="auto"/>
              <w:rPr>
                <w:rFonts w:ascii="Calibri" w:eastAsia="Times New Roman" w:hAnsi="Calibri" w:cs="Calibri"/>
                <w:color w:val="000000"/>
                <w:sz w:val="16"/>
                <w:szCs w:val="16"/>
                <w:lang w:eastAsia="en-GB"/>
              </w:rPr>
            </w:pPr>
          </w:p>
          <w:p w14:paraId="19604466" w14:textId="77777777" w:rsidR="00357A28" w:rsidRDefault="00357A28" w:rsidP="00500C88">
            <w:pPr>
              <w:spacing w:after="0" w:line="240" w:lineRule="auto"/>
              <w:rPr>
                <w:rFonts w:ascii="Calibri" w:eastAsia="Times New Roman" w:hAnsi="Calibri" w:cs="Calibri"/>
                <w:color w:val="000000"/>
                <w:sz w:val="16"/>
                <w:szCs w:val="16"/>
                <w:lang w:eastAsia="en-GB"/>
              </w:rPr>
            </w:pPr>
          </w:p>
          <w:p w14:paraId="1D2CCA88" w14:textId="77777777" w:rsidR="00357A28" w:rsidRDefault="00357A28" w:rsidP="00500C88">
            <w:pPr>
              <w:spacing w:after="0" w:line="240" w:lineRule="auto"/>
              <w:rPr>
                <w:rFonts w:ascii="Calibri" w:eastAsia="Times New Roman" w:hAnsi="Calibri" w:cs="Calibri"/>
                <w:color w:val="000000"/>
                <w:sz w:val="16"/>
                <w:szCs w:val="16"/>
                <w:lang w:eastAsia="en-GB"/>
              </w:rPr>
            </w:pPr>
          </w:p>
        </w:tc>
        <w:tc>
          <w:tcPr>
            <w:tcW w:w="2713" w:type="dxa"/>
            <w:tcBorders>
              <w:top w:val="nil"/>
              <w:left w:val="nil"/>
              <w:bottom w:val="single" w:sz="4" w:space="0" w:color="auto"/>
              <w:right w:val="single" w:sz="4" w:space="0" w:color="auto"/>
            </w:tcBorders>
            <w:hideMark/>
          </w:tcPr>
          <w:p w14:paraId="2C7BCBA3" w14:textId="77777777" w:rsidR="00243A27" w:rsidRDefault="00243A27" w:rsidP="00243A27">
            <w:pP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MSFD: As above.</w:t>
            </w:r>
          </w:p>
          <w:p w14:paraId="0E79318A" w14:textId="77777777" w:rsidR="00357A28" w:rsidRDefault="00243A27" w:rsidP="00243A27">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UK Marine Strategy: As above.</w:t>
            </w:r>
          </w:p>
          <w:p w14:paraId="5069438F" w14:textId="77777777" w:rsidR="00243A27" w:rsidRDefault="00243A27" w:rsidP="00243A27">
            <w:pPr>
              <w:spacing w:after="0" w:line="240" w:lineRule="auto"/>
              <w:rPr>
                <w:rFonts w:ascii="Calibri" w:eastAsia="Times New Roman" w:hAnsi="Calibri" w:cs="Calibri"/>
                <w:b/>
                <w:bCs/>
                <w:color w:val="000000"/>
                <w:sz w:val="16"/>
                <w:szCs w:val="16"/>
                <w:lang w:eastAsia="en-GB"/>
              </w:rPr>
            </w:pPr>
          </w:p>
          <w:p w14:paraId="0846F9F7" w14:textId="0AA0AC09" w:rsidR="00243A27" w:rsidRPr="00264AE0" w:rsidRDefault="006945C5" w:rsidP="00243A27">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WFD: As above.</w:t>
            </w:r>
          </w:p>
        </w:tc>
        <w:tc>
          <w:tcPr>
            <w:tcW w:w="1360" w:type="dxa"/>
            <w:tcBorders>
              <w:top w:val="nil"/>
              <w:left w:val="nil"/>
              <w:bottom w:val="single" w:sz="4" w:space="0" w:color="auto"/>
              <w:right w:val="single" w:sz="4" w:space="0" w:color="auto"/>
            </w:tcBorders>
            <w:hideMark/>
          </w:tcPr>
          <w:p w14:paraId="25F021CB" w14:textId="77777777" w:rsidR="00357A28" w:rsidRDefault="00357A28"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Unfavourable Declining based on data from condition assessments in 2012 and 2018. </w:t>
            </w:r>
          </w:p>
        </w:tc>
        <w:tc>
          <w:tcPr>
            <w:tcW w:w="870" w:type="dxa"/>
            <w:tcBorders>
              <w:top w:val="single" w:sz="4" w:space="0" w:color="auto"/>
              <w:left w:val="single" w:sz="4" w:space="0" w:color="auto"/>
              <w:bottom w:val="single" w:sz="4" w:space="0" w:color="auto"/>
              <w:right w:val="single" w:sz="4" w:space="0" w:color="auto"/>
            </w:tcBorders>
            <w:shd w:val="clear" w:color="auto" w:fill="FFA3A3"/>
            <w:vAlign w:val="center"/>
            <w:hideMark/>
          </w:tcPr>
          <w:p w14:paraId="084D30E8" w14:textId="180044CC" w:rsidR="00357A28" w:rsidRDefault="00357A28" w:rsidP="00500C88">
            <w:pPr>
              <w:spacing w:after="0" w:line="240" w:lineRule="auto"/>
              <w:jc w:val="center"/>
              <w:rPr>
                <w:rFonts w:ascii="Calibri" w:eastAsia="Times New Roman" w:hAnsi="Calibri" w:cs="Calibri"/>
                <w:b/>
                <w:bCs/>
                <w:color w:val="000000"/>
                <w:sz w:val="16"/>
                <w:szCs w:val="16"/>
                <w:lang w:eastAsia="en-GB"/>
              </w:rPr>
            </w:pPr>
            <w:r w:rsidRPr="007C0E0B">
              <w:rPr>
                <w:rFonts w:ascii="Calibri" w:eastAsia="Times New Roman" w:hAnsi="Calibri" w:cs="Calibri"/>
                <w:b/>
                <w:bCs/>
                <w:sz w:val="16"/>
                <w:szCs w:val="16"/>
                <w:lang w:eastAsia="en-GB"/>
              </w:rPr>
              <w:t>C             (</w:t>
            </w:r>
            <w:r w:rsidR="00A80804" w:rsidRPr="007C0E0B">
              <w:rPr>
                <w:rFonts w:ascii="Calibri" w:eastAsia="Times New Roman" w:hAnsi="Calibri" w:cs="Calibri"/>
                <w:b/>
                <w:bCs/>
                <w:sz w:val="16"/>
                <w:szCs w:val="16"/>
                <w:lang w:eastAsia="en-GB"/>
              </w:rPr>
              <w:t>4</w:t>
            </w:r>
            <w:r w:rsidRPr="007C0E0B">
              <w:rPr>
                <w:rFonts w:ascii="Calibri" w:eastAsia="Times New Roman" w:hAnsi="Calibri" w:cs="Calibri"/>
                <w:b/>
                <w:bCs/>
                <w:sz w:val="16"/>
                <w:szCs w:val="16"/>
                <w:lang w:eastAsia="en-GB"/>
              </w:rPr>
              <w:t>)</w:t>
            </w:r>
          </w:p>
        </w:tc>
      </w:tr>
      <w:tr w:rsidR="00357A28" w14:paraId="3FB267CC" w14:textId="77777777" w:rsidTr="00500C88">
        <w:trPr>
          <w:trHeight w:val="210"/>
        </w:trPr>
        <w:tc>
          <w:tcPr>
            <w:tcW w:w="0" w:type="auto"/>
            <w:vMerge/>
            <w:tcBorders>
              <w:top w:val="nil"/>
              <w:left w:val="single" w:sz="8" w:space="0" w:color="auto"/>
              <w:bottom w:val="single" w:sz="8" w:space="0" w:color="000000"/>
              <w:right w:val="nil"/>
            </w:tcBorders>
            <w:vAlign w:val="center"/>
            <w:hideMark/>
          </w:tcPr>
          <w:p w14:paraId="57A6F473" w14:textId="77777777" w:rsidR="00357A28" w:rsidRDefault="00357A28"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CC8AD" w14:textId="77777777" w:rsidR="00357A28" w:rsidRDefault="00357A28"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AB7A14" w14:textId="77777777" w:rsidR="00357A28" w:rsidRDefault="00357A28" w:rsidP="00500C88">
            <w:pPr>
              <w:spacing w:after="0"/>
              <w:rPr>
                <w:rFonts w:ascii="Calibri" w:eastAsia="Times New Roman" w:hAnsi="Calibri" w:cs="Calibri"/>
                <w:b/>
                <w:bCs/>
                <w:color w:val="000000"/>
                <w:sz w:val="16"/>
                <w:szCs w:val="16"/>
                <w:lang w:eastAsia="en-GB"/>
              </w:rPr>
            </w:pPr>
          </w:p>
        </w:tc>
        <w:tc>
          <w:tcPr>
            <w:tcW w:w="1545" w:type="dxa"/>
            <w:tcBorders>
              <w:top w:val="nil"/>
              <w:left w:val="nil"/>
              <w:bottom w:val="single" w:sz="4" w:space="0" w:color="auto"/>
              <w:right w:val="single" w:sz="4" w:space="0" w:color="auto"/>
            </w:tcBorders>
            <w:noWrap/>
            <w:hideMark/>
          </w:tcPr>
          <w:p w14:paraId="637713F3" w14:textId="77777777" w:rsidR="00357A28" w:rsidRDefault="00357A28"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6300" w:type="dxa"/>
            <w:gridSpan w:val="2"/>
            <w:tcBorders>
              <w:top w:val="single" w:sz="4" w:space="0" w:color="auto"/>
              <w:left w:val="nil"/>
              <w:bottom w:val="single" w:sz="4" w:space="0" w:color="auto"/>
              <w:right w:val="single" w:sz="4" w:space="0" w:color="auto"/>
            </w:tcBorders>
            <w:vAlign w:val="center"/>
            <w:hideMark/>
          </w:tcPr>
          <w:p w14:paraId="6A454471" w14:textId="77777777" w:rsidR="00357A28" w:rsidRDefault="00357A28"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 – last condition assessment 2018</w:t>
            </w:r>
          </w:p>
        </w:tc>
        <w:tc>
          <w:tcPr>
            <w:tcW w:w="1360" w:type="dxa"/>
            <w:tcBorders>
              <w:top w:val="nil"/>
              <w:left w:val="nil"/>
              <w:bottom w:val="single" w:sz="4" w:space="0" w:color="auto"/>
              <w:right w:val="single" w:sz="4" w:space="0" w:color="auto"/>
            </w:tcBorders>
            <w:vAlign w:val="center"/>
            <w:hideMark/>
          </w:tcPr>
          <w:p w14:paraId="7E5F83DB" w14:textId="77777777" w:rsidR="00357A28" w:rsidRDefault="00357A28"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w:t>
            </w:r>
          </w:p>
        </w:tc>
        <w:tc>
          <w:tcPr>
            <w:tcW w:w="870" w:type="dxa"/>
            <w:vMerge w:val="restart"/>
            <w:tcBorders>
              <w:top w:val="nil"/>
              <w:left w:val="single" w:sz="4" w:space="0" w:color="auto"/>
              <w:bottom w:val="single" w:sz="4" w:space="0" w:color="auto"/>
              <w:right w:val="single" w:sz="4" w:space="0" w:color="auto"/>
            </w:tcBorders>
            <w:vAlign w:val="center"/>
            <w:hideMark/>
          </w:tcPr>
          <w:p w14:paraId="31525C79" w14:textId="77777777" w:rsidR="00357A28" w:rsidRDefault="00357A28" w:rsidP="00500C88">
            <w:pPr>
              <w:rPr>
                <w:rFonts w:ascii="Calibri" w:eastAsia="Times New Roman" w:hAnsi="Calibri" w:cs="Calibri"/>
                <w:color w:val="000000"/>
                <w:sz w:val="16"/>
                <w:szCs w:val="16"/>
                <w:lang w:eastAsia="en-GB"/>
              </w:rPr>
            </w:pPr>
          </w:p>
        </w:tc>
      </w:tr>
      <w:tr w:rsidR="008E7047" w14:paraId="4EBE2BB8" w14:textId="77777777" w:rsidTr="008E7047">
        <w:trPr>
          <w:trHeight w:val="270"/>
        </w:trPr>
        <w:tc>
          <w:tcPr>
            <w:tcW w:w="0" w:type="auto"/>
            <w:vMerge/>
            <w:tcBorders>
              <w:top w:val="nil"/>
              <w:left w:val="single" w:sz="8" w:space="0" w:color="auto"/>
              <w:bottom w:val="single" w:sz="8" w:space="0" w:color="000000"/>
              <w:right w:val="nil"/>
            </w:tcBorders>
            <w:vAlign w:val="center"/>
            <w:hideMark/>
          </w:tcPr>
          <w:p w14:paraId="3A44CEC8" w14:textId="77777777" w:rsidR="00357A28" w:rsidRDefault="00357A28"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BDA80B" w14:textId="77777777" w:rsidR="00357A28" w:rsidRDefault="00357A28"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E4A296" w14:textId="77777777" w:rsidR="00357A28" w:rsidRDefault="00357A28" w:rsidP="00500C88">
            <w:pPr>
              <w:spacing w:after="0"/>
              <w:rPr>
                <w:rFonts w:ascii="Calibri" w:eastAsia="Times New Roman" w:hAnsi="Calibri" w:cs="Calibri"/>
                <w:b/>
                <w:bCs/>
                <w:color w:val="000000"/>
                <w:sz w:val="16"/>
                <w:szCs w:val="16"/>
                <w:lang w:eastAsia="en-GB"/>
              </w:rPr>
            </w:pPr>
          </w:p>
        </w:tc>
        <w:tc>
          <w:tcPr>
            <w:tcW w:w="1545" w:type="dxa"/>
            <w:tcBorders>
              <w:top w:val="nil"/>
              <w:left w:val="nil"/>
              <w:bottom w:val="single" w:sz="4" w:space="0" w:color="auto"/>
              <w:right w:val="single" w:sz="4" w:space="0" w:color="auto"/>
            </w:tcBorders>
            <w:noWrap/>
            <w:hideMark/>
          </w:tcPr>
          <w:p w14:paraId="683E203E" w14:textId="77777777" w:rsidR="00357A28" w:rsidRDefault="00357A28"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6300" w:type="dxa"/>
            <w:gridSpan w:val="2"/>
            <w:tcBorders>
              <w:top w:val="single" w:sz="4" w:space="0" w:color="auto"/>
              <w:left w:val="nil"/>
              <w:bottom w:val="single" w:sz="4" w:space="0" w:color="auto"/>
              <w:right w:val="single" w:sz="4" w:space="0" w:color="auto"/>
            </w:tcBorders>
            <w:vAlign w:val="center"/>
            <w:hideMark/>
          </w:tcPr>
          <w:p w14:paraId="3267DCDD" w14:textId="77777777" w:rsidR="00357A28" w:rsidRDefault="00357A28"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1360" w:type="dxa"/>
            <w:tcBorders>
              <w:top w:val="nil"/>
              <w:left w:val="nil"/>
              <w:bottom w:val="single" w:sz="4" w:space="0" w:color="auto"/>
              <w:right w:val="single" w:sz="4" w:space="0" w:color="auto"/>
            </w:tcBorders>
            <w:vAlign w:val="center"/>
            <w:hideMark/>
          </w:tcPr>
          <w:p w14:paraId="5590EB2B" w14:textId="77777777" w:rsidR="00357A28" w:rsidRDefault="00357A28"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0" w:type="auto"/>
            <w:vMerge/>
            <w:tcBorders>
              <w:top w:val="nil"/>
              <w:left w:val="single" w:sz="4" w:space="0" w:color="auto"/>
              <w:bottom w:val="single" w:sz="4" w:space="0" w:color="auto"/>
              <w:right w:val="single" w:sz="4" w:space="0" w:color="auto"/>
            </w:tcBorders>
            <w:vAlign w:val="center"/>
            <w:hideMark/>
          </w:tcPr>
          <w:p w14:paraId="339AA524" w14:textId="77777777" w:rsidR="00357A28" w:rsidRDefault="00357A28" w:rsidP="00500C88">
            <w:pPr>
              <w:spacing w:after="0"/>
              <w:rPr>
                <w:rFonts w:ascii="Calibri" w:eastAsia="Times New Roman" w:hAnsi="Calibri" w:cs="Calibri"/>
                <w:color w:val="000000"/>
                <w:sz w:val="16"/>
                <w:szCs w:val="16"/>
                <w:lang w:eastAsia="en-GB"/>
              </w:rPr>
            </w:pPr>
          </w:p>
        </w:tc>
      </w:tr>
      <w:tr w:rsidR="00357A28" w14:paraId="64BDCAD3" w14:textId="77777777" w:rsidTr="008E7047">
        <w:trPr>
          <w:trHeight w:val="2018"/>
        </w:trPr>
        <w:tc>
          <w:tcPr>
            <w:tcW w:w="0" w:type="auto"/>
            <w:vMerge/>
            <w:tcBorders>
              <w:top w:val="nil"/>
              <w:left w:val="single" w:sz="8" w:space="0" w:color="auto"/>
              <w:bottom w:val="single" w:sz="8" w:space="0" w:color="000000"/>
              <w:right w:val="nil"/>
            </w:tcBorders>
            <w:vAlign w:val="center"/>
            <w:hideMark/>
          </w:tcPr>
          <w:p w14:paraId="70A02348" w14:textId="77777777" w:rsidR="00357A28" w:rsidRDefault="00357A28" w:rsidP="00500C88">
            <w:pPr>
              <w:spacing w:after="0"/>
              <w:rPr>
                <w:rFonts w:ascii="Calibri" w:eastAsia="Times New Roman" w:hAnsi="Calibri" w:cs="Calibri"/>
                <w:color w:val="000000"/>
                <w:sz w:val="16"/>
                <w:szCs w:val="16"/>
                <w:lang w:eastAsia="en-GB"/>
              </w:rPr>
            </w:pPr>
          </w:p>
        </w:tc>
        <w:tc>
          <w:tcPr>
            <w:tcW w:w="973" w:type="dxa"/>
            <w:vMerge w:val="restart"/>
            <w:tcBorders>
              <w:top w:val="single" w:sz="4" w:space="0" w:color="auto"/>
              <w:left w:val="single" w:sz="4" w:space="0" w:color="auto"/>
              <w:bottom w:val="single" w:sz="4" w:space="0" w:color="auto"/>
              <w:right w:val="single" w:sz="4" w:space="0" w:color="auto"/>
            </w:tcBorders>
            <w:hideMark/>
          </w:tcPr>
          <w:p w14:paraId="4A768182" w14:textId="3EAD42C4" w:rsidR="00357A28" w:rsidRDefault="00A279D8"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Subtidal Seagrass – Firestone Bay</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3F5337E9" w14:textId="77777777" w:rsidR="00357A28" w:rsidRDefault="00357A28"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 Food (Wild Food - fish and shellfish).    </w:t>
            </w:r>
          </w:p>
          <w:p w14:paraId="7694BDC2" w14:textId="77777777" w:rsidR="00357A28" w:rsidRDefault="00357A28"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Healthy climate (carbon sequestration).         • Sea defence. (</w:t>
            </w:r>
            <w:proofErr w:type="gramStart"/>
            <w:r>
              <w:rPr>
                <w:rFonts w:ascii="Calibri" w:eastAsia="Times New Roman" w:hAnsi="Calibri" w:cs="Calibri"/>
                <w:b/>
                <w:bCs/>
                <w:color w:val="000000"/>
                <w:sz w:val="16"/>
                <w:szCs w:val="16"/>
                <w:lang w:eastAsia="en-GB"/>
              </w:rPr>
              <w:t>natural</w:t>
            </w:r>
            <w:proofErr w:type="gramEnd"/>
            <w:r>
              <w:rPr>
                <w:rFonts w:ascii="Calibri" w:eastAsia="Times New Roman" w:hAnsi="Calibri" w:cs="Calibri"/>
                <w:b/>
                <w:bCs/>
                <w:color w:val="000000"/>
                <w:sz w:val="16"/>
                <w:szCs w:val="16"/>
                <w:lang w:eastAsia="en-GB"/>
              </w:rPr>
              <w:t xml:space="preserve"> hazard regulation).               • Tourism/nature watching.                  • Clean water and sediments.</w:t>
            </w:r>
          </w:p>
        </w:tc>
        <w:tc>
          <w:tcPr>
            <w:tcW w:w="1545" w:type="dxa"/>
            <w:vMerge w:val="restart"/>
            <w:tcBorders>
              <w:top w:val="single" w:sz="4" w:space="0" w:color="auto"/>
              <w:left w:val="single" w:sz="4" w:space="0" w:color="auto"/>
              <w:bottom w:val="single" w:sz="8" w:space="0" w:color="auto"/>
              <w:right w:val="single" w:sz="4" w:space="0" w:color="auto"/>
            </w:tcBorders>
            <w:noWrap/>
            <w:hideMark/>
          </w:tcPr>
          <w:p w14:paraId="4340ACB1" w14:textId="77777777" w:rsidR="00357A28" w:rsidRDefault="00357A28"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Spatial configuration</w:t>
            </w:r>
          </w:p>
        </w:tc>
        <w:tc>
          <w:tcPr>
            <w:tcW w:w="3587" w:type="dxa"/>
            <w:tcBorders>
              <w:top w:val="single" w:sz="4" w:space="0" w:color="auto"/>
              <w:left w:val="nil"/>
              <w:bottom w:val="single" w:sz="4" w:space="0" w:color="auto"/>
              <w:right w:val="single" w:sz="4" w:space="0" w:color="auto"/>
            </w:tcBorders>
            <w:hideMark/>
          </w:tcPr>
          <w:p w14:paraId="1B0F91FA" w14:textId="65E08124" w:rsidR="00720EF7" w:rsidRPr="00D81799" w:rsidRDefault="00720EF7" w:rsidP="00720EF7">
            <w:pPr>
              <w:spacing w:after="0" w:line="240" w:lineRule="auto"/>
              <w:rPr>
                <w:rFonts w:ascii="Calibri" w:eastAsia="Times New Roman" w:hAnsi="Calibri" w:cs="Calibri"/>
                <w:color w:val="000000"/>
                <w:sz w:val="16"/>
                <w:szCs w:val="16"/>
                <w:lang w:eastAsia="en-GB"/>
              </w:rPr>
            </w:pPr>
            <w:r w:rsidRPr="00BA66F3">
              <w:rPr>
                <w:rFonts w:ascii="Calibri" w:eastAsia="Times New Roman" w:hAnsi="Calibri" w:cs="Calibri"/>
                <w:b/>
                <w:bCs/>
                <w:color w:val="000000"/>
                <w:sz w:val="16"/>
                <w:szCs w:val="16"/>
                <w:lang w:eastAsia="en-GB"/>
              </w:rPr>
              <w:t>Composite mapping</w:t>
            </w:r>
            <w:r>
              <w:rPr>
                <w:rFonts w:ascii="Calibri" w:eastAsia="Times New Roman" w:hAnsi="Calibri" w:cs="Calibri"/>
                <w:color w:val="000000"/>
                <w:sz w:val="16"/>
                <w:szCs w:val="16"/>
                <w:lang w:eastAsia="en-GB"/>
              </w:rPr>
              <w:t xml:space="preserve">: </w:t>
            </w:r>
            <w:r w:rsidRPr="00D81799">
              <w:rPr>
                <w:rFonts w:ascii="Calibri" w:eastAsia="Times New Roman" w:hAnsi="Calibri" w:cs="Calibri"/>
                <w:color w:val="000000"/>
                <w:sz w:val="16"/>
                <w:szCs w:val="16"/>
                <w:lang w:eastAsia="en-GB"/>
              </w:rPr>
              <w:t>seagrass bed at Firestone Bay to have an area of 0.076 Km</w:t>
            </w:r>
            <w:r w:rsidRPr="00D81799">
              <w:rPr>
                <w:rFonts w:ascii="Calibri" w:eastAsia="Times New Roman" w:hAnsi="Calibri" w:cs="Calibri"/>
                <w:color w:val="000000"/>
                <w:sz w:val="16"/>
                <w:szCs w:val="16"/>
                <w:vertAlign w:val="superscript"/>
                <w:lang w:eastAsia="en-GB"/>
              </w:rPr>
              <w:t>2</w:t>
            </w:r>
            <w:r>
              <w:rPr>
                <w:rFonts w:ascii="Calibri" w:eastAsia="Times New Roman" w:hAnsi="Calibri" w:cs="Calibri"/>
                <w:color w:val="000000"/>
                <w:sz w:val="16"/>
                <w:szCs w:val="16"/>
                <w:lang w:eastAsia="en-GB"/>
              </w:rPr>
              <w:t>.</w:t>
            </w:r>
          </w:p>
          <w:p w14:paraId="3F5FEF80" w14:textId="77777777" w:rsidR="00720EF7" w:rsidRDefault="00720EF7" w:rsidP="00720EF7">
            <w:pPr>
              <w:spacing w:after="0" w:line="240" w:lineRule="auto"/>
              <w:rPr>
                <w:rFonts w:ascii="Calibri" w:eastAsia="Times New Roman" w:hAnsi="Calibri" w:cs="Calibri"/>
                <w:color w:val="000000"/>
                <w:sz w:val="16"/>
                <w:szCs w:val="16"/>
                <w:lang w:eastAsia="en-GB"/>
              </w:rPr>
            </w:pPr>
          </w:p>
          <w:p w14:paraId="5E73C682" w14:textId="77777777" w:rsidR="00720EF7" w:rsidRDefault="00720EF7" w:rsidP="00720EF7">
            <w:pPr>
              <w:spacing w:after="0" w:line="240" w:lineRule="auto"/>
              <w:rPr>
                <w:rFonts w:ascii="Calibri" w:eastAsia="Times New Roman" w:hAnsi="Calibri" w:cs="Calibri"/>
                <w:color w:val="000000"/>
                <w:sz w:val="16"/>
                <w:szCs w:val="16"/>
                <w:lang w:eastAsia="en-GB"/>
              </w:rPr>
            </w:pPr>
            <w:r w:rsidRPr="009D42EA">
              <w:rPr>
                <w:rFonts w:ascii="Calibri" w:eastAsia="Times New Roman" w:hAnsi="Calibri" w:cs="Calibri"/>
                <w:b/>
                <w:bCs/>
                <w:color w:val="000000"/>
                <w:sz w:val="16"/>
                <w:szCs w:val="16"/>
                <w:lang w:eastAsia="en-GB"/>
              </w:rPr>
              <w:t>NE Package:</w:t>
            </w:r>
            <w:r>
              <w:rPr>
                <w:rFonts w:ascii="Calibri" w:eastAsia="Times New Roman" w:hAnsi="Calibri" w:cs="Calibri"/>
                <w:b/>
                <w:bCs/>
                <w:color w:val="000000"/>
                <w:sz w:val="16"/>
                <w:szCs w:val="16"/>
                <w:lang w:eastAsia="en-GB"/>
              </w:rPr>
              <w:t xml:space="preserve"> </w:t>
            </w:r>
            <w:r w:rsidRPr="00FC79B0">
              <w:rPr>
                <w:rFonts w:ascii="Calibri" w:eastAsia="Times New Roman" w:hAnsi="Calibri" w:cs="Calibri"/>
                <w:color w:val="000000"/>
                <w:sz w:val="16"/>
                <w:szCs w:val="16"/>
                <w:lang w:eastAsia="en-GB"/>
              </w:rPr>
              <w:t>The Bunker et al (2019) report estimated a decrease in seagrass area from 7,607 m</w:t>
            </w:r>
            <w:r w:rsidRPr="00D537A0">
              <w:rPr>
                <w:rFonts w:ascii="Calibri" w:eastAsia="Times New Roman" w:hAnsi="Calibri" w:cs="Calibri"/>
                <w:color w:val="000000"/>
                <w:sz w:val="16"/>
                <w:szCs w:val="16"/>
                <w:vertAlign w:val="superscript"/>
                <w:lang w:eastAsia="en-GB"/>
              </w:rPr>
              <w:t>2</w:t>
            </w:r>
            <w:r w:rsidRPr="00FC79B0">
              <w:rPr>
                <w:rFonts w:ascii="Calibri" w:eastAsia="Times New Roman" w:hAnsi="Calibri" w:cs="Calibri"/>
                <w:color w:val="000000"/>
                <w:sz w:val="16"/>
                <w:szCs w:val="16"/>
                <w:lang w:eastAsia="en-GB"/>
              </w:rPr>
              <w:t xml:space="preserve"> to 3,149 m</w:t>
            </w:r>
            <w:r w:rsidRPr="00D537A0">
              <w:rPr>
                <w:rFonts w:ascii="Calibri" w:eastAsia="Times New Roman" w:hAnsi="Calibri" w:cs="Calibri"/>
                <w:color w:val="000000"/>
                <w:sz w:val="16"/>
                <w:szCs w:val="16"/>
                <w:vertAlign w:val="superscript"/>
                <w:lang w:eastAsia="en-GB"/>
              </w:rPr>
              <w:t>2</w:t>
            </w:r>
            <w:r w:rsidRPr="00FC79B0">
              <w:rPr>
                <w:rFonts w:ascii="Calibri" w:eastAsia="Times New Roman" w:hAnsi="Calibri" w:cs="Calibri"/>
                <w:color w:val="000000"/>
                <w:sz w:val="16"/>
                <w:szCs w:val="16"/>
                <w:lang w:eastAsia="en-GB"/>
              </w:rPr>
              <w:t xml:space="preserve"> between 2012 and 2018 at Firestone Bay. Equivalent to an 59% decrease in area. </w:t>
            </w:r>
            <w:r>
              <w:rPr>
                <w:rFonts w:ascii="Calibri" w:eastAsia="Times New Roman" w:hAnsi="Calibri" w:cs="Calibri"/>
                <w:color w:val="000000"/>
                <w:sz w:val="16"/>
                <w:szCs w:val="16"/>
                <w:lang w:eastAsia="en-GB"/>
              </w:rPr>
              <w:fldChar w:fldCharType="begin" w:fldLock="1"/>
            </w:r>
            <w:r>
              <w:rPr>
                <w:rFonts w:ascii="Calibri" w:eastAsia="Times New Roman" w:hAnsi="Calibri" w:cs="Calibri"/>
                <w:color w:val="000000"/>
                <w:sz w:val="16"/>
                <w:szCs w:val="16"/>
                <w:lang w:eastAsia="en-GB"/>
              </w:rPr>
              <w:instrText>ADDIN CSL_CITATION {"citationItems":[{"id":"ITEM-1","itemData":{"URL":"https://designatedsites.naturalengland.org.uk/Marine/MarineSiteDetail.aspx?SiteCode=UK0013111&amp;SiteName=plymouth&amp;countyCode=&amp;responsiblePerson=&amp;SeaArea=&amp;IFCAArea=&amp;HasCA=1&amp;NumMarineSeasonality=4&amp;SiteNameDisplay=Plymouth Sound and Estuaries SAC","author":[{"dropping-particle":"","family":"Natural England","given":"","non-dropping-particle":"","parse-names":false,"suffix":""}],"id":"ITEM-1","issued":{"date-parts":[["2023"]]},"title":"Natural England Conservation Advice for Marine Protected Areas Plymouth Sound and Estuaries SAC","type":"webpage"},"uris":["http://www.mendeley.com/documents/?uuid=4eec2dc4-8616-4fe0-9714-876dc3c4513b"]}],"mendeley":{"formattedCitation":"(Natural England, 2023)","plainTextFormattedCitation":"(Natural England, 2023)","previouslyFormattedCitation":"(Natural England, 2023)"},"properties":{"noteIndex":0},"schema":"https://github.com/citation-style-language/schema/raw/master/csl-citation.json"}</w:instrText>
            </w:r>
            <w:r>
              <w:rPr>
                <w:rFonts w:ascii="Calibri" w:eastAsia="Times New Roman" w:hAnsi="Calibri" w:cs="Calibri"/>
                <w:color w:val="000000"/>
                <w:sz w:val="16"/>
                <w:szCs w:val="16"/>
                <w:lang w:eastAsia="en-GB"/>
              </w:rPr>
              <w:fldChar w:fldCharType="separate"/>
            </w:r>
            <w:r w:rsidRPr="00C93BA3">
              <w:rPr>
                <w:rFonts w:ascii="Calibri" w:eastAsia="Times New Roman" w:hAnsi="Calibri" w:cs="Calibri"/>
                <w:noProof/>
                <w:color w:val="000000"/>
                <w:sz w:val="16"/>
                <w:szCs w:val="16"/>
                <w:lang w:eastAsia="en-GB"/>
              </w:rPr>
              <w:t>(Natural England, 2023)</w:t>
            </w:r>
            <w:r>
              <w:rPr>
                <w:rFonts w:ascii="Calibri" w:eastAsia="Times New Roman" w:hAnsi="Calibri" w:cs="Calibri"/>
                <w:color w:val="000000"/>
                <w:sz w:val="16"/>
                <w:szCs w:val="16"/>
                <w:lang w:eastAsia="en-GB"/>
              </w:rPr>
              <w:fldChar w:fldCharType="end"/>
            </w:r>
            <w:r>
              <w:rPr>
                <w:rFonts w:ascii="Calibri" w:eastAsia="Times New Roman" w:hAnsi="Calibri" w:cs="Calibri"/>
                <w:color w:val="000000"/>
                <w:sz w:val="16"/>
                <w:szCs w:val="16"/>
                <w:lang w:eastAsia="en-GB"/>
              </w:rPr>
              <w:t xml:space="preserve">. </w:t>
            </w:r>
          </w:p>
          <w:p w14:paraId="3964B287" w14:textId="77777777" w:rsidR="00357A28" w:rsidRDefault="00357A28" w:rsidP="00500C88">
            <w:pPr>
              <w:spacing w:after="0" w:line="240" w:lineRule="auto"/>
              <w:rPr>
                <w:rFonts w:ascii="Calibri" w:eastAsia="Times New Roman" w:hAnsi="Calibri" w:cs="Calibri"/>
                <w:color w:val="000000"/>
                <w:sz w:val="16"/>
                <w:szCs w:val="16"/>
                <w:lang w:eastAsia="en-GB"/>
              </w:rPr>
            </w:pPr>
          </w:p>
        </w:tc>
        <w:tc>
          <w:tcPr>
            <w:tcW w:w="2713" w:type="dxa"/>
            <w:tcBorders>
              <w:top w:val="single" w:sz="4" w:space="0" w:color="auto"/>
              <w:left w:val="nil"/>
              <w:bottom w:val="single" w:sz="4" w:space="0" w:color="auto"/>
              <w:right w:val="single" w:sz="4" w:space="0" w:color="auto"/>
            </w:tcBorders>
            <w:hideMark/>
          </w:tcPr>
          <w:p w14:paraId="6721AEEC" w14:textId="77777777" w:rsidR="00357A28" w:rsidRDefault="00357A28"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As for extent. </w:t>
            </w:r>
          </w:p>
        </w:tc>
        <w:tc>
          <w:tcPr>
            <w:tcW w:w="1360" w:type="dxa"/>
            <w:tcBorders>
              <w:top w:val="single" w:sz="4" w:space="0" w:color="auto"/>
              <w:left w:val="nil"/>
              <w:bottom w:val="single" w:sz="4" w:space="0" w:color="auto"/>
              <w:right w:val="single" w:sz="4" w:space="0" w:color="auto"/>
            </w:tcBorders>
            <w:noWrap/>
            <w:hideMark/>
          </w:tcPr>
          <w:p w14:paraId="12407153" w14:textId="3FDD1750" w:rsidR="00357A28" w:rsidRDefault="00357A28"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As for extent - Declining </w:t>
            </w:r>
          </w:p>
        </w:tc>
        <w:tc>
          <w:tcPr>
            <w:tcW w:w="870" w:type="dxa"/>
            <w:tcBorders>
              <w:top w:val="single" w:sz="4" w:space="0" w:color="auto"/>
              <w:left w:val="single" w:sz="4" w:space="0" w:color="auto"/>
              <w:bottom w:val="single" w:sz="4" w:space="0" w:color="auto"/>
              <w:right w:val="single" w:sz="4" w:space="0" w:color="auto"/>
            </w:tcBorders>
            <w:shd w:val="clear" w:color="auto" w:fill="FFA3A3"/>
            <w:vAlign w:val="center"/>
            <w:hideMark/>
          </w:tcPr>
          <w:p w14:paraId="4D482B9B" w14:textId="77777777" w:rsidR="00357A28" w:rsidRDefault="00357A28" w:rsidP="00500C88">
            <w:pPr>
              <w:spacing w:after="0" w:line="240" w:lineRule="auto"/>
              <w:jc w:val="center"/>
              <w:rPr>
                <w:rFonts w:ascii="Calibri" w:eastAsia="Times New Roman" w:hAnsi="Calibri" w:cs="Calibri"/>
                <w:b/>
                <w:bCs/>
                <w:color w:val="000000"/>
                <w:sz w:val="16"/>
                <w:szCs w:val="16"/>
                <w:lang w:eastAsia="en-GB"/>
              </w:rPr>
            </w:pPr>
            <w:r w:rsidRPr="007C0E0B">
              <w:rPr>
                <w:rFonts w:ascii="Calibri" w:eastAsia="Times New Roman" w:hAnsi="Calibri" w:cs="Calibri"/>
                <w:b/>
                <w:bCs/>
                <w:sz w:val="16"/>
                <w:szCs w:val="16"/>
                <w:lang w:eastAsia="en-GB"/>
              </w:rPr>
              <w:t>C           (4)</w:t>
            </w:r>
          </w:p>
        </w:tc>
      </w:tr>
      <w:tr w:rsidR="00357A28" w14:paraId="48226407" w14:textId="77777777" w:rsidTr="00585476">
        <w:trPr>
          <w:trHeight w:val="300"/>
        </w:trPr>
        <w:tc>
          <w:tcPr>
            <w:tcW w:w="0" w:type="auto"/>
            <w:vMerge/>
            <w:tcBorders>
              <w:top w:val="nil"/>
              <w:left w:val="single" w:sz="8" w:space="0" w:color="auto"/>
              <w:bottom w:val="single" w:sz="8" w:space="0" w:color="000000"/>
              <w:right w:val="nil"/>
            </w:tcBorders>
            <w:vAlign w:val="center"/>
            <w:hideMark/>
          </w:tcPr>
          <w:p w14:paraId="601AE19C" w14:textId="77777777" w:rsidR="00357A28" w:rsidRDefault="00357A28"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4DF92A" w14:textId="77777777" w:rsidR="00357A28" w:rsidRDefault="00357A28"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5C6B6C" w14:textId="77777777" w:rsidR="00357A28" w:rsidRDefault="00357A28" w:rsidP="00500C88">
            <w:pPr>
              <w:spacing w:after="0"/>
              <w:rPr>
                <w:rFonts w:ascii="Calibri" w:eastAsia="Times New Roman" w:hAnsi="Calibri" w:cs="Calibri"/>
                <w:b/>
                <w:bCs/>
                <w:color w:val="000000"/>
                <w:sz w:val="16"/>
                <w:szCs w:val="16"/>
                <w:lang w:eastAsia="en-GB"/>
              </w:rPr>
            </w:pPr>
          </w:p>
        </w:tc>
        <w:tc>
          <w:tcPr>
            <w:tcW w:w="0" w:type="auto"/>
            <w:vMerge/>
            <w:tcBorders>
              <w:top w:val="single" w:sz="4" w:space="0" w:color="auto"/>
              <w:left w:val="single" w:sz="4" w:space="0" w:color="auto"/>
              <w:bottom w:val="single" w:sz="8" w:space="0" w:color="auto"/>
              <w:right w:val="single" w:sz="4" w:space="0" w:color="auto"/>
            </w:tcBorders>
            <w:vAlign w:val="center"/>
            <w:hideMark/>
          </w:tcPr>
          <w:p w14:paraId="6891B353" w14:textId="77777777" w:rsidR="00357A28" w:rsidRDefault="00357A28" w:rsidP="00500C88">
            <w:pPr>
              <w:spacing w:after="0"/>
              <w:rPr>
                <w:rFonts w:ascii="Calibri" w:eastAsia="Times New Roman" w:hAnsi="Calibri" w:cs="Calibri"/>
                <w:color w:val="000000"/>
                <w:sz w:val="16"/>
                <w:szCs w:val="16"/>
                <w:lang w:eastAsia="en-GB"/>
              </w:rPr>
            </w:pPr>
          </w:p>
        </w:tc>
        <w:tc>
          <w:tcPr>
            <w:tcW w:w="6300" w:type="dxa"/>
            <w:gridSpan w:val="2"/>
            <w:tcBorders>
              <w:top w:val="single" w:sz="4" w:space="0" w:color="auto"/>
              <w:left w:val="nil"/>
              <w:bottom w:val="single" w:sz="4" w:space="0" w:color="auto"/>
              <w:right w:val="single" w:sz="4" w:space="0" w:color="auto"/>
            </w:tcBorders>
            <w:vAlign w:val="center"/>
            <w:hideMark/>
          </w:tcPr>
          <w:p w14:paraId="3899649D" w14:textId="77777777" w:rsidR="00357A28" w:rsidRDefault="00357A28"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w:t>
            </w:r>
          </w:p>
        </w:tc>
        <w:tc>
          <w:tcPr>
            <w:tcW w:w="1360" w:type="dxa"/>
            <w:tcBorders>
              <w:top w:val="nil"/>
              <w:left w:val="nil"/>
              <w:bottom w:val="single" w:sz="4" w:space="0" w:color="auto"/>
              <w:right w:val="single" w:sz="4" w:space="0" w:color="auto"/>
            </w:tcBorders>
            <w:vAlign w:val="center"/>
            <w:hideMark/>
          </w:tcPr>
          <w:p w14:paraId="6FB5B40C" w14:textId="77777777" w:rsidR="00357A28" w:rsidRDefault="00357A28"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w:t>
            </w:r>
          </w:p>
        </w:tc>
        <w:tc>
          <w:tcPr>
            <w:tcW w:w="870" w:type="dxa"/>
            <w:vMerge w:val="restart"/>
            <w:tcBorders>
              <w:top w:val="nil"/>
              <w:left w:val="single" w:sz="4" w:space="0" w:color="auto"/>
              <w:bottom w:val="single" w:sz="4" w:space="0" w:color="auto"/>
              <w:right w:val="single" w:sz="4" w:space="0" w:color="auto"/>
            </w:tcBorders>
            <w:vAlign w:val="center"/>
            <w:hideMark/>
          </w:tcPr>
          <w:p w14:paraId="28C92879" w14:textId="77777777" w:rsidR="00357A28" w:rsidRDefault="00357A28" w:rsidP="00500C88">
            <w:pPr>
              <w:rPr>
                <w:rFonts w:ascii="Calibri" w:eastAsia="Times New Roman" w:hAnsi="Calibri" w:cs="Calibri"/>
                <w:color w:val="000000"/>
                <w:sz w:val="16"/>
                <w:szCs w:val="16"/>
                <w:lang w:eastAsia="en-GB"/>
              </w:rPr>
            </w:pPr>
          </w:p>
        </w:tc>
      </w:tr>
      <w:tr w:rsidR="00357A28" w14:paraId="0898C77C" w14:textId="77777777" w:rsidTr="00585476">
        <w:trPr>
          <w:trHeight w:val="315"/>
        </w:trPr>
        <w:tc>
          <w:tcPr>
            <w:tcW w:w="0" w:type="auto"/>
            <w:vMerge/>
            <w:tcBorders>
              <w:top w:val="nil"/>
              <w:left w:val="single" w:sz="8" w:space="0" w:color="auto"/>
              <w:bottom w:val="single" w:sz="8" w:space="0" w:color="000000"/>
              <w:right w:val="nil"/>
            </w:tcBorders>
            <w:vAlign w:val="center"/>
            <w:hideMark/>
          </w:tcPr>
          <w:p w14:paraId="6A64319D" w14:textId="77777777" w:rsidR="00357A28" w:rsidRDefault="00357A28"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D04268" w14:textId="77777777" w:rsidR="00357A28" w:rsidRDefault="00357A28"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90589C" w14:textId="77777777" w:rsidR="00357A28" w:rsidRDefault="00357A28" w:rsidP="00500C88">
            <w:pPr>
              <w:spacing w:after="0"/>
              <w:rPr>
                <w:rFonts w:ascii="Calibri" w:eastAsia="Times New Roman" w:hAnsi="Calibri" w:cs="Calibri"/>
                <w:b/>
                <w:bCs/>
                <w:color w:val="000000"/>
                <w:sz w:val="16"/>
                <w:szCs w:val="16"/>
                <w:lang w:eastAsia="en-GB"/>
              </w:rPr>
            </w:pPr>
          </w:p>
        </w:tc>
        <w:tc>
          <w:tcPr>
            <w:tcW w:w="0" w:type="auto"/>
            <w:vMerge/>
            <w:tcBorders>
              <w:top w:val="single" w:sz="4" w:space="0" w:color="auto"/>
              <w:left w:val="single" w:sz="4" w:space="0" w:color="auto"/>
              <w:bottom w:val="single" w:sz="8" w:space="0" w:color="auto"/>
              <w:right w:val="single" w:sz="4" w:space="0" w:color="auto"/>
            </w:tcBorders>
            <w:vAlign w:val="center"/>
            <w:hideMark/>
          </w:tcPr>
          <w:p w14:paraId="6CA447CA" w14:textId="77777777" w:rsidR="00357A28" w:rsidRDefault="00357A28" w:rsidP="00500C88">
            <w:pPr>
              <w:spacing w:after="0"/>
              <w:rPr>
                <w:rFonts w:ascii="Calibri" w:eastAsia="Times New Roman" w:hAnsi="Calibri" w:cs="Calibri"/>
                <w:color w:val="000000"/>
                <w:sz w:val="16"/>
                <w:szCs w:val="16"/>
                <w:lang w:eastAsia="en-GB"/>
              </w:rPr>
            </w:pPr>
          </w:p>
        </w:tc>
        <w:tc>
          <w:tcPr>
            <w:tcW w:w="6300" w:type="dxa"/>
            <w:gridSpan w:val="2"/>
            <w:tcBorders>
              <w:top w:val="single" w:sz="4" w:space="0" w:color="auto"/>
              <w:left w:val="nil"/>
              <w:bottom w:val="single" w:sz="4" w:space="0" w:color="auto"/>
              <w:right w:val="single" w:sz="4" w:space="0" w:color="auto"/>
            </w:tcBorders>
            <w:vAlign w:val="center"/>
            <w:hideMark/>
          </w:tcPr>
          <w:p w14:paraId="7562F89B" w14:textId="77777777" w:rsidR="00357A28" w:rsidRDefault="00357A28"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1360" w:type="dxa"/>
            <w:tcBorders>
              <w:top w:val="nil"/>
              <w:left w:val="nil"/>
              <w:bottom w:val="single" w:sz="4" w:space="0" w:color="auto"/>
              <w:right w:val="single" w:sz="4" w:space="0" w:color="auto"/>
            </w:tcBorders>
            <w:vAlign w:val="center"/>
            <w:hideMark/>
          </w:tcPr>
          <w:p w14:paraId="70E8459F" w14:textId="77777777" w:rsidR="00357A28" w:rsidRDefault="00357A28"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0" w:type="auto"/>
            <w:vMerge/>
            <w:tcBorders>
              <w:top w:val="nil"/>
              <w:left w:val="single" w:sz="4" w:space="0" w:color="auto"/>
              <w:bottom w:val="single" w:sz="4" w:space="0" w:color="auto"/>
              <w:right w:val="single" w:sz="4" w:space="0" w:color="auto"/>
            </w:tcBorders>
            <w:vAlign w:val="center"/>
            <w:hideMark/>
          </w:tcPr>
          <w:p w14:paraId="19C3D395" w14:textId="77777777" w:rsidR="00357A28" w:rsidRDefault="00357A28" w:rsidP="00500C88">
            <w:pPr>
              <w:spacing w:after="0"/>
              <w:rPr>
                <w:rFonts w:ascii="Calibri" w:eastAsia="Times New Roman" w:hAnsi="Calibri" w:cs="Calibri"/>
                <w:color w:val="000000"/>
                <w:sz w:val="16"/>
                <w:szCs w:val="16"/>
                <w:lang w:eastAsia="en-GB"/>
              </w:rPr>
            </w:pPr>
          </w:p>
        </w:tc>
      </w:tr>
    </w:tbl>
    <w:p w14:paraId="5A9CF477" w14:textId="77777777" w:rsidR="00A53EE7" w:rsidRDefault="00A53EE7"/>
    <w:tbl>
      <w:tblPr>
        <w:tblW w:w="13580" w:type="dxa"/>
        <w:tblLook w:val="04A0" w:firstRow="1" w:lastRow="0" w:firstColumn="1" w:lastColumn="0" w:noHBand="0" w:noVBand="1"/>
      </w:tblPr>
      <w:tblGrid>
        <w:gridCol w:w="1130"/>
        <w:gridCol w:w="973"/>
        <w:gridCol w:w="1402"/>
        <w:gridCol w:w="1545"/>
        <w:gridCol w:w="3587"/>
        <w:gridCol w:w="2713"/>
        <w:gridCol w:w="1360"/>
        <w:gridCol w:w="870"/>
      </w:tblGrid>
      <w:tr w:rsidR="00A53EE7" w14:paraId="6A3619B1" w14:textId="77777777" w:rsidTr="00500C88">
        <w:trPr>
          <w:trHeight w:val="780"/>
          <w:tblHeader/>
        </w:trPr>
        <w:tc>
          <w:tcPr>
            <w:tcW w:w="1130" w:type="dxa"/>
            <w:tcBorders>
              <w:top w:val="single" w:sz="8" w:space="0" w:color="auto"/>
              <w:left w:val="single" w:sz="8" w:space="0" w:color="auto"/>
              <w:bottom w:val="single" w:sz="8" w:space="0" w:color="auto"/>
              <w:right w:val="single" w:sz="8" w:space="0" w:color="auto"/>
            </w:tcBorders>
            <w:hideMark/>
          </w:tcPr>
          <w:p w14:paraId="59E9494D" w14:textId="77777777" w:rsidR="00A53EE7" w:rsidRDefault="00A53EE7"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Broad Habitat type</w:t>
            </w:r>
          </w:p>
        </w:tc>
        <w:tc>
          <w:tcPr>
            <w:tcW w:w="973" w:type="dxa"/>
            <w:tcBorders>
              <w:top w:val="single" w:sz="8" w:space="0" w:color="auto"/>
              <w:left w:val="nil"/>
              <w:bottom w:val="nil"/>
              <w:right w:val="single" w:sz="8" w:space="0" w:color="auto"/>
            </w:tcBorders>
            <w:hideMark/>
          </w:tcPr>
          <w:p w14:paraId="65ADE2E4" w14:textId="77777777" w:rsidR="00A53EE7" w:rsidRDefault="00A53EE7"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Habitat / Species Asset</w:t>
            </w:r>
          </w:p>
        </w:tc>
        <w:tc>
          <w:tcPr>
            <w:tcW w:w="1402" w:type="dxa"/>
            <w:tcBorders>
              <w:top w:val="single" w:sz="8" w:space="0" w:color="auto"/>
              <w:left w:val="nil"/>
              <w:bottom w:val="nil"/>
              <w:right w:val="single" w:sz="8" w:space="0" w:color="auto"/>
            </w:tcBorders>
            <w:hideMark/>
          </w:tcPr>
          <w:p w14:paraId="5AE62F73" w14:textId="77777777" w:rsidR="00A53EE7" w:rsidRDefault="00A53EE7"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Benefit</w:t>
            </w:r>
          </w:p>
        </w:tc>
        <w:tc>
          <w:tcPr>
            <w:tcW w:w="1545" w:type="dxa"/>
            <w:tcBorders>
              <w:top w:val="single" w:sz="8" w:space="0" w:color="auto"/>
              <w:left w:val="nil"/>
              <w:bottom w:val="nil"/>
              <w:right w:val="single" w:sz="8" w:space="0" w:color="auto"/>
            </w:tcBorders>
            <w:noWrap/>
            <w:hideMark/>
          </w:tcPr>
          <w:p w14:paraId="4BB73AD3" w14:textId="77777777" w:rsidR="00A53EE7" w:rsidRDefault="00A53EE7"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Characteristic</w:t>
            </w:r>
          </w:p>
        </w:tc>
        <w:tc>
          <w:tcPr>
            <w:tcW w:w="3587" w:type="dxa"/>
            <w:tcBorders>
              <w:top w:val="single" w:sz="8" w:space="0" w:color="auto"/>
              <w:left w:val="nil"/>
              <w:bottom w:val="nil"/>
              <w:right w:val="single" w:sz="8" w:space="0" w:color="auto"/>
            </w:tcBorders>
            <w:noWrap/>
            <w:hideMark/>
          </w:tcPr>
          <w:p w14:paraId="4F5887A5" w14:textId="77777777" w:rsidR="00A53EE7" w:rsidRDefault="00A53EE7"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Current Status</w:t>
            </w:r>
          </w:p>
        </w:tc>
        <w:tc>
          <w:tcPr>
            <w:tcW w:w="2713" w:type="dxa"/>
            <w:tcBorders>
              <w:top w:val="single" w:sz="8" w:space="0" w:color="auto"/>
              <w:left w:val="nil"/>
              <w:bottom w:val="nil"/>
              <w:right w:val="single" w:sz="8" w:space="0" w:color="auto"/>
            </w:tcBorders>
            <w:noWrap/>
            <w:hideMark/>
          </w:tcPr>
          <w:p w14:paraId="12589A5D" w14:textId="77777777" w:rsidR="00A53EE7" w:rsidRDefault="00A53EE7"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Target</w:t>
            </w:r>
          </w:p>
        </w:tc>
        <w:tc>
          <w:tcPr>
            <w:tcW w:w="1360" w:type="dxa"/>
            <w:tcBorders>
              <w:top w:val="single" w:sz="8" w:space="0" w:color="auto"/>
              <w:left w:val="nil"/>
              <w:bottom w:val="nil"/>
              <w:right w:val="single" w:sz="8" w:space="0" w:color="auto"/>
            </w:tcBorders>
            <w:noWrap/>
            <w:hideMark/>
          </w:tcPr>
          <w:p w14:paraId="6C2697F5" w14:textId="77777777" w:rsidR="00A53EE7" w:rsidRDefault="00A53EE7"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Trend</w:t>
            </w:r>
          </w:p>
        </w:tc>
        <w:tc>
          <w:tcPr>
            <w:tcW w:w="870" w:type="dxa"/>
            <w:tcBorders>
              <w:top w:val="single" w:sz="8" w:space="0" w:color="auto"/>
              <w:left w:val="nil"/>
              <w:bottom w:val="single" w:sz="4" w:space="0" w:color="auto"/>
              <w:right w:val="single" w:sz="8" w:space="0" w:color="auto"/>
            </w:tcBorders>
            <w:noWrap/>
            <w:hideMark/>
          </w:tcPr>
          <w:p w14:paraId="1FA0785C" w14:textId="77777777" w:rsidR="00A53EE7" w:rsidRDefault="00A53EE7"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RAG</w:t>
            </w:r>
          </w:p>
        </w:tc>
      </w:tr>
      <w:tr w:rsidR="00A53EE7" w14:paraId="736509A5" w14:textId="77777777" w:rsidTr="00500C88">
        <w:trPr>
          <w:trHeight w:val="2019"/>
        </w:trPr>
        <w:tc>
          <w:tcPr>
            <w:tcW w:w="1130" w:type="dxa"/>
            <w:vMerge w:val="restart"/>
            <w:tcBorders>
              <w:top w:val="nil"/>
              <w:left w:val="single" w:sz="8" w:space="0" w:color="auto"/>
              <w:bottom w:val="single" w:sz="8" w:space="0" w:color="000000"/>
              <w:right w:val="nil"/>
            </w:tcBorders>
            <w:shd w:val="clear" w:color="auto" w:fill="F2F2F2"/>
            <w:noWrap/>
            <w:hideMark/>
          </w:tcPr>
          <w:p w14:paraId="388484F3" w14:textId="77777777" w:rsidR="00A53EE7" w:rsidRDefault="00A53EE7"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Coastal Margin</w:t>
            </w:r>
          </w:p>
        </w:tc>
        <w:tc>
          <w:tcPr>
            <w:tcW w:w="973" w:type="dxa"/>
            <w:vMerge w:val="restart"/>
            <w:tcBorders>
              <w:top w:val="single" w:sz="4" w:space="0" w:color="auto"/>
              <w:left w:val="single" w:sz="4" w:space="0" w:color="auto"/>
              <w:bottom w:val="single" w:sz="4" w:space="0" w:color="auto"/>
              <w:right w:val="single" w:sz="4" w:space="0" w:color="auto"/>
            </w:tcBorders>
            <w:hideMark/>
          </w:tcPr>
          <w:p w14:paraId="4EED3C76" w14:textId="1A864782" w:rsidR="00A53EE7" w:rsidRDefault="00A53EE7"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Subtidal Seagrass – </w:t>
            </w:r>
            <w:r w:rsidR="00CB7DB7">
              <w:rPr>
                <w:rFonts w:ascii="Calibri" w:eastAsia="Times New Roman" w:hAnsi="Calibri" w:cs="Calibri"/>
                <w:color w:val="000000"/>
                <w:sz w:val="16"/>
                <w:szCs w:val="16"/>
                <w:lang w:eastAsia="en-GB"/>
              </w:rPr>
              <w:t>Drake’s Island</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7E356111" w14:textId="77777777" w:rsidR="00A53EE7" w:rsidRDefault="00A53EE7"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 Food (Wild Food - fish and shellfish).    </w:t>
            </w:r>
          </w:p>
          <w:p w14:paraId="60D9C016" w14:textId="77777777" w:rsidR="00A53EE7" w:rsidRDefault="00A53EE7" w:rsidP="00500C88">
            <w:pPr>
              <w:spacing w:after="0" w:line="240" w:lineRule="auto"/>
              <w:ind w:hanging="52"/>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Healthy climate (carbon sequestration).         • Sea defence. (</w:t>
            </w:r>
            <w:proofErr w:type="gramStart"/>
            <w:r>
              <w:rPr>
                <w:rFonts w:ascii="Calibri" w:eastAsia="Times New Roman" w:hAnsi="Calibri" w:cs="Calibri"/>
                <w:b/>
                <w:bCs/>
                <w:color w:val="000000"/>
                <w:sz w:val="16"/>
                <w:szCs w:val="16"/>
                <w:lang w:eastAsia="en-GB"/>
              </w:rPr>
              <w:t>natural</w:t>
            </w:r>
            <w:proofErr w:type="gramEnd"/>
            <w:r>
              <w:rPr>
                <w:rFonts w:ascii="Calibri" w:eastAsia="Times New Roman" w:hAnsi="Calibri" w:cs="Calibri"/>
                <w:b/>
                <w:bCs/>
                <w:color w:val="000000"/>
                <w:sz w:val="16"/>
                <w:szCs w:val="16"/>
                <w:lang w:eastAsia="en-GB"/>
              </w:rPr>
              <w:t xml:space="preserve"> hazard regulation).               • Tourism/nature watching.                  • Clean water and sediments.</w:t>
            </w:r>
          </w:p>
        </w:tc>
        <w:tc>
          <w:tcPr>
            <w:tcW w:w="1545" w:type="dxa"/>
            <w:vMerge w:val="restart"/>
            <w:tcBorders>
              <w:top w:val="single" w:sz="4" w:space="0" w:color="auto"/>
              <w:left w:val="single" w:sz="4" w:space="0" w:color="auto"/>
              <w:bottom w:val="single" w:sz="4" w:space="0" w:color="auto"/>
              <w:right w:val="single" w:sz="4" w:space="0" w:color="auto"/>
            </w:tcBorders>
            <w:noWrap/>
            <w:hideMark/>
          </w:tcPr>
          <w:p w14:paraId="1CAAF006" w14:textId="77777777" w:rsidR="00A53EE7" w:rsidRDefault="00A53EE7"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Quantity/Extent</w:t>
            </w:r>
          </w:p>
        </w:tc>
        <w:tc>
          <w:tcPr>
            <w:tcW w:w="3587" w:type="dxa"/>
            <w:tcBorders>
              <w:top w:val="single" w:sz="4" w:space="0" w:color="auto"/>
              <w:left w:val="nil"/>
              <w:bottom w:val="single" w:sz="4" w:space="0" w:color="auto"/>
              <w:right w:val="single" w:sz="4" w:space="0" w:color="auto"/>
            </w:tcBorders>
            <w:hideMark/>
          </w:tcPr>
          <w:p w14:paraId="64C6DC76" w14:textId="2329ED85" w:rsidR="00A53EE7" w:rsidRPr="00D81799" w:rsidRDefault="00A53EE7" w:rsidP="00500C88">
            <w:pPr>
              <w:spacing w:after="0" w:line="240" w:lineRule="auto"/>
              <w:rPr>
                <w:rFonts w:ascii="Calibri" w:eastAsia="Times New Roman" w:hAnsi="Calibri" w:cs="Calibri"/>
                <w:color w:val="000000"/>
                <w:sz w:val="16"/>
                <w:szCs w:val="16"/>
                <w:lang w:eastAsia="en-GB"/>
              </w:rPr>
            </w:pPr>
            <w:r w:rsidRPr="00BA66F3">
              <w:rPr>
                <w:rFonts w:ascii="Calibri" w:eastAsia="Times New Roman" w:hAnsi="Calibri" w:cs="Calibri"/>
                <w:b/>
                <w:bCs/>
                <w:color w:val="000000"/>
                <w:sz w:val="16"/>
                <w:szCs w:val="16"/>
                <w:lang w:eastAsia="en-GB"/>
              </w:rPr>
              <w:t>Composite mapping</w:t>
            </w:r>
            <w:r>
              <w:rPr>
                <w:rFonts w:ascii="Calibri" w:eastAsia="Times New Roman" w:hAnsi="Calibri" w:cs="Calibri"/>
                <w:color w:val="000000"/>
                <w:sz w:val="16"/>
                <w:szCs w:val="16"/>
                <w:lang w:eastAsia="en-GB"/>
              </w:rPr>
              <w:t xml:space="preserve">: </w:t>
            </w:r>
            <w:r w:rsidR="00332DBC" w:rsidRPr="00332DBC">
              <w:rPr>
                <w:rFonts w:ascii="Calibri" w:eastAsia="Times New Roman" w:hAnsi="Calibri" w:cs="Calibri"/>
                <w:color w:val="000000"/>
                <w:sz w:val="16"/>
                <w:szCs w:val="16"/>
                <w:lang w:eastAsia="en-GB"/>
              </w:rPr>
              <w:t>seagrass bed at Drake’s Island to have an area of 0.052 Km2</w:t>
            </w:r>
          </w:p>
          <w:p w14:paraId="3C04833E" w14:textId="77777777" w:rsidR="00A53EE7" w:rsidRDefault="00A53EE7" w:rsidP="00500C88">
            <w:pPr>
              <w:spacing w:after="0" w:line="240" w:lineRule="auto"/>
              <w:rPr>
                <w:rFonts w:ascii="Calibri" w:eastAsia="Times New Roman" w:hAnsi="Calibri" w:cs="Calibri"/>
                <w:color w:val="000000"/>
                <w:sz w:val="16"/>
                <w:szCs w:val="16"/>
                <w:lang w:eastAsia="en-GB"/>
              </w:rPr>
            </w:pPr>
          </w:p>
          <w:p w14:paraId="142BBC57" w14:textId="5F37B7FE" w:rsidR="00A53EE7" w:rsidRDefault="00A53EE7" w:rsidP="00500C88">
            <w:pPr>
              <w:spacing w:after="0" w:line="240" w:lineRule="auto"/>
              <w:rPr>
                <w:rFonts w:ascii="Calibri" w:eastAsia="Times New Roman" w:hAnsi="Calibri" w:cs="Calibri"/>
                <w:color w:val="000000"/>
                <w:sz w:val="16"/>
                <w:szCs w:val="16"/>
                <w:lang w:eastAsia="en-GB"/>
              </w:rPr>
            </w:pPr>
            <w:r w:rsidRPr="009D42EA">
              <w:rPr>
                <w:rFonts w:ascii="Calibri" w:eastAsia="Times New Roman" w:hAnsi="Calibri" w:cs="Calibri"/>
                <w:b/>
                <w:bCs/>
                <w:color w:val="000000"/>
                <w:sz w:val="16"/>
                <w:szCs w:val="16"/>
                <w:lang w:eastAsia="en-GB"/>
              </w:rPr>
              <w:t>NE Package:</w:t>
            </w:r>
            <w:r>
              <w:rPr>
                <w:rFonts w:ascii="Calibri" w:eastAsia="Times New Roman" w:hAnsi="Calibri" w:cs="Calibri"/>
                <w:b/>
                <w:bCs/>
                <w:color w:val="000000"/>
                <w:sz w:val="16"/>
                <w:szCs w:val="16"/>
                <w:lang w:eastAsia="en-GB"/>
              </w:rPr>
              <w:t xml:space="preserve"> </w:t>
            </w:r>
            <w:r w:rsidR="00A374DE" w:rsidRPr="00A374DE">
              <w:rPr>
                <w:rFonts w:ascii="Calibri" w:eastAsia="Times New Roman" w:hAnsi="Calibri" w:cs="Calibri"/>
                <w:color w:val="000000"/>
                <w:sz w:val="16"/>
                <w:szCs w:val="16"/>
                <w:lang w:eastAsia="en-GB"/>
              </w:rPr>
              <w:t>The Bunker et al (2019) report estimated a decrease in seagrass area from 44,207 m</w:t>
            </w:r>
            <w:r w:rsidR="00A374DE" w:rsidRPr="008D30E2">
              <w:rPr>
                <w:rFonts w:ascii="Calibri" w:eastAsia="Times New Roman" w:hAnsi="Calibri" w:cs="Calibri"/>
                <w:color w:val="000000"/>
                <w:sz w:val="16"/>
                <w:szCs w:val="16"/>
                <w:vertAlign w:val="superscript"/>
                <w:lang w:eastAsia="en-GB"/>
              </w:rPr>
              <w:t>2</w:t>
            </w:r>
            <w:r w:rsidR="00A374DE" w:rsidRPr="00A374DE">
              <w:rPr>
                <w:rFonts w:ascii="Calibri" w:eastAsia="Times New Roman" w:hAnsi="Calibri" w:cs="Calibri"/>
                <w:color w:val="000000"/>
                <w:sz w:val="16"/>
                <w:szCs w:val="16"/>
                <w:lang w:eastAsia="en-GB"/>
              </w:rPr>
              <w:t xml:space="preserve"> to 40,734 m</w:t>
            </w:r>
            <w:r w:rsidR="00A374DE" w:rsidRPr="008D30E2">
              <w:rPr>
                <w:rFonts w:ascii="Calibri" w:eastAsia="Times New Roman" w:hAnsi="Calibri" w:cs="Calibri"/>
                <w:color w:val="000000"/>
                <w:sz w:val="16"/>
                <w:szCs w:val="16"/>
                <w:vertAlign w:val="superscript"/>
                <w:lang w:eastAsia="en-GB"/>
              </w:rPr>
              <w:t>2</w:t>
            </w:r>
            <w:r w:rsidR="00A374DE" w:rsidRPr="00A374DE">
              <w:rPr>
                <w:rFonts w:ascii="Calibri" w:eastAsia="Times New Roman" w:hAnsi="Calibri" w:cs="Calibri"/>
                <w:color w:val="000000"/>
                <w:sz w:val="16"/>
                <w:szCs w:val="16"/>
                <w:lang w:eastAsia="en-GB"/>
              </w:rPr>
              <w:t xml:space="preserve"> between 2012 and 2018 at Drake’s Island. Equivalent to an 8% decrease in area. </w:t>
            </w:r>
            <w:r>
              <w:rPr>
                <w:rFonts w:ascii="Calibri" w:eastAsia="Times New Roman" w:hAnsi="Calibri" w:cs="Calibri"/>
                <w:color w:val="000000"/>
                <w:sz w:val="16"/>
                <w:szCs w:val="16"/>
                <w:lang w:eastAsia="en-GB"/>
              </w:rPr>
              <w:fldChar w:fldCharType="begin" w:fldLock="1"/>
            </w:r>
            <w:r>
              <w:rPr>
                <w:rFonts w:ascii="Calibri" w:eastAsia="Times New Roman" w:hAnsi="Calibri" w:cs="Calibri"/>
                <w:color w:val="000000"/>
                <w:sz w:val="16"/>
                <w:szCs w:val="16"/>
                <w:lang w:eastAsia="en-GB"/>
              </w:rPr>
              <w:instrText>ADDIN CSL_CITATION {"citationItems":[{"id":"ITEM-1","itemData":{"URL":"https://designatedsites.naturalengland.org.uk/Marine/MarineSiteDetail.aspx?SiteCode=UK0013111&amp;SiteName=plymouth&amp;countyCode=&amp;responsiblePerson=&amp;SeaArea=&amp;IFCAArea=&amp;HasCA=1&amp;NumMarineSeasonality=4&amp;SiteNameDisplay=Plymouth Sound and Estuaries SAC","author":[{"dropping-particle":"","family":"Natural England","given":"","non-dropping-particle":"","parse-names":false,"suffix":""}],"id":"ITEM-1","issued":{"date-parts":[["2023"]]},"title":"Natural England Conservation Advice for Marine Protected Areas Plymouth Sound and Estuaries SAC","type":"webpage"},"uris":["http://www.mendeley.com/documents/?uuid=4eec2dc4-8616-4fe0-9714-876dc3c4513b"]}],"mendeley":{"formattedCitation":"(Natural England, 2023)","plainTextFormattedCitation":"(Natural England, 2023)","previouslyFormattedCitation":"(Natural England, 2023)"},"properties":{"noteIndex":0},"schema":"https://github.com/citation-style-language/schema/raw/master/csl-citation.json"}</w:instrText>
            </w:r>
            <w:r>
              <w:rPr>
                <w:rFonts w:ascii="Calibri" w:eastAsia="Times New Roman" w:hAnsi="Calibri" w:cs="Calibri"/>
                <w:color w:val="000000"/>
                <w:sz w:val="16"/>
                <w:szCs w:val="16"/>
                <w:lang w:eastAsia="en-GB"/>
              </w:rPr>
              <w:fldChar w:fldCharType="separate"/>
            </w:r>
            <w:r w:rsidRPr="00C93BA3">
              <w:rPr>
                <w:rFonts w:ascii="Calibri" w:eastAsia="Times New Roman" w:hAnsi="Calibri" w:cs="Calibri"/>
                <w:noProof/>
                <w:color w:val="000000"/>
                <w:sz w:val="16"/>
                <w:szCs w:val="16"/>
                <w:lang w:eastAsia="en-GB"/>
              </w:rPr>
              <w:t>(Natural England, 2023)</w:t>
            </w:r>
            <w:r>
              <w:rPr>
                <w:rFonts w:ascii="Calibri" w:eastAsia="Times New Roman" w:hAnsi="Calibri" w:cs="Calibri"/>
                <w:color w:val="000000"/>
                <w:sz w:val="16"/>
                <w:szCs w:val="16"/>
                <w:lang w:eastAsia="en-GB"/>
              </w:rPr>
              <w:fldChar w:fldCharType="end"/>
            </w:r>
            <w:r>
              <w:rPr>
                <w:rFonts w:ascii="Calibri" w:eastAsia="Times New Roman" w:hAnsi="Calibri" w:cs="Calibri"/>
                <w:color w:val="000000"/>
                <w:sz w:val="16"/>
                <w:szCs w:val="16"/>
                <w:lang w:eastAsia="en-GB"/>
              </w:rPr>
              <w:t xml:space="preserve">. </w:t>
            </w:r>
          </w:p>
          <w:p w14:paraId="6CE50EC6" w14:textId="77777777" w:rsidR="00A53EE7" w:rsidRDefault="00A53EE7" w:rsidP="00500C88">
            <w:pPr>
              <w:spacing w:after="0" w:line="240" w:lineRule="auto"/>
              <w:rPr>
                <w:rFonts w:ascii="Calibri" w:eastAsia="Times New Roman" w:hAnsi="Calibri" w:cs="Calibri"/>
                <w:b/>
                <w:bCs/>
                <w:color w:val="000000"/>
                <w:sz w:val="16"/>
                <w:szCs w:val="16"/>
                <w:lang w:eastAsia="en-GB"/>
              </w:rPr>
            </w:pPr>
          </w:p>
          <w:p w14:paraId="2A74B279" w14:textId="77777777" w:rsidR="00A53EE7" w:rsidRDefault="00A53EE7" w:rsidP="00500C88">
            <w:pPr>
              <w:spacing w:after="0" w:line="240" w:lineRule="auto"/>
              <w:rPr>
                <w:rFonts w:ascii="Calibri" w:eastAsia="Times New Roman" w:hAnsi="Calibri" w:cs="Calibri"/>
                <w:b/>
                <w:bCs/>
                <w:color w:val="000000"/>
                <w:sz w:val="16"/>
                <w:szCs w:val="16"/>
                <w:lang w:eastAsia="en-GB"/>
              </w:rPr>
            </w:pPr>
          </w:p>
          <w:p w14:paraId="59EF9F33" w14:textId="77777777" w:rsidR="00A53EE7" w:rsidRPr="009D42EA" w:rsidRDefault="00A53EE7" w:rsidP="00500C88">
            <w:pPr>
              <w:spacing w:after="0" w:line="240" w:lineRule="auto"/>
              <w:rPr>
                <w:rFonts w:ascii="Calibri" w:eastAsia="Times New Roman" w:hAnsi="Calibri" w:cs="Calibri"/>
                <w:b/>
                <w:bCs/>
                <w:color w:val="000000"/>
                <w:sz w:val="16"/>
                <w:szCs w:val="16"/>
                <w:lang w:eastAsia="en-GB"/>
              </w:rPr>
            </w:pPr>
          </w:p>
        </w:tc>
        <w:tc>
          <w:tcPr>
            <w:tcW w:w="2713" w:type="dxa"/>
            <w:tcBorders>
              <w:top w:val="single" w:sz="4" w:space="0" w:color="auto"/>
              <w:left w:val="nil"/>
              <w:bottom w:val="single" w:sz="4" w:space="0" w:color="auto"/>
              <w:right w:val="single" w:sz="4" w:space="0" w:color="auto"/>
            </w:tcBorders>
            <w:hideMark/>
          </w:tcPr>
          <w:p w14:paraId="58BB6029" w14:textId="77777777" w:rsidR="00A53EE7" w:rsidRDefault="00A53EE7" w:rsidP="00500C88">
            <w:pP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MSFD: As above.</w:t>
            </w:r>
          </w:p>
          <w:p w14:paraId="2764EFAB" w14:textId="77777777" w:rsidR="00A53EE7" w:rsidRPr="004B486F" w:rsidRDefault="00A53EE7" w:rsidP="00500C88">
            <w:pP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UK Marine Strategy: As above. </w:t>
            </w:r>
          </w:p>
        </w:tc>
        <w:tc>
          <w:tcPr>
            <w:tcW w:w="1360" w:type="dxa"/>
            <w:tcBorders>
              <w:top w:val="single" w:sz="4" w:space="0" w:color="auto"/>
              <w:left w:val="nil"/>
              <w:bottom w:val="single" w:sz="4" w:space="0" w:color="auto"/>
              <w:right w:val="single" w:sz="4" w:space="0" w:color="auto"/>
            </w:tcBorders>
            <w:hideMark/>
          </w:tcPr>
          <w:p w14:paraId="664B46BD" w14:textId="77777777" w:rsidR="00A53EE7" w:rsidRDefault="00A53EE7"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Declining </w:t>
            </w:r>
          </w:p>
          <w:p w14:paraId="70E5B5C5" w14:textId="77777777" w:rsidR="00A53EE7" w:rsidRDefault="00A53EE7" w:rsidP="00500C88">
            <w:pPr>
              <w:spacing w:after="0" w:line="240" w:lineRule="auto"/>
              <w:rPr>
                <w:rFonts w:ascii="Calibri" w:eastAsia="Times New Roman" w:hAnsi="Calibri" w:cs="Calibri"/>
                <w:color w:val="000000"/>
                <w:sz w:val="16"/>
                <w:szCs w:val="16"/>
                <w:lang w:eastAsia="en-GB"/>
              </w:rPr>
            </w:pPr>
          </w:p>
          <w:p w14:paraId="377B4319" w14:textId="4F9CAFF9" w:rsidR="00A53EE7" w:rsidRDefault="007804E3" w:rsidP="00500C88">
            <w:pPr>
              <w:spacing w:after="0" w:line="240" w:lineRule="auto"/>
              <w:rPr>
                <w:rFonts w:ascii="Calibri" w:eastAsia="Times New Roman" w:hAnsi="Calibri" w:cs="Calibri"/>
                <w:color w:val="000000"/>
                <w:sz w:val="16"/>
                <w:szCs w:val="16"/>
                <w:lang w:eastAsia="en-GB"/>
              </w:rPr>
            </w:pPr>
            <w:r w:rsidRPr="007804E3">
              <w:rPr>
                <w:rFonts w:ascii="Calibri" w:eastAsia="Times New Roman" w:hAnsi="Calibri" w:cs="Calibri"/>
                <w:color w:val="000000"/>
                <w:sz w:val="16"/>
                <w:szCs w:val="16"/>
                <w:lang w:eastAsia="en-GB"/>
              </w:rPr>
              <w:t>Bunker et al. (2019) report suggests an 8% decrease in seagrass area between 2012 and 2018.</w:t>
            </w:r>
          </w:p>
        </w:tc>
        <w:tc>
          <w:tcPr>
            <w:tcW w:w="870" w:type="dxa"/>
            <w:tcBorders>
              <w:top w:val="single" w:sz="4" w:space="0" w:color="auto"/>
              <w:left w:val="single" w:sz="4" w:space="0" w:color="auto"/>
              <w:bottom w:val="single" w:sz="4" w:space="0" w:color="auto"/>
              <w:right w:val="single" w:sz="4" w:space="0" w:color="auto"/>
            </w:tcBorders>
            <w:shd w:val="clear" w:color="auto" w:fill="FFA3A3"/>
            <w:vAlign w:val="center"/>
            <w:hideMark/>
          </w:tcPr>
          <w:p w14:paraId="0EC9EBBA" w14:textId="77777777" w:rsidR="00A53EE7" w:rsidRDefault="00A53EE7" w:rsidP="00500C88">
            <w:pPr>
              <w:spacing w:after="0" w:line="240" w:lineRule="auto"/>
              <w:jc w:val="center"/>
              <w:rPr>
                <w:rFonts w:ascii="Calibri" w:eastAsia="Times New Roman" w:hAnsi="Calibri" w:cs="Calibri"/>
                <w:b/>
                <w:bCs/>
                <w:color w:val="000000"/>
                <w:sz w:val="16"/>
                <w:szCs w:val="16"/>
                <w:lang w:eastAsia="en-GB"/>
              </w:rPr>
            </w:pPr>
            <w:r w:rsidRPr="007C0E0B">
              <w:rPr>
                <w:rFonts w:ascii="Calibri" w:eastAsia="Times New Roman" w:hAnsi="Calibri" w:cs="Calibri"/>
                <w:b/>
                <w:bCs/>
                <w:sz w:val="16"/>
                <w:szCs w:val="16"/>
                <w:lang w:eastAsia="en-GB"/>
              </w:rPr>
              <w:t>C            (4)</w:t>
            </w:r>
          </w:p>
        </w:tc>
      </w:tr>
      <w:tr w:rsidR="00A53EE7" w14:paraId="18E05419" w14:textId="77777777" w:rsidTr="00500C88">
        <w:trPr>
          <w:trHeight w:val="300"/>
        </w:trPr>
        <w:tc>
          <w:tcPr>
            <w:tcW w:w="0" w:type="auto"/>
            <w:vMerge/>
            <w:tcBorders>
              <w:top w:val="nil"/>
              <w:left w:val="single" w:sz="8" w:space="0" w:color="auto"/>
              <w:bottom w:val="single" w:sz="8" w:space="0" w:color="000000"/>
              <w:right w:val="nil"/>
            </w:tcBorders>
            <w:vAlign w:val="center"/>
            <w:hideMark/>
          </w:tcPr>
          <w:p w14:paraId="062FFF4C" w14:textId="77777777" w:rsidR="00A53EE7" w:rsidRDefault="00A53EE7"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61BFED" w14:textId="77777777" w:rsidR="00A53EE7" w:rsidRDefault="00A53EE7"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0CE594" w14:textId="77777777" w:rsidR="00A53EE7" w:rsidRDefault="00A53EE7" w:rsidP="00500C88">
            <w:pPr>
              <w:spacing w:after="0"/>
              <w:rPr>
                <w:rFonts w:ascii="Calibri" w:eastAsia="Times New Roman" w:hAnsi="Calibri" w:cs="Calibri"/>
                <w:b/>
                <w:bCs/>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0299E" w14:textId="77777777" w:rsidR="00A53EE7" w:rsidRDefault="00A53EE7" w:rsidP="00500C88">
            <w:pPr>
              <w:spacing w:after="0"/>
              <w:rPr>
                <w:rFonts w:ascii="Calibri" w:eastAsia="Times New Roman" w:hAnsi="Calibri" w:cs="Calibri"/>
                <w:color w:val="000000"/>
                <w:sz w:val="16"/>
                <w:szCs w:val="16"/>
                <w:lang w:eastAsia="en-GB"/>
              </w:rPr>
            </w:pPr>
          </w:p>
        </w:tc>
        <w:tc>
          <w:tcPr>
            <w:tcW w:w="6300" w:type="dxa"/>
            <w:gridSpan w:val="2"/>
            <w:tcBorders>
              <w:top w:val="single" w:sz="4" w:space="0" w:color="auto"/>
              <w:left w:val="nil"/>
              <w:bottom w:val="single" w:sz="4" w:space="0" w:color="auto"/>
              <w:right w:val="single" w:sz="4" w:space="0" w:color="auto"/>
            </w:tcBorders>
            <w:vAlign w:val="center"/>
            <w:hideMark/>
          </w:tcPr>
          <w:p w14:paraId="7CD97DD8" w14:textId="77777777" w:rsidR="00A53EE7" w:rsidRDefault="00A53EE7"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 – last condition assessment 2018</w:t>
            </w:r>
          </w:p>
        </w:tc>
        <w:tc>
          <w:tcPr>
            <w:tcW w:w="1360" w:type="dxa"/>
            <w:tcBorders>
              <w:top w:val="nil"/>
              <w:left w:val="nil"/>
              <w:bottom w:val="single" w:sz="4" w:space="0" w:color="auto"/>
              <w:right w:val="single" w:sz="4" w:space="0" w:color="auto"/>
            </w:tcBorders>
            <w:vAlign w:val="center"/>
            <w:hideMark/>
          </w:tcPr>
          <w:p w14:paraId="3EBDB397" w14:textId="77777777" w:rsidR="00A53EE7" w:rsidRDefault="00A53EE7"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0E9F85E5" w14:textId="77777777" w:rsidR="00A53EE7" w:rsidRDefault="00A53EE7" w:rsidP="00500C88">
            <w:pPr>
              <w:rPr>
                <w:rFonts w:ascii="Calibri" w:eastAsia="Times New Roman" w:hAnsi="Calibri" w:cs="Calibri"/>
                <w:color w:val="000000"/>
                <w:sz w:val="16"/>
                <w:szCs w:val="16"/>
                <w:lang w:eastAsia="en-GB"/>
              </w:rPr>
            </w:pPr>
          </w:p>
        </w:tc>
      </w:tr>
      <w:tr w:rsidR="00A53EE7" w14:paraId="5FD5B39E" w14:textId="77777777" w:rsidTr="00500C88">
        <w:trPr>
          <w:trHeight w:val="315"/>
        </w:trPr>
        <w:tc>
          <w:tcPr>
            <w:tcW w:w="0" w:type="auto"/>
            <w:vMerge/>
            <w:tcBorders>
              <w:top w:val="nil"/>
              <w:left w:val="single" w:sz="8" w:space="0" w:color="auto"/>
              <w:bottom w:val="single" w:sz="8" w:space="0" w:color="000000"/>
              <w:right w:val="nil"/>
            </w:tcBorders>
            <w:vAlign w:val="center"/>
            <w:hideMark/>
          </w:tcPr>
          <w:p w14:paraId="7106F582" w14:textId="77777777" w:rsidR="00A53EE7" w:rsidRDefault="00A53EE7"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55F6F" w14:textId="77777777" w:rsidR="00A53EE7" w:rsidRDefault="00A53EE7"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AEBAE" w14:textId="77777777" w:rsidR="00A53EE7" w:rsidRDefault="00A53EE7" w:rsidP="00500C88">
            <w:pPr>
              <w:spacing w:after="0"/>
              <w:rPr>
                <w:rFonts w:ascii="Calibri" w:eastAsia="Times New Roman" w:hAnsi="Calibri" w:cs="Calibri"/>
                <w:b/>
                <w:bCs/>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A0618E" w14:textId="77777777" w:rsidR="00A53EE7" w:rsidRDefault="00A53EE7" w:rsidP="00500C88">
            <w:pPr>
              <w:spacing w:after="0"/>
              <w:rPr>
                <w:rFonts w:ascii="Calibri" w:eastAsia="Times New Roman" w:hAnsi="Calibri" w:cs="Calibri"/>
                <w:color w:val="000000"/>
                <w:sz w:val="16"/>
                <w:szCs w:val="16"/>
                <w:lang w:eastAsia="en-GB"/>
              </w:rPr>
            </w:pPr>
          </w:p>
        </w:tc>
        <w:tc>
          <w:tcPr>
            <w:tcW w:w="6300" w:type="dxa"/>
            <w:gridSpan w:val="2"/>
            <w:tcBorders>
              <w:top w:val="single" w:sz="4" w:space="0" w:color="auto"/>
              <w:left w:val="nil"/>
              <w:bottom w:val="single" w:sz="4" w:space="0" w:color="auto"/>
              <w:right w:val="single" w:sz="4" w:space="0" w:color="auto"/>
            </w:tcBorders>
            <w:hideMark/>
          </w:tcPr>
          <w:p w14:paraId="58CB5B6D" w14:textId="77777777" w:rsidR="00A53EE7" w:rsidRDefault="00A53EE7"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1360" w:type="dxa"/>
            <w:tcBorders>
              <w:top w:val="nil"/>
              <w:left w:val="nil"/>
              <w:bottom w:val="single" w:sz="4" w:space="0" w:color="auto"/>
              <w:right w:val="single" w:sz="4" w:space="0" w:color="auto"/>
            </w:tcBorders>
            <w:vAlign w:val="center"/>
            <w:hideMark/>
          </w:tcPr>
          <w:p w14:paraId="0C7F5272" w14:textId="77777777" w:rsidR="00A53EE7" w:rsidRDefault="00A53EE7"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8A9DD5" w14:textId="77777777" w:rsidR="00A53EE7" w:rsidRDefault="00A53EE7" w:rsidP="00500C88">
            <w:pPr>
              <w:spacing w:after="0"/>
              <w:rPr>
                <w:rFonts w:ascii="Calibri" w:eastAsia="Times New Roman" w:hAnsi="Calibri" w:cs="Calibri"/>
                <w:color w:val="000000"/>
                <w:sz w:val="16"/>
                <w:szCs w:val="16"/>
                <w:lang w:eastAsia="en-GB"/>
              </w:rPr>
            </w:pPr>
          </w:p>
        </w:tc>
      </w:tr>
      <w:tr w:rsidR="00A53EE7" w14:paraId="049F92B6" w14:textId="77777777" w:rsidTr="00500C88">
        <w:trPr>
          <w:trHeight w:val="406"/>
        </w:trPr>
        <w:tc>
          <w:tcPr>
            <w:tcW w:w="0" w:type="auto"/>
            <w:vMerge/>
            <w:tcBorders>
              <w:top w:val="nil"/>
              <w:left w:val="single" w:sz="8" w:space="0" w:color="auto"/>
              <w:bottom w:val="single" w:sz="8" w:space="0" w:color="000000"/>
              <w:right w:val="nil"/>
            </w:tcBorders>
            <w:vAlign w:val="center"/>
            <w:hideMark/>
          </w:tcPr>
          <w:p w14:paraId="245899EE" w14:textId="77777777" w:rsidR="00A53EE7" w:rsidRDefault="00A53EE7" w:rsidP="00500C88">
            <w:pPr>
              <w:spacing w:after="0"/>
              <w:rPr>
                <w:rFonts w:ascii="Calibri" w:eastAsia="Times New Roman" w:hAnsi="Calibri" w:cs="Calibri"/>
                <w:color w:val="000000"/>
                <w:sz w:val="16"/>
                <w:szCs w:val="16"/>
                <w:lang w:eastAsia="en-GB"/>
              </w:rPr>
            </w:pPr>
          </w:p>
        </w:tc>
        <w:tc>
          <w:tcPr>
            <w:tcW w:w="973" w:type="dxa"/>
            <w:vMerge w:val="restart"/>
            <w:tcBorders>
              <w:top w:val="single" w:sz="4" w:space="0" w:color="auto"/>
              <w:left w:val="single" w:sz="4" w:space="0" w:color="auto"/>
              <w:bottom w:val="single" w:sz="4" w:space="0" w:color="auto"/>
              <w:right w:val="single" w:sz="4" w:space="0" w:color="auto"/>
            </w:tcBorders>
            <w:hideMark/>
          </w:tcPr>
          <w:p w14:paraId="7615F7A7" w14:textId="6C9C5184" w:rsidR="00A53EE7" w:rsidRDefault="006F2F22"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Subtidal Seagrass – Drake’s Island</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43CACAB6" w14:textId="77777777" w:rsidR="00A53EE7" w:rsidRDefault="00A53EE7"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 Food (Wild Food - fish and shellfish).    </w:t>
            </w:r>
          </w:p>
          <w:p w14:paraId="55CF8A7F" w14:textId="77777777" w:rsidR="00A53EE7" w:rsidRDefault="00A53EE7"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 Healthy climate (carbon sequestration).         • Sea defence. </w:t>
            </w:r>
            <w:r>
              <w:rPr>
                <w:rFonts w:ascii="Calibri" w:eastAsia="Times New Roman" w:hAnsi="Calibri" w:cs="Calibri"/>
                <w:b/>
                <w:bCs/>
                <w:color w:val="000000"/>
                <w:sz w:val="16"/>
                <w:szCs w:val="16"/>
                <w:lang w:eastAsia="en-GB"/>
              </w:rPr>
              <w:lastRenderedPageBreak/>
              <w:t>(</w:t>
            </w:r>
            <w:proofErr w:type="gramStart"/>
            <w:r>
              <w:rPr>
                <w:rFonts w:ascii="Calibri" w:eastAsia="Times New Roman" w:hAnsi="Calibri" w:cs="Calibri"/>
                <w:b/>
                <w:bCs/>
                <w:color w:val="000000"/>
                <w:sz w:val="16"/>
                <w:szCs w:val="16"/>
                <w:lang w:eastAsia="en-GB"/>
              </w:rPr>
              <w:t>natural</w:t>
            </w:r>
            <w:proofErr w:type="gramEnd"/>
            <w:r>
              <w:rPr>
                <w:rFonts w:ascii="Calibri" w:eastAsia="Times New Roman" w:hAnsi="Calibri" w:cs="Calibri"/>
                <w:b/>
                <w:bCs/>
                <w:color w:val="000000"/>
                <w:sz w:val="16"/>
                <w:szCs w:val="16"/>
                <w:lang w:eastAsia="en-GB"/>
              </w:rPr>
              <w:t xml:space="preserve"> hazard regulation).               • Tourism/nature watching.                  • Clean water and sediments.</w:t>
            </w:r>
          </w:p>
        </w:tc>
        <w:tc>
          <w:tcPr>
            <w:tcW w:w="1545" w:type="dxa"/>
            <w:tcBorders>
              <w:top w:val="nil"/>
              <w:left w:val="nil"/>
              <w:bottom w:val="single" w:sz="4" w:space="0" w:color="auto"/>
              <w:right w:val="single" w:sz="4" w:space="0" w:color="auto"/>
            </w:tcBorders>
            <w:noWrap/>
            <w:hideMark/>
          </w:tcPr>
          <w:p w14:paraId="160116EF" w14:textId="77777777" w:rsidR="00A53EE7" w:rsidRDefault="00A53EE7"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lastRenderedPageBreak/>
              <w:t>Quality/Condition</w:t>
            </w:r>
          </w:p>
        </w:tc>
        <w:tc>
          <w:tcPr>
            <w:tcW w:w="3587" w:type="dxa"/>
            <w:tcBorders>
              <w:top w:val="nil"/>
              <w:left w:val="nil"/>
              <w:bottom w:val="single" w:sz="4" w:space="0" w:color="auto"/>
              <w:right w:val="single" w:sz="4" w:space="0" w:color="auto"/>
            </w:tcBorders>
            <w:hideMark/>
          </w:tcPr>
          <w:p w14:paraId="2D1D2C82" w14:textId="77777777" w:rsidR="00C37D1D" w:rsidRPr="00C37D1D" w:rsidRDefault="00A53EE7" w:rsidP="00C37D1D">
            <w:pPr>
              <w:spacing w:after="0" w:line="240" w:lineRule="auto"/>
              <w:rPr>
                <w:rFonts w:ascii="Calibri" w:eastAsia="Times New Roman" w:hAnsi="Calibri" w:cs="Calibri"/>
                <w:color w:val="000000"/>
                <w:sz w:val="16"/>
                <w:szCs w:val="16"/>
                <w:lang w:eastAsia="en-GB"/>
              </w:rPr>
            </w:pPr>
            <w:r w:rsidRPr="00AB4B8D">
              <w:rPr>
                <w:rFonts w:ascii="Calibri" w:eastAsia="Times New Roman" w:hAnsi="Calibri" w:cs="Calibri"/>
                <w:b/>
                <w:bCs/>
                <w:color w:val="000000"/>
                <w:sz w:val="16"/>
                <w:szCs w:val="16"/>
                <w:lang w:eastAsia="en-GB"/>
              </w:rPr>
              <w:t>NE Package</w:t>
            </w:r>
            <w:r>
              <w:rPr>
                <w:rFonts w:ascii="Calibri" w:eastAsia="Times New Roman" w:hAnsi="Calibri" w:cs="Calibri"/>
                <w:color w:val="000000"/>
                <w:sz w:val="16"/>
                <w:szCs w:val="16"/>
                <w:lang w:eastAsia="en-GB"/>
              </w:rPr>
              <w:t xml:space="preserve">: </w:t>
            </w:r>
            <w:r w:rsidR="00C37D1D" w:rsidRPr="00C37D1D">
              <w:rPr>
                <w:rFonts w:ascii="Calibri" w:eastAsia="Times New Roman" w:hAnsi="Calibri" w:cs="Calibri"/>
                <w:color w:val="000000"/>
                <w:sz w:val="16"/>
                <w:szCs w:val="16"/>
                <w:lang w:eastAsia="en-GB"/>
              </w:rPr>
              <w:t>Average % Seagrass Cover DDV decreased from 72 in 2012 to 66 in 2018.</w:t>
            </w:r>
          </w:p>
          <w:p w14:paraId="42D99EC6" w14:textId="1C8535A7" w:rsidR="00A53EE7" w:rsidRDefault="00C37D1D" w:rsidP="00C37D1D">
            <w:pPr>
              <w:spacing w:after="0" w:line="240" w:lineRule="auto"/>
              <w:rPr>
                <w:rFonts w:ascii="Calibri" w:eastAsia="Times New Roman" w:hAnsi="Calibri" w:cs="Calibri"/>
                <w:color w:val="000000"/>
                <w:sz w:val="16"/>
                <w:szCs w:val="16"/>
                <w:lang w:eastAsia="en-GB"/>
              </w:rPr>
            </w:pPr>
            <w:r w:rsidRPr="00C37D1D">
              <w:rPr>
                <w:rFonts w:ascii="Calibri" w:eastAsia="Times New Roman" w:hAnsi="Calibri" w:cs="Calibri"/>
                <w:color w:val="000000"/>
                <w:sz w:val="16"/>
                <w:szCs w:val="16"/>
                <w:lang w:eastAsia="en-GB"/>
              </w:rPr>
              <w:t>Average Shoot Density m</w:t>
            </w:r>
            <w:r w:rsidRPr="008D30E2">
              <w:rPr>
                <w:rFonts w:ascii="Calibri" w:eastAsia="Times New Roman" w:hAnsi="Calibri" w:cs="Calibri"/>
                <w:color w:val="000000"/>
                <w:sz w:val="16"/>
                <w:szCs w:val="16"/>
                <w:vertAlign w:val="superscript"/>
                <w:lang w:eastAsia="en-GB"/>
              </w:rPr>
              <w:t>2</w:t>
            </w:r>
            <w:r w:rsidRPr="00C37D1D">
              <w:rPr>
                <w:rFonts w:ascii="Calibri" w:eastAsia="Times New Roman" w:hAnsi="Calibri" w:cs="Calibri"/>
                <w:color w:val="000000"/>
                <w:sz w:val="16"/>
                <w:szCs w:val="16"/>
                <w:lang w:eastAsia="en-GB"/>
              </w:rPr>
              <w:t xml:space="preserve"> decreased from 97 in 2012 to 64 in 2018. Average Plant Length cm increased from 54 in 2012 to 80 in 2018.</w:t>
            </w:r>
            <w:r>
              <w:rPr>
                <w:rFonts w:ascii="Calibri" w:eastAsia="Times New Roman" w:hAnsi="Calibri" w:cs="Calibri"/>
                <w:color w:val="000000"/>
                <w:sz w:val="16"/>
                <w:szCs w:val="16"/>
                <w:lang w:eastAsia="en-GB"/>
              </w:rPr>
              <w:t xml:space="preserve"> </w:t>
            </w:r>
            <w:r w:rsidRPr="00C37D1D">
              <w:rPr>
                <w:rFonts w:ascii="Calibri" w:eastAsia="Times New Roman" w:hAnsi="Calibri" w:cs="Calibri"/>
                <w:color w:val="000000"/>
                <w:sz w:val="16"/>
                <w:szCs w:val="16"/>
                <w:lang w:eastAsia="en-GB"/>
              </w:rPr>
              <w:t>% Infected Leaves decreased from 55 in 2012 to 53 in 2018.</w:t>
            </w:r>
          </w:p>
          <w:p w14:paraId="50C6E2C8" w14:textId="77777777" w:rsidR="00A53EE7" w:rsidRDefault="00A53EE7" w:rsidP="00500C88">
            <w:pPr>
              <w:spacing w:after="0" w:line="240" w:lineRule="auto"/>
              <w:rPr>
                <w:rFonts w:ascii="Calibri" w:eastAsia="Times New Roman" w:hAnsi="Calibri" w:cs="Calibri"/>
                <w:color w:val="000000"/>
                <w:sz w:val="16"/>
                <w:szCs w:val="16"/>
                <w:lang w:eastAsia="en-GB"/>
              </w:rPr>
            </w:pPr>
          </w:p>
          <w:p w14:paraId="78F6FC27" w14:textId="75897CE8" w:rsidR="00A53EE7" w:rsidRDefault="00A53EE7" w:rsidP="00500C88">
            <w:pPr>
              <w:spacing w:after="0" w:line="240" w:lineRule="auto"/>
              <w:rPr>
                <w:rFonts w:ascii="Calibri" w:eastAsia="Times New Roman" w:hAnsi="Calibri" w:cs="Calibri"/>
                <w:b/>
                <w:bCs/>
                <w:color w:val="000000"/>
                <w:sz w:val="16"/>
                <w:szCs w:val="16"/>
                <w:lang w:eastAsia="en-GB"/>
              </w:rPr>
            </w:pPr>
            <w:r w:rsidRPr="007A71B9">
              <w:rPr>
                <w:rFonts w:ascii="Calibri" w:eastAsia="Times New Roman" w:hAnsi="Calibri" w:cs="Calibri"/>
                <w:b/>
                <w:bCs/>
                <w:color w:val="000000"/>
                <w:sz w:val="16"/>
                <w:szCs w:val="16"/>
                <w:lang w:eastAsia="en-GB"/>
              </w:rPr>
              <w:lastRenderedPageBreak/>
              <w:t xml:space="preserve">LRC: </w:t>
            </w:r>
            <w:r w:rsidR="00397E33" w:rsidRPr="00397E33">
              <w:rPr>
                <w:rFonts w:ascii="Calibri" w:eastAsia="Times New Roman" w:hAnsi="Calibri" w:cs="Calibri"/>
                <w:color w:val="000000"/>
                <w:sz w:val="16"/>
                <w:szCs w:val="16"/>
                <w:lang w:eastAsia="en-GB"/>
              </w:rPr>
              <w:t>Moderate score due to anchor and mooring pressures.</w:t>
            </w:r>
          </w:p>
          <w:p w14:paraId="36345AC8" w14:textId="77777777" w:rsidR="00A53EE7" w:rsidRDefault="00A53EE7" w:rsidP="00500C88">
            <w:pPr>
              <w:spacing w:after="0" w:line="240" w:lineRule="auto"/>
              <w:rPr>
                <w:rFonts w:ascii="Calibri" w:eastAsia="Times New Roman" w:hAnsi="Calibri" w:cs="Calibri"/>
                <w:color w:val="000000"/>
                <w:sz w:val="16"/>
                <w:szCs w:val="16"/>
                <w:lang w:eastAsia="en-GB"/>
              </w:rPr>
            </w:pPr>
          </w:p>
          <w:p w14:paraId="118B72D1" w14:textId="2DB9129D" w:rsidR="00A53EE7" w:rsidRPr="001009AB" w:rsidRDefault="00A53EE7" w:rsidP="00500C88">
            <w:pPr>
              <w:spacing w:after="0" w:line="240" w:lineRule="auto"/>
              <w:rPr>
                <w:rFonts w:ascii="Calibri" w:eastAsia="Times New Roman" w:hAnsi="Calibri" w:cs="Calibri"/>
                <w:b/>
                <w:bCs/>
                <w:color w:val="000000"/>
                <w:sz w:val="16"/>
                <w:szCs w:val="16"/>
                <w:lang w:eastAsia="en-GB"/>
              </w:rPr>
            </w:pPr>
            <w:r w:rsidRPr="001009AB">
              <w:rPr>
                <w:rFonts w:ascii="Calibri" w:eastAsia="Times New Roman" w:hAnsi="Calibri" w:cs="Calibri"/>
                <w:b/>
                <w:bCs/>
                <w:color w:val="000000"/>
                <w:sz w:val="16"/>
                <w:szCs w:val="16"/>
                <w:lang w:eastAsia="en-GB"/>
              </w:rPr>
              <w:t xml:space="preserve">Water Quality: </w:t>
            </w:r>
            <w:r w:rsidR="007D3203" w:rsidRPr="007D3203">
              <w:rPr>
                <w:rFonts w:ascii="Calibri" w:eastAsia="Times New Roman" w:hAnsi="Calibri" w:cs="Calibri"/>
                <w:color w:val="000000"/>
                <w:sz w:val="16"/>
                <w:szCs w:val="16"/>
                <w:lang w:eastAsia="en-GB"/>
              </w:rPr>
              <w:t>This seagrass bed is within the Plymouth Sound water body area. Water body fails to achieve good status due to levels of chemical contaminants and levels of DIN. Risk of eutrophication is supposedly low due to good-high status of phytoplankton and macroalgae.</w:t>
            </w:r>
          </w:p>
          <w:p w14:paraId="2DC06C55" w14:textId="77777777" w:rsidR="00A53EE7" w:rsidRDefault="00A53EE7" w:rsidP="00500C88">
            <w:pPr>
              <w:spacing w:after="0" w:line="240" w:lineRule="auto"/>
              <w:rPr>
                <w:rFonts w:ascii="Calibri" w:eastAsia="Times New Roman" w:hAnsi="Calibri" w:cs="Calibri"/>
                <w:color w:val="000000"/>
                <w:sz w:val="16"/>
                <w:szCs w:val="16"/>
                <w:lang w:eastAsia="en-GB"/>
              </w:rPr>
            </w:pPr>
          </w:p>
          <w:p w14:paraId="4A08B964" w14:textId="77777777" w:rsidR="00A53EE7" w:rsidRDefault="00A53EE7" w:rsidP="00500C88">
            <w:pPr>
              <w:spacing w:after="0" w:line="240" w:lineRule="auto"/>
              <w:rPr>
                <w:rFonts w:ascii="Calibri" w:eastAsia="Times New Roman" w:hAnsi="Calibri" w:cs="Calibri"/>
                <w:color w:val="000000"/>
                <w:sz w:val="16"/>
                <w:szCs w:val="16"/>
                <w:lang w:eastAsia="en-GB"/>
              </w:rPr>
            </w:pPr>
          </w:p>
          <w:p w14:paraId="4BBD1A3A" w14:textId="77777777" w:rsidR="00A53EE7" w:rsidRDefault="00A53EE7" w:rsidP="00500C88">
            <w:pPr>
              <w:spacing w:after="0" w:line="240" w:lineRule="auto"/>
              <w:rPr>
                <w:rFonts w:ascii="Calibri" w:eastAsia="Times New Roman" w:hAnsi="Calibri" w:cs="Calibri"/>
                <w:color w:val="000000"/>
                <w:sz w:val="16"/>
                <w:szCs w:val="16"/>
                <w:lang w:eastAsia="en-GB"/>
              </w:rPr>
            </w:pPr>
          </w:p>
          <w:p w14:paraId="30A4084D" w14:textId="77777777" w:rsidR="00A53EE7" w:rsidRDefault="00A53EE7" w:rsidP="00500C88">
            <w:pPr>
              <w:spacing w:after="0" w:line="240" w:lineRule="auto"/>
              <w:rPr>
                <w:rFonts w:ascii="Calibri" w:eastAsia="Times New Roman" w:hAnsi="Calibri" w:cs="Calibri"/>
                <w:color w:val="000000"/>
                <w:sz w:val="16"/>
                <w:szCs w:val="16"/>
                <w:lang w:eastAsia="en-GB"/>
              </w:rPr>
            </w:pPr>
          </w:p>
          <w:p w14:paraId="1FDF34A9" w14:textId="77777777" w:rsidR="00A53EE7" w:rsidRDefault="00A53EE7" w:rsidP="00500C88">
            <w:pPr>
              <w:spacing w:after="0" w:line="240" w:lineRule="auto"/>
              <w:rPr>
                <w:rFonts w:ascii="Calibri" w:eastAsia="Times New Roman" w:hAnsi="Calibri" w:cs="Calibri"/>
                <w:color w:val="000000"/>
                <w:sz w:val="16"/>
                <w:szCs w:val="16"/>
                <w:lang w:eastAsia="en-GB"/>
              </w:rPr>
            </w:pPr>
          </w:p>
          <w:p w14:paraId="50F40432" w14:textId="77777777" w:rsidR="00A53EE7" w:rsidRDefault="00A53EE7" w:rsidP="00500C88">
            <w:pPr>
              <w:spacing w:after="0" w:line="240" w:lineRule="auto"/>
              <w:rPr>
                <w:rFonts w:ascii="Calibri" w:eastAsia="Times New Roman" w:hAnsi="Calibri" w:cs="Calibri"/>
                <w:color w:val="000000"/>
                <w:sz w:val="16"/>
                <w:szCs w:val="16"/>
                <w:lang w:eastAsia="en-GB"/>
              </w:rPr>
            </w:pPr>
          </w:p>
        </w:tc>
        <w:tc>
          <w:tcPr>
            <w:tcW w:w="2713" w:type="dxa"/>
            <w:tcBorders>
              <w:top w:val="nil"/>
              <w:left w:val="nil"/>
              <w:bottom w:val="single" w:sz="4" w:space="0" w:color="auto"/>
              <w:right w:val="single" w:sz="4" w:space="0" w:color="auto"/>
            </w:tcBorders>
            <w:hideMark/>
          </w:tcPr>
          <w:p w14:paraId="3C51D2F9" w14:textId="77777777" w:rsidR="00A53EE7" w:rsidRDefault="00A53EE7" w:rsidP="00500C88">
            <w:pP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lastRenderedPageBreak/>
              <w:t>MSFD: As above.</w:t>
            </w:r>
          </w:p>
          <w:p w14:paraId="2A176802" w14:textId="77777777" w:rsidR="00A53EE7" w:rsidRDefault="00A53EE7"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UK Marine Strategy: As above.</w:t>
            </w:r>
          </w:p>
          <w:p w14:paraId="5EFDEE7D" w14:textId="77777777" w:rsidR="00A53EE7" w:rsidRDefault="00A53EE7" w:rsidP="00500C88">
            <w:pPr>
              <w:spacing w:after="0" w:line="240" w:lineRule="auto"/>
              <w:rPr>
                <w:rFonts w:ascii="Calibri" w:eastAsia="Times New Roman" w:hAnsi="Calibri" w:cs="Calibri"/>
                <w:b/>
                <w:bCs/>
                <w:color w:val="000000"/>
                <w:sz w:val="16"/>
                <w:szCs w:val="16"/>
                <w:lang w:eastAsia="en-GB"/>
              </w:rPr>
            </w:pPr>
          </w:p>
          <w:p w14:paraId="4EB3227A" w14:textId="77777777" w:rsidR="00A53EE7" w:rsidRPr="00264AE0" w:rsidRDefault="00A53EE7"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WFD: As above.</w:t>
            </w:r>
          </w:p>
        </w:tc>
        <w:tc>
          <w:tcPr>
            <w:tcW w:w="1360" w:type="dxa"/>
            <w:tcBorders>
              <w:top w:val="nil"/>
              <w:left w:val="nil"/>
              <w:bottom w:val="single" w:sz="4" w:space="0" w:color="auto"/>
              <w:right w:val="single" w:sz="4" w:space="0" w:color="auto"/>
            </w:tcBorders>
            <w:hideMark/>
          </w:tcPr>
          <w:p w14:paraId="493E7FD5" w14:textId="77777777" w:rsidR="00A53EE7" w:rsidRDefault="00A53EE7"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Unfavourable Declining based on data from condition assessments in 2012 and 2018. </w:t>
            </w:r>
          </w:p>
        </w:tc>
        <w:tc>
          <w:tcPr>
            <w:tcW w:w="870" w:type="dxa"/>
            <w:tcBorders>
              <w:top w:val="single" w:sz="4" w:space="0" w:color="auto"/>
              <w:left w:val="single" w:sz="4" w:space="0" w:color="auto"/>
              <w:bottom w:val="single" w:sz="4" w:space="0" w:color="auto"/>
              <w:right w:val="single" w:sz="4" w:space="0" w:color="auto"/>
            </w:tcBorders>
            <w:shd w:val="clear" w:color="auto" w:fill="FFA3A3"/>
            <w:vAlign w:val="center"/>
            <w:hideMark/>
          </w:tcPr>
          <w:p w14:paraId="7DBADC3A" w14:textId="77777777" w:rsidR="00A53EE7" w:rsidRDefault="00A53EE7" w:rsidP="00500C88">
            <w:pPr>
              <w:spacing w:after="0" w:line="240" w:lineRule="auto"/>
              <w:jc w:val="center"/>
              <w:rPr>
                <w:rFonts w:ascii="Calibri" w:eastAsia="Times New Roman" w:hAnsi="Calibri" w:cs="Calibri"/>
                <w:b/>
                <w:bCs/>
                <w:color w:val="000000"/>
                <w:sz w:val="16"/>
                <w:szCs w:val="16"/>
                <w:lang w:eastAsia="en-GB"/>
              </w:rPr>
            </w:pPr>
            <w:r w:rsidRPr="007C0E0B">
              <w:rPr>
                <w:rFonts w:ascii="Calibri" w:eastAsia="Times New Roman" w:hAnsi="Calibri" w:cs="Calibri"/>
                <w:b/>
                <w:bCs/>
                <w:sz w:val="16"/>
                <w:szCs w:val="16"/>
                <w:lang w:eastAsia="en-GB"/>
              </w:rPr>
              <w:t>C             (4)</w:t>
            </w:r>
          </w:p>
        </w:tc>
      </w:tr>
      <w:tr w:rsidR="00A53EE7" w14:paraId="66370B9C" w14:textId="77777777" w:rsidTr="00500C88">
        <w:trPr>
          <w:trHeight w:val="210"/>
        </w:trPr>
        <w:tc>
          <w:tcPr>
            <w:tcW w:w="0" w:type="auto"/>
            <w:vMerge/>
            <w:tcBorders>
              <w:top w:val="nil"/>
              <w:left w:val="single" w:sz="8" w:space="0" w:color="auto"/>
              <w:bottom w:val="single" w:sz="8" w:space="0" w:color="000000"/>
              <w:right w:val="nil"/>
            </w:tcBorders>
            <w:vAlign w:val="center"/>
            <w:hideMark/>
          </w:tcPr>
          <w:p w14:paraId="78CC0A7C" w14:textId="77777777" w:rsidR="00A53EE7" w:rsidRDefault="00A53EE7"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B23FE" w14:textId="77777777" w:rsidR="00A53EE7" w:rsidRDefault="00A53EE7"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60A550" w14:textId="77777777" w:rsidR="00A53EE7" w:rsidRDefault="00A53EE7" w:rsidP="00500C88">
            <w:pPr>
              <w:spacing w:after="0"/>
              <w:rPr>
                <w:rFonts w:ascii="Calibri" w:eastAsia="Times New Roman" w:hAnsi="Calibri" w:cs="Calibri"/>
                <w:b/>
                <w:bCs/>
                <w:color w:val="000000"/>
                <w:sz w:val="16"/>
                <w:szCs w:val="16"/>
                <w:lang w:eastAsia="en-GB"/>
              </w:rPr>
            </w:pPr>
          </w:p>
        </w:tc>
        <w:tc>
          <w:tcPr>
            <w:tcW w:w="1545" w:type="dxa"/>
            <w:tcBorders>
              <w:top w:val="nil"/>
              <w:left w:val="nil"/>
              <w:bottom w:val="single" w:sz="4" w:space="0" w:color="auto"/>
              <w:right w:val="single" w:sz="4" w:space="0" w:color="auto"/>
            </w:tcBorders>
            <w:noWrap/>
            <w:hideMark/>
          </w:tcPr>
          <w:p w14:paraId="5AB29FF7" w14:textId="77777777" w:rsidR="00A53EE7" w:rsidRDefault="00A53EE7"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6300" w:type="dxa"/>
            <w:gridSpan w:val="2"/>
            <w:tcBorders>
              <w:top w:val="single" w:sz="4" w:space="0" w:color="auto"/>
              <w:left w:val="nil"/>
              <w:bottom w:val="single" w:sz="4" w:space="0" w:color="auto"/>
              <w:right w:val="single" w:sz="4" w:space="0" w:color="auto"/>
            </w:tcBorders>
            <w:vAlign w:val="center"/>
            <w:hideMark/>
          </w:tcPr>
          <w:p w14:paraId="11AF9F86" w14:textId="77777777" w:rsidR="00A53EE7" w:rsidRDefault="00A53EE7"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 – last condition assessment 2018</w:t>
            </w:r>
          </w:p>
        </w:tc>
        <w:tc>
          <w:tcPr>
            <w:tcW w:w="1360" w:type="dxa"/>
            <w:tcBorders>
              <w:top w:val="nil"/>
              <w:left w:val="nil"/>
              <w:bottom w:val="single" w:sz="4" w:space="0" w:color="auto"/>
              <w:right w:val="single" w:sz="4" w:space="0" w:color="auto"/>
            </w:tcBorders>
            <w:vAlign w:val="center"/>
            <w:hideMark/>
          </w:tcPr>
          <w:p w14:paraId="19879486" w14:textId="77777777" w:rsidR="00A53EE7" w:rsidRDefault="00A53EE7"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w:t>
            </w:r>
          </w:p>
        </w:tc>
        <w:tc>
          <w:tcPr>
            <w:tcW w:w="870" w:type="dxa"/>
            <w:vMerge w:val="restart"/>
            <w:tcBorders>
              <w:top w:val="nil"/>
              <w:left w:val="single" w:sz="4" w:space="0" w:color="auto"/>
              <w:bottom w:val="single" w:sz="4" w:space="0" w:color="auto"/>
              <w:right w:val="single" w:sz="4" w:space="0" w:color="auto"/>
            </w:tcBorders>
            <w:vAlign w:val="center"/>
            <w:hideMark/>
          </w:tcPr>
          <w:p w14:paraId="01599F0B" w14:textId="77777777" w:rsidR="00A53EE7" w:rsidRDefault="00A53EE7" w:rsidP="00500C88">
            <w:pPr>
              <w:rPr>
                <w:rFonts w:ascii="Calibri" w:eastAsia="Times New Roman" w:hAnsi="Calibri" w:cs="Calibri"/>
                <w:color w:val="000000"/>
                <w:sz w:val="16"/>
                <w:szCs w:val="16"/>
                <w:lang w:eastAsia="en-GB"/>
              </w:rPr>
            </w:pPr>
          </w:p>
        </w:tc>
      </w:tr>
      <w:tr w:rsidR="00A53EE7" w14:paraId="46187793" w14:textId="77777777" w:rsidTr="00500C88">
        <w:trPr>
          <w:trHeight w:val="270"/>
        </w:trPr>
        <w:tc>
          <w:tcPr>
            <w:tcW w:w="0" w:type="auto"/>
            <w:vMerge/>
            <w:tcBorders>
              <w:top w:val="nil"/>
              <w:left w:val="single" w:sz="8" w:space="0" w:color="auto"/>
              <w:bottom w:val="single" w:sz="8" w:space="0" w:color="000000"/>
              <w:right w:val="nil"/>
            </w:tcBorders>
            <w:vAlign w:val="center"/>
            <w:hideMark/>
          </w:tcPr>
          <w:p w14:paraId="68C55CBA" w14:textId="77777777" w:rsidR="00A53EE7" w:rsidRDefault="00A53EE7"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336F1" w14:textId="77777777" w:rsidR="00A53EE7" w:rsidRDefault="00A53EE7"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FA08E" w14:textId="77777777" w:rsidR="00A53EE7" w:rsidRDefault="00A53EE7" w:rsidP="00500C88">
            <w:pPr>
              <w:spacing w:after="0"/>
              <w:rPr>
                <w:rFonts w:ascii="Calibri" w:eastAsia="Times New Roman" w:hAnsi="Calibri" w:cs="Calibri"/>
                <w:b/>
                <w:bCs/>
                <w:color w:val="000000"/>
                <w:sz w:val="16"/>
                <w:szCs w:val="16"/>
                <w:lang w:eastAsia="en-GB"/>
              </w:rPr>
            </w:pPr>
          </w:p>
        </w:tc>
        <w:tc>
          <w:tcPr>
            <w:tcW w:w="1545" w:type="dxa"/>
            <w:tcBorders>
              <w:top w:val="nil"/>
              <w:left w:val="nil"/>
              <w:bottom w:val="single" w:sz="4" w:space="0" w:color="auto"/>
              <w:right w:val="single" w:sz="4" w:space="0" w:color="auto"/>
            </w:tcBorders>
            <w:noWrap/>
            <w:hideMark/>
          </w:tcPr>
          <w:p w14:paraId="781F3BBA" w14:textId="77777777" w:rsidR="00A53EE7" w:rsidRDefault="00A53EE7"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6300" w:type="dxa"/>
            <w:gridSpan w:val="2"/>
            <w:tcBorders>
              <w:top w:val="single" w:sz="4" w:space="0" w:color="auto"/>
              <w:left w:val="nil"/>
              <w:bottom w:val="single" w:sz="4" w:space="0" w:color="auto"/>
              <w:right w:val="single" w:sz="4" w:space="0" w:color="auto"/>
            </w:tcBorders>
            <w:vAlign w:val="center"/>
            <w:hideMark/>
          </w:tcPr>
          <w:p w14:paraId="61434E19" w14:textId="77777777" w:rsidR="00A53EE7" w:rsidRDefault="00A53EE7"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1360" w:type="dxa"/>
            <w:tcBorders>
              <w:top w:val="nil"/>
              <w:left w:val="nil"/>
              <w:bottom w:val="single" w:sz="4" w:space="0" w:color="auto"/>
              <w:right w:val="single" w:sz="4" w:space="0" w:color="auto"/>
            </w:tcBorders>
            <w:vAlign w:val="center"/>
            <w:hideMark/>
          </w:tcPr>
          <w:p w14:paraId="6E17F4EA" w14:textId="77777777" w:rsidR="00A53EE7" w:rsidRDefault="00A53EE7"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0" w:type="auto"/>
            <w:vMerge/>
            <w:tcBorders>
              <w:top w:val="nil"/>
              <w:left w:val="single" w:sz="4" w:space="0" w:color="auto"/>
              <w:bottom w:val="single" w:sz="4" w:space="0" w:color="auto"/>
              <w:right w:val="single" w:sz="4" w:space="0" w:color="auto"/>
            </w:tcBorders>
            <w:vAlign w:val="center"/>
            <w:hideMark/>
          </w:tcPr>
          <w:p w14:paraId="281B9B10" w14:textId="77777777" w:rsidR="00A53EE7" w:rsidRDefault="00A53EE7" w:rsidP="00500C88">
            <w:pPr>
              <w:spacing w:after="0"/>
              <w:rPr>
                <w:rFonts w:ascii="Calibri" w:eastAsia="Times New Roman" w:hAnsi="Calibri" w:cs="Calibri"/>
                <w:color w:val="000000"/>
                <w:sz w:val="16"/>
                <w:szCs w:val="16"/>
                <w:lang w:eastAsia="en-GB"/>
              </w:rPr>
            </w:pPr>
          </w:p>
        </w:tc>
      </w:tr>
      <w:tr w:rsidR="00A53EE7" w14:paraId="547FDF45" w14:textId="77777777" w:rsidTr="00500C88">
        <w:trPr>
          <w:trHeight w:val="2018"/>
        </w:trPr>
        <w:tc>
          <w:tcPr>
            <w:tcW w:w="0" w:type="auto"/>
            <w:vMerge/>
            <w:tcBorders>
              <w:top w:val="nil"/>
              <w:left w:val="single" w:sz="8" w:space="0" w:color="auto"/>
              <w:bottom w:val="single" w:sz="8" w:space="0" w:color="000000"/>
              <w:right w:val="nil"/>
            </w:tcBorders>
            <w:vAlign w:val="center"/>
            <w:hideMark/>
          </w:tcPr>
          <w:p w14:paraId="33B0162C" w14:textId="77777777" w:rsidR="00A53EE7" w:rsidRDefault="00A53EE7" w:rsidP="00500C88">
            <w:pPr>
              <w:spacing w:after="0"/>
              <w:rPr>
                <w:rFonts w:ascii="Calibri" w:eastAsia="Times New Roman" w:hAnsi="Calibri" w:cs="Calibri"/>
                <w:color w:val="000000"/>
                <w:sz w:val="16"/>
                <w:szCs w:val="16"/>
                <w:lang w:eastAsia="en-GB"/>
              </w:rPr>
            </w:pPr>
          </w:p>
        </w:tc>
        <w:tc>
          <w:tcPr>
            <w:tcW w:w="973" w:type="dxa"/>
            <w:vMerge w:val="restart"/>
            <w:tcBorders>
              <w:top w:val="single" w:sz="4" w:space="0" w:color="auto"/>
              <w:left w:val="single" w:sz="4" w:space="0" w:color="auto"/>
              <w:bottom w:val="single" w:sz="4" w:space="0" w:color="auto"/>
              <w:right w:val="single" w:sz="4" w:space="0" w:color="auto"/>
            </w:tcBorders>
            <w:hideMark/>
          </w:tcPr>
          <w:p w14:paraId="054F72AD" w14:textId="6D939AF9" w:rsidR="00A53EE7" w:rsidRDefault="006F2F22"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Subtidal Seagrass – Drake’s Island</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53EEFE69" w14:textId="77777777" w:rsidR="00A53EE7" w:rsidRDefault="00A53EE7"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 Food (Wild Food - fish and shellfish).    </w:t>
            </w:r>
          </w:p>
          <w:p w14:paraId="12A2D864" w14:textId="77777777" w:rsidR="00A53EE7" w:rsidRDefault="00A53EE7"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Healthy climate (carbon sequestration).         • Sea defence. (</w:t>
            </w:r>
            <w:proofErr w:type="gramStart"/>
            <w:r>
              <w:rPr>
                <w:rFonts w:ascii="Calibri" w:eastAsia="Times New Roman" w:hAnsi="Calibri" w:cs="Calibri"/>
                <w:b/>
                <w:bCs/>
                <w:color w:val="000000"/>
                <w:sz w:val="16"/>
                <w:szCs w:val="16"/>
                <w:lang w:eastAsia="en-GB"/>
              </w:rPr>
              <w:t>natural</w:t>
            </w:r>
            <w:proofErr w:type="gramEnd"/>
            <w:r>
              <w:rPr>
                <w:rFonts w:ascii="Calibri" w:eastAsia="Times New Roman" w:hAnsi="Calibri" w:cs="Calibri"/>
                <w:b/>
                <w:bCs/>
                <w:color w:val="000000"/>
                <w:sz w:val="16"/>
                <w:szCs w:val="16"/>
                <w:lang w:eastAsia="en-GB"/>
              </w:rPr>
              <w:t xml:space="preserve"> hazard regulation).               • Tourism/nature watching.                  • Clean water and sediments.</w:t>
            </w:r>
          </w:p>
        </w:tc>
        <w:tc>
          <w:tcPr>
            <w:tcW w:w="1545" w:type="dxa"/>
            <w:vMerge w:val="restart"/>
            <w:tcBorders>
              <w:top w:val="single" w:sz="4" w:space="0" w:color="auto"/>
              <w:left w:val="single" w:sz="4" w:space="0" w:color="auto"/>
              <w:bottom w:val="single" w:sz="8" w:space="0" w:color="auto"/>
              <w:right w:val="single" w:sz="4" w:space="0" w:color="auto"/>
            </w:tcBorders>
            <w:noWrap/>
            <w:hideMark/>
          </w:tcPr>
          <w:p w14:paraId="0C542A6E" w14:textId="77777777" w:rsidR="00A53EE7" w:rsidRDefault="00A53EE7"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Spatial configuration</w:t>
            </w:r>
          </w:p>
        </w:tc>
        <w:tc>
          <w:tcPr>
            <w:tcW w:w="3587" w:type="dxa"/>
            <w:tcBorders>
              <w:top w:val="single" w:sz="4" w:space="0" w:color="auto"/>
              <w:left w:val="nil"/>
              <w:bottom w:val="single" w:sz="4" w:space="0" w:color="auto"/>
              <w:right w:val="single" w:sz="4" w:space="0" w:color="auto"/>
            </w:tcBorders>
            <w:hideMark/>
          </w:tcPr>
          <w:p w14:paraId="2E051602" w14:textId="77777777" w:rsidR="006F2F22" w:rsidRPr="00D81799" w:rsidRDefault="006F2F22" w:rsidP="006F2F22">
            <w:pPr>
              <w:spacing w:after="0" w:line="240" w:lineRule="auto"/>
              <w:rPr>
                <w:rFonts w:ascii="Calibri" w:eastAsia="Times New Roman" w:hAnsi="Calibri" w:cs="Calibri"/>
                <w:color w:val="000000"/>
                <w:sz w:val="16"/>
                <w:szCs w:val="16"/>
                <w:lang w:eastAsia="en-GB"/>
              </w:rPr>
            </w:pPr>
            <w:r w:rsidRPr="00BA66F3">
              <w:rPr>
                <w:rFonts w:ascii="Calibri" w:eastAsia="Times New Roman" w:hAnsi="Calibri" w:cs="Calibri"/>
                <w:b/>
                <w:bCs/>
                <w:color w:val="000000"/>
                <w:sz w:val="16"/>
                <w:szCs w:val="16"/>
                <w:lang w:eastAsia="en-GB"/>
              </w:rPr>
              <w:t>Composite mapping</w:t>
            </w:r>
            <w:r>
              <w:rPr>
                <w:rFonts w:ascii="Calibri" w:eastAsia="Times New Roman" w:hAnsi="Calibri" w:cs="Calibri"/>
                <w:color w:val="000000"/>
                <w:sz w:val="16"/>
                <w:szCs w:val="16"/>
                <w:lang w:eastAsia="en-GB"/>
              </w:rPr>
              <w:t xml:space="preserve">: </w:t>
            </w:r>
            <w:r w:rsidRPr="00332DBC">
              <w:rPr>
                <w:rFonts w:ascii="Calibri" w:eastAsia="Times New Roman" w:hAnsi="Calibri" w:cs="Calibri"/>
                <w:color w:val="000000"/>
                <w:sz w:val="16"/>
                <w:szCs w:val="16"/>
                <w:lang w:eastAsia="en-GB"/>
              </w:rPr>
              <w:t>seagrass bed at Drake’s Island to have an area of 0.052 Km</w:t>
            </w:r>
            <w:r w:rsidRPr="006F2F22">
              <w:rPr>
                <w:rFonts w:ascii="Calibri" w:eastAsia="Times New Roman" w:hAnsi="Calibri" w:cs="Calibri"/>
                <w:color w:val="000000"/>
                <w:sz w:val="16"/>
                <w:szCs w:val="16"/>
                <w:vertAlign w:val="superscript"/>
                <w:lang w:eastAsia="en-GB"/>
              </w:rPr>
              <w:t>2</w:t>
            </w:r>
          </w:p>
          <w:p w14:paraId="142A0EEA" w14:textId="77777777" w:rsidR="006F2F22" w:rsidRDefault="006F2F22" w:rsidP="006F2F22">
            <w:pPr>
              <w:spacing w:after="0" w:line="240" w:lineRule="auto"/>
              <w:rPr>
                <w:rFonts w:ascii="Calibri" w:eastAsia="Times New Roman" w:hAnsi="Calibri" w:cs="Calibri"/>
                <w:color w:val="000000"/>
                <w:sz w:val="16"/>
                <w:szCs w:val="16"/>
                <w:lang w:eastAsia="en-GB"/>
              </w:rPr>
            </w:pPr>
          </w:p>
          <w:p w14:paraId="2C8AE5B9" w14:textId="77777777" w:rsidR="006F2F22" w:rsidRDefault="006F2F22" w:rsidP="006F2F22">
            <w:pPr>
              <w:spacing w:after="0" w:line="240" w:lineRule="auto"/>
              <w:rPr>
                <w:rFonts w:ascii="Calibri" w:eastAsia="Times New Roman" w:hAnsi="Calibri" w:cs="Calibri"/>
                <w:color w:val="000000"/>
                <w:sz w:val="16"/>
                <w:szCs w:val="16"/>
                <w:lang w:eastAsia="en-GB"/>
              </w:rPr>
            </w:pPr>
            <w:r w:rsidRPr="009D42EA">
              <w:rPr>
                <w:rFonts w:ascii="Calibri" w:eastAsia="Times New Roman" w:hAnsi="Calibri" w:cs="Calibri"/>
                <w:b/>
                <w:bCs/>
                <w:color w:val="000000"/>
                <w:sz w:val="16"/>
                <w:szCs w:val="16"/>
                <w:lang w:eastAsia="en-GB"/>
              </w:rPr>
              <w:t>NE Package:</w:t>
            </w:r>
            <w:r>
              <w:rPr>
                <w:rFonts w:ascii="Calibri" w:eastAsia="Times New Roman" w:hAnsi="Calibri" w:cs="Calibri"/>
                <w:b/>
                <w:bCs/>
                <w:color w:val="000000"/>
                <w:sz w:val="16"/>
                <w:szCs w:val="16"/>
                <w:lang w:eastAsia="en-GB"/>
              </w:rPr>
              <w:t xml:space="preserve"> </w:t>
            </w:r>
            <w:r w:rsidRPr="00A374DE">
              <w:rPr>
                <w:rFonts w:ascii="Calibri" w:eastAsia="Times New Roman" w:hAnsi="Calibri" w:cs="Calibri"/>
                <w:color w:val="000000"/>
                <w:sz w:val="16"/>
                <w:szCs w:val="16"/>
                <w:lang w:eastAsia="en-GB"/>
              </w:rPr>
              <w:t>The Bunker et al (2019) report estimated a decrease in seagrass area from 44,207 m</w:t>
            </w:r>
            <w:r w:rsidRPr="008D30E2">
              <w:rPr>
                <w:rFonts w:ascii="Calibri" w:eastAsia="Times New Roman" w:hAnsi="Calibri" w:cs="Calibri"/>
                <w:color w:val="000000"/>
                <w:sz w:val="16"/>
                <w:szCs w:val="16"/>
                <w:vertAlign w:val="superscript"/>
                <w:lang w:eastAsia="en-GB"/>
              </w:rPr>
              <w:t>2</w:t>
            </w:r>
            <w:r w:rsidRPr="00A374DE">
              <w:rPr>
                <w:rFonts w:ascii="Calibri" w:eastAsia="Times New Roman" w:hAnsi="Calibri" w:cs="Calibri"/>
                <w:color w:val="000000"/>
                <w:sz w:val="16"/>
                <w:szCs w:val="16"/>
                <w:lang w:eastAsia="en-GB"/>
              </w:rPr>
              <w:t xml:space="preserve"> to 40,734 m</w:t>
            </w:r>
            <w:r w:rsidRPr="008D30E2">
              <w:rPr>
                <w:rFonts w:ascii="Calibri" w:eastAsia="Times New Roman" w:hAnsi="Calibri" w:cs="Calibri"/>
                <w:color w:val="000000"/>
                <w:sz w:val="16"/>
                <w:szCs w:val="16"/>
                <w:vertAlign w:val="superscript"/>
                <w:lang w:eastAsia="en-GB"/>
              </w:rPr>
              <w:t>2</w:t>
            </w:r>
            <w:r w:rsidRPr="00A374DE">
              <w:rPr>
                <w:rFonts w:ascii="Calibri" w:eastAsia="Times New Roman" w:hAnsi="Calibri" w:cs="Calibri"/>
                <w:color w:val="000000"/>
                <w:sz w:val="16"/>
                <w:szCs w:val="16"/>
                <w:lang w:eastAsia="en-GB"/>
              </w:rPr>
              <w:t xml:space="preserve"> between 2012 and 2018 at Drake’s Island. Equivalent to an 8% decrease in area. </w:t>
            </w:r>
            <w:r>
              <w:rPr>
                <w:rFonts w:ascii="Calibri" w:eastAsia="Times New Roman" w:hAnsi="Calibri" w:cs="Calibri"/>
                <w:color w:val="000000"/>
                <w:sz w:val="16"/>
                <w:szCs w:val="16"/>
                <w:lang w:eastAsia="en-GB"/>
              </w:rPr>
              <w:fldChar w:fldCharType="begin" w:fldLock="1"/>
            </w:r>
            <w:r>
              <w:rPr>
                <w:rFonts w:ascii="Calibri" w:eastAsia="Times New Roman" w:hAnsi="Calibri" w:cs="Calibri"/>
                <w:color w:val="000000"/>
                <w:sz w:val="16"/>
                <w:szCs w:val="16"/>
                <w:lang w:eastAsia="en-GB"/>
              </w:rPr>
              <w:instrText>ADDIN CSL_CITATION {"citationItems":[{"id":"ITEM-1","itemData":{"URL":"https://designatedsites.naturalengland.org.uk/Marine/MarineSiteDetail.aspx?SiteCode=UK0013111&amp;SiteName=plymouth&amp;countyCode=&amp;responsiblePerson=&amp;SeaArea=&amp;IFCAArea=&amp;HasCA=1&amp;NumMarineSeasonality=4&amp;SiteNameDisplay=Plymouth Sound and Estuaries SAC","author":[{"dropping-particle":"","family":"Natural England","given":"","non-dropping-particle":"","parse-names":false,"suffix":""}],"id":"ITEM-1","issued":{"date-parts":[["2023"]]},"title":"Natural England Conservation Advice for Marine Protected Areas Plymouth Sound and Estuaries SAC","type":"webpage"},"uris":["http://www.mendeley.com/documents/?uuid=4eec2dc4-8616-4fe0-9714-876dc3c4513b"]}],"mendeley":{"formattedCitation":"(Natural England, 2023)","plainTextFormattedCitation":"(Natural England, 2023)","previouslyFormattedCitation":"(Natural England, 2023)"},"properties":{"noteIndex":0},"schema":"https://github.com/citation-style-language/schema/raw/master/csl-citation.json"}</w:instrText>
            </w:r>
            <w:r>
              <w:rPr>
                <w:rFonts w:ascii="Calibri" w:eastAsia="Times New Roman" w:hAnsi="Calibri" w:cs="Calibri"/>
                <w:color w:val="000000"/>
                <w:sz w:val="16"/>
                <w:szCs w:val="16"/>
                <w:lang w:eastAsia="en-GB"/>
              </w:rPr>
              <w:fldChar w:fldCharType="separate"/>
            </w:r>
            <w:r w:rsidRPr="00C93BA3">
              <w:rPr>
                <w:rFonts w:ascii="Calibri" w:eastAsia="Times New Roman" w:hAnsi="Calibri" w:cs="Calibri"/>
                <w:noProof/>
                <w:color w:val="000000"/>
                <w:sz w:val="16"/>
                <w:szCs w:val="16"/>
                <w:lang w:eastAsia="en-GB"/>
              </w:rPr>
              <w:t>(Natural England, 2023)</w:t>
            </w:r>
            <w:r>
              <w:rPr>
                <w:rFonts w:ascii="Calibri" w:eastAsia="Times New Roman" w:hAnsi="Calibri" w:cs="Calibri"/>
                <w:color w:val="000000"/>
                <w:sz w:val="16"/>
                <w:szCs w:val="16"/>
                <w:lang w:eastAsia="en-GB"/>
              </w:rPr>
              <w:fldChar w:fldCharType="end"/>
            </w:r>
            <w:r>
              <w:rPr>
                <w:rFonts w:ascii="Calibri" w:eastAsia="Times New Roman" w:hAnsi="Calibri" w:cs="Calibri"/>
                <w:color w:val="000000"/>
                <w:sz w:val="16"/>
                <w:szCs w:val="16"/>
                <w:lang w:eastAsia="en-GB"/>
              </w:rPr>
              <w:t xml:space="preserve">. </w:t>
            </w:r>
          </w:p>
          <w:p w14:paraId="25CA21DF" w14:textId="77777777" w:rsidR="00A53EE7" w:rsidRDefault="00A53EE7" w:rsidP="00500C88">
            <w:pPr>
              <w:spacing w:after="0" w:line="240" w:lineRule="auto"/>
              <w:rPr>
                <w:rFonts w:ascii="Calibri" w:eastAsia="Times New Roman" w:hAnsi="Calibri" w:cs="Calibri"/>
                <w:color w:val="000000"/>
                <w:sz w:val="16"/>
                <w:szCs w:val="16"/>
                <w:lang w:eastAsia="en-GB"/>
              </w:rPr>
            </w:pPr>
          </w:p>
        </w:tc>
        <w:tc>
          <w:tcPr>
            <w:tcW w:w="2713" w:type="dxa"/>
            <w:tcBorders>
              <w:top w:val="single" w:sz="4" w:space="0" w:color="auto"/>
              <w:left w:val="nil"/>
              <w:bottom w:val="single" w:sz="4" w:space="0" w:color="auto"/>
              <w:right w:val="single" w:sz="4" w:space="0" w:color="auto"/>
            </w:tcBorders>
            <w:hideMark/>
          </w:tcPr>
          <w:p w14:paraId="56821C50" w14:textId="77777777" w:rsidR="00A53EE7" w:rsidRDefault="00A53EE7"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As for extent. </w:t>
            </w:r>
          </w:p>
        </w:tc>
        <w:tc>
          <w:tcPr>
            <w:tcW w:w="1360" w:type="dxa"/>
            <w:tcBorders>
              <w:top w:val="single" w:sz="4" w:space="0" w:color="auto"/>
              <w:left w:val="nil"/>
              <w:bottom w:val="single" w:sz="4" w:space="0" w:color="auto"/>
              <w:right w:val="single" w:sz="4" w:space="0" w:color="auto"/>
            </w:tcBorders>
            <w:noWrap/>
            <w:hideMark/>
          </w:tcPr>
          <w:p w14:paraId="5884FAA9" w14:textId="65B38739" w:rsidR="00A53EE7" w:rsidRDefault="00A53EE7"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As for extent - Declining </w:t>
            </w:r>
          </w:p>
        </w:tc>
        <w:tc>
          <w:tcPr>
            <w:tcW w:w="870" w:type="dxa"/>
            <w:tcBorders>
              <w:top w:val="single" w:sz="4" w:space="0" w:color="auto"/>
              <w:left w:val="single" w:sz="4" w:space="0" w:color="auto"/>
              <w:bottom w:val="single" w:sz="4" w:space="0" w:color="auto"/>
              <w:right w:val="single" w:sz="4" w:space="0" w:color="auto"/>
            </w:tcBorders>
            <w:shd w:val="clear" w:color="auto" w:fill="FFA3A3"/>
            <w:vAlign w:val="center"/>
            <w:hideMark/>
          </w:tcPr>
          <w:p w14:paraId="0090F7D2" w14:textId="77777777" w:rsidR="00A53EE7" w:rsidRDefault="00A53EE7" w:rsidP="00500C88">
            <w:pPr>
              <w:spacing w:after="0" w:line="240" w:lineRule="auto"/>
              <w:jc w:val="center"/>
              <w:rPr>
                <w:rFonts w:ascii="Calibri" w:eastAsia="Times New Roman" w:hAnsi="Calibri" w:cs="Calibri"/>
                <w:b/>
                <w:bCs/>
                <w:color w:val="000000"/>
                <w:sz w:val="16"/>
                <w:szCs w:val="16"/>
                <w:lang w:eastAsia="en-GB"/>
              </w:rPr>
            </w:pPr>
            <w:r w:rsidRPr="007C0E0B">
              <w:rPr>
                <w:rFonts w:ascii="Calibri" w:eastAsia="Times New Roman" w:hAnsi="Calibri" w:cs="Calibri"/>
                <w:b/>
                <w:bCs/>
                <w:sz w:val="16"/>
                <w:szCs w:val="16"/>
                <w:lang w:eastAsia="en-GB"/>
              </w:rPr>
              <w:t>C           (4)</w:t>
            </w:r>
          </w:p>
        </w:tc>
      </w:tr>
      <w:tr w:rsidR="00A53EE7" w14:paraId="6CB7C36D" w14:textId="77777777" w:rsidTr="00500C88">
        <w:trPr>
          <w:trHeight w:val="300"/>
        </w:trPr>
        <w:tc>
          <w:tcPr>
            <w:tcW w:w="0" w:type="auto"/>
            <w:vMerge/>
            <w:tcBorders>
              <w:top w:val="nil"/>
              <w:left w:val="single" w:sz="8" w:space="0" w:color="auto"/>
              <w:bottom w:val="single" w:sz="8" w:space="0" w:color="000000"/>
              <w:right w:val="nil"/>
            </w:tcBorders>
            <w:vAlign w:val="center"/>
            <w:hideMark/>
          </w:tcPr>
          <w:p w14:paraId="48A54BCF" w14:textId="77777777" w:rsidR="00A53EE7" w:rsidRDefault="00A53EE7"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A1F2A" w14:textId="77777777" w:rsidR="00A53EE7" w:rsidRDefault="00A53EE7"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6A555E" w14:textId="77777777" w:rsidR="00A53EE7" w:rsidRDefault="00A53EE7" w:rsidP="00500C88">
            <w:pPr>
              <w:spacing w:after="0"/>
              <w:rPr>
                <w:rFonts w:ascii="Calibri" w:eastAsia="Times New Roman" w:hAnsi="Calibri" w:cs="Calibri"/>
                <w:b/>
                <w:bCs/>
                <w:color w:val="000000"/>
                <w:sz w:val="16"/>
                <w:szCs w:val="16"/>
                <w:lang w:eastAsia="en-GB"/>
              </w:rPr>
            </w:pPr>
          </w:p>
        </w:tc>
        <w:tc>
          <w:tcPr>
            <w:tcW w:w="0" w:type="auto"/>
            <w:vMerge/>
            <w:tcBorders>
              <w:top w:val="single" w:sz="4" w:space="0" w:color="auto"/>
              <w:left w:val="single" w:sz="4" w:space="0" w:color="auto"/>
              <w:bottom w:val="single" w:sz="8" w:space="0" w:color="auto"/>
              <w:right w:val="single" w:sz="4" w:space="0" w:color="auto"/>
            </w:tcBorders>
            <w:vAlign w:val="center"/>
            <w:hideMark/>
          </w:tcPr>
          <w:p w14:paraId="7E59B915" w14:textId="77777777" w:rsidR="00A53EE7" w:rsidRDefault="00A53EE7" w:rsidP="00500C88">
            <w:pPr>
              <w:spacing w:after="0"/>
              <w:rPr>
                <w:rFonts w:ascii="Calibri" w:eastAsia="Times New Roman" w:hAnsi="Calibri" w:cs="Calibri"/>
                <w:color w:val="000000"/>
                <w:sz w:val="16"/>
                <w:szCs w:val="16"/>
                <w:lang w:eastAsia="en-GB"/>
              </w:rPr>
            </w:pPr>
          </w:p>
        </w:tc>
        <w:tc>
          <w:tcPr>
            <w:tcW w:w="6300" w:type="dxa"/>
            <w:gridSpan w:val="2"/>
            <w:tcBorders>
              <w:top w:val="single" w:sz="4" w:space="0" w:color="auto"/>
              <w:left w:val="nil"/>
              <w:bottom w:val="single" w:sz="4" w:space="0" w:color="auto"/>
              <w:right w:val="single" w:sz="4" w:space="0" w:color="auto"/>
            </w:tcBorders>
            <w:vAlign w:val="center"/>
            <w:hideMark/>
          </w:tcPr>
          <w:p w14:paraId="531E54D6" w14:textId="77777777" w:rsidR="00A53EE7" w:rsidRDefault="00A53EE7"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w:t>
            </w:r>
          </w:p>
        </w:tc>
        <w:tc>
          <w:tcPr>
            <w:tcW w:w="1360" w:type="dxa"/>
            <w:tcBorders>
              <w:top w:val="nil"/>
              <w:left w:val="nil"/>
              <w:bottom w:val="single" w:sz="4" w:space="0" w:color="auto"/>
              <w:right w:val="single" w:sz="4" w:space="0" w:color="auto"/>
            </w:tcBorders>
            <w:vAlign w:val="center"/>
            <w:hideMark/>
          </w:tcPr>
          <w:p w14:paraId="4DA97979" w14:textId="77777777" w:rsidR="00A53EE7" w:rsidRDefault="00A53EE7"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w:t>
            </w:r>
          </w:p>
        </w:tc>
        <w:tc>
          <w:tcPr>
            <w:tcW w:w="870" w:type="dxa"/>
            <w:vMerge w:val="restart"/>
            <w:tcBorders>
              <w:top w:val="nil"/>
              <w:left w:val="single" w:sz="4" w:space="0" w:color="auto"/>
              <w:bottom w:val="single" w:sz="4" w:space="0" w:color="auto"/>
              <w:right w:val="single" w:sz="4" w:space="0" w:color="auto"/>
            </w:tcBorders>
            <w:vAlign w:val="center"/>
            <w:hideMark/>
          </w:tcPr>
          <w:p w14:paraId="79A5E7BA" w14:textId="77777777" w:rsidR="00A53EE7" w:rsidRDefault="00A53EE7" w:rsidP="00500C88">
            <w:pPr>
              <w:rPr>
                <w:rFonts w:ascii="Calibri" w:eastAsia="Times New Roman" w:hAnsi="Calibri" w:cs="Calibri"/>
                <w:color w:val="000000"/>
                <w:sz w:val="16"/>
                <w:szCs w:val="16"/>
                <w:lang w:eastAsia="en-GB"/>
              </w:rPr>
            </w:pPr>
          </w:p>
        </w:tc>
      </w:tr>
      <w:tr w:rsidR="00A53EE7" w14:paraId="4C22CFD6" w14:textId="77777777" w:rsidTr="00500C88">
        <w:trPr>
          <w:trHeight w:val="315"/>
        </w:trPr>
        <w:tc>
          <w:tcPr>
            <w:tcW w:w="0" w:type="auto"/>
            <w:vMerge/>
            <w:tcBorders>
              <w:top w:val="nil"/>
              <w:left w:val="single" w:sz="8" w:space="0" w:color="auto"/>
              <w:bottom w:val="single" w:sz="8" w:space="0" w:color="000000"/>
              <w:right w:val="nil"/>
            </w:tcBorders>
            <w:vAlign w:val="center"/>
            <w:hideMark/>
          </w:tcPr>
          <w:p w14:paraId="60D12C59" w14:textId="77777777" w:rsidR="00A53EE7" w:rsidRDefault="00A53EE7"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F46FF" w14:textId="77777777" w:rsidR="00A53EE7" w:rsidRDefault="00A53EE7"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3775C" w14:textId="77777777" w:rsidR="00A53EE7" w:rsidRDefault="00A53EE7" w:rsidP="00500C88">
            <w:pPr>
              <w:spacing w:after="0"/>
              <w:rPr>
                <w:rFonts w:ascii="Calibri" w:eastAsia="Times New Roman" w:hAnsi="Calibri" w:cs="Calibri"/>
                <w:b/>
                <w:bCs/>
                <w:color w:val="000000"/>
                <w:sz w:val="16"/>
                <w:szCs w:val="16"/>
                <w:lang w:eastAsia="en-GB"/>
              </w:rPr>
            </w:pPr>
          </w:p>
        </w:tc>
        <w:tc>
          <w:tcPr>
            <w:tcW w:w="0" w:type="auto"/>
            <w:vMerge/>
            <w:tcBorders>
              <w:top w:val="single" w:sz="4" w:space="0" w:color="auto"/>
              <w:left w:val="single" w:sz="4" w:space="0" w:color="auto"/>
              <w:bottom w:val="single" w:sz="8" w:space="0" w:color="auto"/>
              <w:right w:val="single" w:sz="4" w:space="0" w:color="auto"/>
            </w:tcBorders>
            <w:vAlign w:val="center"/>
            <w:hideMark/>
          </w:tcPr>
          <w:p w14:paraId="08B6CC48" w14:textId="77777777" w:rsidR="00A53EE7" w:rsidRDefault="00A53EE7" w:rsidP="00500C88">
            <w:pPr>
              <w:spacing w:after="0"/>
              <w:rPr>
                <w:rFonts w:ascii="Calibri" w:eastAsia="Times New Roman" w:hAnsi="Calibri" w:cs="Calibri"/>
                <w:color w:val="000000"/>
                <w:sz w:val="16"/>
                <w:szCs w:val="16"/>
                <w:lang w:eastAsia="en-GB"/>
              </w:rPr>
            </w:pPr>
          </w:p>
        </w:tc>
        <w:tc>
          <w:tcPr>
            <w:tcW w:w="6300" w:type="dxa"/>
            <w:gridSpan w:val="2"/>
            <w:tcBorders>
              <w:top w:val="single" w:sz="4" w:space="0" w:color="auto"/>
              <w:left w:val="nil"/>
              <w:bottom w:val="single" w:sz="4" w:space="0" w:color="auto"/>
              <w:right w:val="single" w:sz="4" w:space="0" w:color="auto"/>
            </w:tcBorders>
            <w:vAlign w:val="center"/>
            <w:hideMark/>
          </w:tcPr>
          <w:p w14:paraId="67C7A10C" w14:textId="77777777" w:rsidR="00A53EE7" w:rsidRDefault="00A53EE7"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1360" w:type="dxa"/>
            <w:tcBorders>
              <w:top w:val="nil"/>
              <w:left w:val="nil"/>
              <w:bottom w:val="single" w:sz="4" w:space="0" w:color="auto"/>
              <w:right w:val="single" w:sz="4" w:space="0" w:color="auto"/>
            </w:tcBorders>
            <w:vAlign w:val="center"/>
            <w:hideMark/>
          </w:tcPr>
          <w:p w14:paraId="707A40B8" w14:textId="77777777" w:rsidR="00A53EE7" w:rsidRDefault="00A53EE7"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0" w:type="auto"/>
            <w:vMerge/>
            <w:tcBorders>
              <w:top w:val="nil"/>
              <w:left w:val="single" w:sz="4" w:space="0" w:color="auto"/>
              <w:bottom w:val="single" w:sz="4" w:space="0" w:color="auto"/>
              <w:right w:val="single" w:sz="4" w:space="0" w:color="auto"/>
            </w:tcBorders>
            <w:vAlign w:val="center"/>
            <w:hideMark/>
          </w:tcPr>
          <w:p w14:paraId="1D11BA3F" w14:textId="77777777" w:rsidR="00A53EE7" w:rsidRDefault="00A53EE7" w:rsidP="00500C88">
            <w:pPr>
              <w:spacing w:after="0"/>
              <w:rPr>
                <w:rFonts w:ascii="Calibri" w:eastAsia="Times New Roman" w:hAnsi="Calibri" w:cs="Calibri"/>
                <w:color w:val="000000"/>
                <w:sz w:val="16"/>
                <w:szCs w:val="16"/>
                <w:lang w:eastAsia="en-GB"/>
              </w:rPr>
            </w:pPr>
          </w:p>
        </w:tc>
      </w:tr>
    </w:tbl>
    <w:p w14:paraId="08D6D95D" w14:textId="77777777" w:rsidR="00357A28" w:rsidRDefault="00357A28" w:rsidP="008E7806"/>
    <w:p w14:paraId="7FEFD7E2" w14:textId="77777777" w:rsidR="006F2F22" w:rsidRDefault="006F2F22" w:rsidP="008E7806"/>
    <w:p w14:paraId="5F6B6814" w14:textId="77777777" w:rsidR="006F2F22" w:rsidRDefault="006F2F22" w:rsidP="008E7806"/>
    <w:p w14:paraId="1D38CB8A" w14:textId="77777777" w:rsidR="006F2F22" w:rsidRDefault="006F2F22" w:rsidP="008E7806"/>
    <w:p w14:paraId="3F1832BB" w14:textId="77777777" w:rsidR="006F2F22" w:rsidRDefault="006F2F22" w:rsidP="008E7806"/>
    <w:tbl>
      <w:tblPr>
        <w:tblW w:w="13580" w:type="dxa"/>
        <w:tblLook w:val="04A0" w:firstRow="1" w:lastRow="0" w:firstColumn="1" w:lastColumn="0" w:noHBand="0" w:noVBand="1"/>
      </w:tblPr>
      <w:tblGrid>
        <w:gridCol w:w="1130"/>
        <w:gridCol w:w="973"/>
        <w:gridCol w:w="1402"/>
        <w:gridCol w:w="1545"/>
        <w:gridCol w:w="3587"/>
        <w:gridCol w:w="2713"/>
        <w:gridCol w:w="1360"/>
        <w:gridCol w:w="870"/>
      </w:tblGrid>
      <w:tr w:rsidR="006F2F22" w14:paraId="40AFF5EB" w14:textId="77777777" w:rsidTr="00500C88">
        <w:trPr>
          <w:trHeight w:val="780"/>
          <w:tblHeader/>
        </w:trPr>
        <w:tc>
          <w:tcPr>
            <w:tcW w:w="1130" w:type="dxa"/>
            <w:tcBorders>
              <w:top w:val="single" w:sz="8" w:space="0" w:color="auto"/>
              <w:left w:val="single" w:sz="8" w:space="0" w:color="auto"/>
              <w:bottom w:val="single" w:sz="8" w:space="0" w:color="auto"/>
              <w:right w:val="single" w:sz="8" w:space="0" w:color="auto"/>
            </w:tcBorders>
            <w:hideMark/>
          </w:tcPr>
          <w:p w14:paraId="7F202BF2" w14:textId="77777777" w:rsidR="006F2F22" w:rsidRDefault="006F2F22"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Broad Habitat type</w:t>
            </w:r>
          </w:p>
        </w:tc>
        <w:tc>
          <w:tcPr>
            <w:tcW w:w="973" w:type="dxa"/>
            <w:tcBorders>
              <w:top w:val="single" w:sz="8" w:space="0" w:color="auto"/>
              <w:left w:val="nil"/>
              <w:bottom w:val="nil"/>
              <w:right w:val="single" w:sz="8" w:space="0" w:color="auto"/>
            </w:tcBorders>
            <w:hideMark/>
          </w:tcPr>
          <w:p w14:paraId="1042ECB6" w14:textId="77777777" w:rsidR="006F2F22" w:rsidRDefault="006F2F22"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Habitat / Species Asset</w:t>
            </w:r>
          </w:p>
        </w:tc>
        <w:tc>
          <w:tcPr>
            <w:tcW w:w="1402" w:type="dxa"/>
            <w:tcBorders>
              <w:top w:val="single" w:sz="8" w:space="0" w:color="auto"/>
              <w:left w:val="nil"/>
              <w:bottom w:val="nil"/>
              <w:right w:val="single" w:sz="8" w:space="0" w:color="auto"/>
            </w:tcBorders>
            <w:hideMark/>
          </w:tcPr>
          <w:p w14:paraId="727FB717" w14:textId="77777777" w:rsidR="006F2F22" w:rsidRDefault="006F2F22"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Benefit</w:t>
            </w:r>
          </w:p>
        </w:tc>
        <w:tc>
          <w:tcPr>
            <w:tcW w:w="1545" w:type="dxa"/>
            <w:tcBorders>
              <w:top w:val="single" w:sz="8" w:space="0" w:color="auto"/>
              <w:left w:val="nil"/>
              <w:bottom w:val="nil"/>
              <w:right w:val="single" w:sz="8" w:space="0" w:color="auto"/>
            </w:tcBorders>
            <w:noWrap/>
            <w:hideMark/>
          </w:tcPr>
          <w:p w14:paraId="289FD74E" w14:textId="77777777" w:rsidR="006F2F22" w:rsidRDefault="006F2F22"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Characteristic</w:t>
            </w:r>
          </w:p>
        </w:tc>
        <w:tc>
          <w:tcPr>
            <w:tcW w:w="3587" w:type="dxa"/>
            <w:tcBorders>
              <w:top w:val="single" w:sz="8" w:space="0" w:color="auto"/>
              <w:left w:val="nil"/>
              <w:bottom w:val="nil"/>
              <w:right w:val="single" w:sz="8" w:space="0" w:color="auto"/>
            </w:tcBorders>
            <w:noWrap/>
            <w:hideMark/>
          </w:tcPr>
          <w:p w14:paraId="17139F2F" w14:textId="77777777" w:rsidR="006F2F22" w:rsidRDefault="006F2F22"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Current Status</w:t>
            </w:r>
          </w:p>
        </w:tc>
        <w:tc>
          <w:tcPr>
            <w:tcW w:w="2713" w:type="dxa"/>
            <w:tcBorders>
              <w:top w:val="single" w:sz="8" w:space="0" w:color="auto"/>
              <w:left w:val="nil"/>
              <w:bottom w:val="nil"/>
              <w:right w:val="single" w:sz="8" w:space="0" w:color="auto"/>
            </w:tcBorders>
            <w:noWrap/>
            <w:hideMark/>
          </w:tcPr>
          <w:p w14:paraId="66CE8B5D" w14:textId="77777777" w:rsidR="006F2F22" w:rsidRDefault="006F2F22"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Target</w:t>
            </w:r>
          </w:p>
        </w:tc>
        <w:tc>
          <w:tcPr>
            <w:tcW w:w="1360" w:type="dxa"/>
            <w:tcBorders>
              <w:top w:val="single" w:sz="8" w:space="0" w:color="auto"/>
              <w:left w:val="nil"/>
              <w:bottom w:val="nil"/>
              <w:right w:val="single" w:sz="8" w:space="0" w:color="auto"/>
            </w:tcBorders>
            <w:noWrap/>
            <w:hideMark/>
          </w:tcPr>
          <w:p w14:paraId="1CC55EF5" w14:textId="77777777" w:rsidR="006F2F22" w:rsidRDefault="006F2F22"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Trend</w:t>
            </w:r>
          </w:p>
        </w:tc>
        <w:tc>
          <w:tcPr>
            <w:tcW w:w="870" w:type="dxa"/>
            <w:tcBorders>
              <w:top w:val="single" w:sz="8" w:space="0" w:color="auto"/>
              <w:left w:val="nil"/>
              <w:bottom w:val="single" w:sz="4" w:space="0" w:color="auto"/>
              <w:right w:val="single" w:sz="8" w:space="0" w:color="auto"/>
            </w:tcBorders>
            <w:noWrap/>
            <w:hideMark/>
          </w:tcPr>
          <w:p w14:paraId="5AD88D42" w14:textId="77777777" w:rsidR="006F2F22" w:rsidRDefault="006F2F22"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RAG</w:t>
            </w:r>
          </w:p>
        </w:tc>
      </w:tr>
      <w:tr w:rsidR="006F2F22" w14:paraId="19CFD61E" w14:textId="77777777" w:rsidTr="00500C88">
        <w:trPr>
          <w:trHeight w:val="2019"/>
        </w:trPr>
        <w:tc>
          <w:tcPr>
            <w:tcW w:w="1130" w:type="dxa"/>
            <w:vMerge w:val="restart"/>
            <w:tcBorders>
              <w:top w:val="nil"/>
              <w:left w:val="single" w:sz="8" w:space="0" w:color="auto"/>
              <w:bottom w:val="single" w:sz="8" w:space="0" w:color="000000"/>
              <w:right w:val="nil"/>
            </w:tcBorders>
            <w:shd w:val="clear" w:color="auto" w:fill="F2F2F2"/>
            <w:noWrap/>
            <w:hideMark/>
          </w:tcPr>
          <w:p w14:paraId="397A0326" w14:textId="77777777" w:rsidR="006F2F22" w:rsidRDefault="006F2F22"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Coastal Margin</w:t>
            </w:r>
          </w:p>
        </w:tc>
        <w:tc>
          <w:tcPr>
            <w:tcW w:w="973" w:type="dxa"/>
            <w:vMerge w:val="restart"/>
            <w:tcBorders>
              <w:top w:val="single" w:sz="4" w:space="0" w:color="auto"/>
              <w:left w:val="single" w:sz="4" w:space="0" w:color="auto"/>
              <w:bottom w:val="single" w:sz="4" w:space="0" w:color="auto"/>
              <w:right w:val="single" w:sz="4" w:space="0" w:color="auto"/>
            </w:tcBorders>
            <w:hideMark/>
          </w:tcPr>
          <w:p w14:paraId="18D7AD49" w14:textId="71696B1D" w:rsidR="006F2F22" w:rsidRDefault="006F2F22"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Subtidal Seagrass – </w:t>
            </w:r>
            <w:proofErr w:type="spellStart"/>
            <w:r w:rsidR="00C22D85">
              <w:rPr>
                <w:rFonts w:ascii="Calibri" w:eastAsia="Times New Roman" w:hAnsi="Calibri" w:cs="Calibri"/>
                <w:color w:val="000000"/>
                <w:sz w:val="16"/>
                <w:szCs w:val="16"/>
                <w:lang w:eastAsia="en-GB"/>
              </w:rPr>
              <w:t>Jennycliff</w:t>
            </w:r>
            <w:proofErr w:type="spellEnd"/>
            <w:r w:rsidR="00C22D85">
              <w:rPr>
                <w:rFonts w:ascii="Calibri" w:eastAsia="Times New Roman" w:hAnsi="Calibri" w:cs="Calibri"/>
                <w:color w:val="000000"/>
                <w:sz w:val="16"/>
                <w:szCs w:val="16"/>
                <w:lang w:eastAsia="en-GB"/>
              </w:rPr>
              <w:t xml:space="preserve"> North</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251F9340" w14:textId="77777777" w:rsidR="006F2F22" w:rsidRDefault="006F2F22"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 Food (Wild Food - fish and shellfish).    </w:t>
            </w:r>
          </w:p>
          <w:p w14:paraId="4760CDE6" w14:textId="77777777" w:rsidR="006F2F22" w:rsidRDefault="006F2F22" w:rsidP="00500C88">
            <w:pPr>
              <w:spacing w:after="0" w:line="240" w:lineRule="auto"/>
              <w:ind w:hanging="52"/>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Healthy climate (carbon sequestration).         • Sea defence. (</w:t>
            </w:r>
            <w:proofErr w:type="gramStart"/>
            <w:r>
              <w:rPr>
                <w:rFonts w:ascii="Calibri" w:eastAsia="Times New Roman" w:hAnsi="Calibri" w:cs="Calibri"/>
                <w:b/>
                <w:bCs/>
                <w:color w:val="000000"/>
                <w:sz w:val="16"/>
                <w:szCs w:val="16"/>
                <w:lang w:eastAsia="en-GB"/>
              </w:rPr>
              <w:t>natural</w:t>
            </w:r>
            <w:proofErr w:type="gramEnd"/>
            <w:r>
              <w:rPr>
                <w:rFonts w:ascii="Calibri" w:eastAsia="Times New Roman" w:hAnsi="Calibri" w:cs="Calibri"/>
                <w:b/>
                <w:bCs/>
                <w:color w:val="000000"/>
                <w:sz w:val="16"/>
                <w:szCs w:val="16"/>
                <w:lang w:eastAsia="en-GB"/>
              </w:rPr>
              <w:t xml:space="preserve"> hazard regulation).               • Tourism/nature watching.                  • Clean water and sediments.</w:t>
            </w:r>
          </w:p>
        </w:tc>
        <w:tc>
          <w:tcPr>
            <w:tcW w:w="1545" w:type="dxa"/>
            <w:vMerge w:val="restart"/>
            <w:tcBorders>
              <w:top w:val="single" w:sz="4" w:space="0" w:color="auto"/>
              <w:left w:val="single" w:sz="4" w:space="0" w:color="auto"/>
              <w:bottom w:val="single" w:sz="4" w:space="0" w:color="auto"/>
              <w:right w:val="single" w:sz="4" w:space="0" w:color="auto"/>
            </w:tcBorders>
            <w:noWrap/>
            <w:hideMark/>
          </w:tcPr>
          <w:p w14:paraId="67C7CD9D" w14:textId="77777777" w:rsidR="006F2F22" w:rsidRDefault="006F2F22"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Quantity/Extent</w:t>
            </w:r>
          </w:p>
        </w:tc>
        <w:tc>
          <w:tcPr>
            <w:tcW w:w="3587" w:type="dxa"/>
            <w:tcBorders>
              <w:top w:val="single" w:sz="4" w:space="0" w:color="auto"/>
              <w:left w:val="nil"/>
              <w:bottom w:val="single" w:sz="4" w:space="0" w:color="auto"/>
              <w:right w:val="single" w:sz="4" w:space="0" w:color="auto"/>
            </w:tcBorders>
            <w:hideMark/>
          </w:tcPr>
          <w:p w14:paraId="7727F0CD" w14:textId="7DACB88D" w:rsidR="006F2F22" w:rsidRPr="00D81799" w:rsidRDefault="006F2F22" w:rsidP="00500C88">
            <w:pPr>
              <w:spacing w:after="0" w:line="240" w:lineRule="auto"/>
              <w:rPr>
                <w:rFonts w:ascii="Calibri" w:eastAsia="Times New Roman" w:hAnsi="Calibri" w:cs="Calibri"/>
                <w:color w:val="000000"/>
                <w:sz w:val="16"/>
                <w:szCs w:val="16"/>
                <w:lang w:eastAsia="en-GB"/>
              </w:rPr>
            </w:pPr>
            <w:r w:rsidRPr="00BA66F3">
              <w:rPr>
                <w:rFonts w:ascii="Calibri" w:eastAsia="Times New Roman" w:hAnsi="Calibri" w:cs="Calibri"/>
                <w:b/>
                <w:bCs/>
                <w:color w:val="000000"/>
                <w:sz w:val="16"/>
                <w:szCs w:val="16"/>
                <w:lang w:eastAsia="en-GB"/>
              </w:rPr>
              <w:t>Composite mapping</w:t>
            </w:r>
            <w:r>
              <w:rPr>
                <w:rFonts w:ascii="Calibri" w:eastAsia="Times New Roman" w:hAnsi="Calibri" w:cs="Calibri"/>
                <w:color w:val="000000"/>
                <w:sz w:val="16"/>
                <w:szCs w:val="16"/>
                <w:lang w:eastAsia="en-GB"/>
              </w:rPr>
              <w:t xml:space="preserve">: </w:t>
            </w:r>
            <w:r w:rsidR="00781C8A" w:rsidRPr="00781C8A">
              <w:rPr>
                <w:rFonts w:ascii="Calibri" w:eastAsia="Times New Roman" w:hAnsi="Calibri" w:cs="Calibri"/>
                <w:color w:val="000000"/>
                <w:sz w:val="16"/>
                <w:szCs w:val="16"/>
                <w:lang w:eastAsia="en-GB"/>
              </w:rPr>
              <w:t xml:space="preserve">Composite mapping shows the seagrass bed at </w:t>
            </w:r>
            <w:proofErr w:type="spellStart"/>
            <w:r w:rsidR="00781C8A" w:rsidRPr="00781C8A">
              <w:rPr>
                <w:rFonts w:ascii="Calibri" w:eastAsia="Times New Roman" w:hAnsi="Calibri" w:cs="Calibri"/>
                <w:color w:val="000000"/>
                <w:sz w:val="16"/>
                <w:szCs w:val="16"/>
                <w:lang w:eastAsia="en-GB"/>
              </w:rPr>
              <w:t>Jennycliff</w:t>
            </w:r>
            <w:proofErr w:type="spellEnd"/>
            <w:r w:rsidR="00781C8A" w:rsidRPr="00781C8A">
              <w:rPr>
                <w:rFonts w:ascii="Calibri" w:eastAsia="Times New Roman" w:hAnsi="Calibri" w:cs="Calibri"/>
                <w:color w:val="000000"/>
                <w:sz w:val="16"/>
                <w:szCs w:val="16"/>
                <w:lang w:eastAsia="en-GB"/>
              </w:rPr>
              <w:t xml:space="preserve"> North to have an area of 63 m</w:t>
            </w:r>
            <w:r w:rsidR="00781C8A" w:rsidRPr="00E67805">
              <w:rPr>
                <w:rFonts w:ascii="Calibri" w:eastAsia="Times New Roman" w:hAnsi="Calibri" w:cs="Calibri"/>
                <w:color w:val="000000"/>
                <w:sz w:val="16"/>
                <w:szCs w:val="16"/>
                <w:vertAlign w:val="superscript"/>
                <w:lang w:eastAsia="en-GB"/>
              </w:rPr>
              <w:t>2</w:t>
            </w:r>
            <w:r w:rsidR="00781C8A" w:rsidRPr="00781C8A">
              <w:rPr>
                <w:rFonts w:ascii="Calibri" w:eastAsia="Times New Roman" w:hAnsi="Calibri" w:cs="Calibri"/>
                <w:color w:val="000000"/>
                <w:sz w:val="16"/>
                <w:szCs w:val="16"/>
                <w:lang w:eastAsia="en-GB"/>
              </w:rPr>
              <w:t>.</w:t>
            </w:r>
          </w:p>
          <w:p w14:paraId="524DD079" w14:textId="77777777" w:rsidR="006F2F22" w:rsidRDefault="006F2F22" w:rsidP="00500C88">
            <w:pPr>
              <w:spacing w:after="0" w:line="240" w:lineRule="auto"/>
              <w:rPr>
                <w:rFonts w:ascii="Calibri" w:eastAsia="Times New Roman" w:hAnsi="Calibri" w:cs="Calibri"/>
                <w:color w:val="000000"/>
                <w:sz w:val="16"/>
                <w:szCs w:val="16"/>
                <w:lang w:eastAsia="en-GB"/>
              </w:rPr>
            </w:pPr>
          </w:p>
          <w:p w14:paraId="0E43904C" w14:textId="00809152" w:rsidR="006F2F22" w:rsidRDefault="006F2F22" w:rsidP="00500C88">
            <w:pPr>
              <w:spacing w:after="0" w:line="240" w:lineRule="auto"/>
              <w:rPr>
                <w:rFonts w:ascii="Calibri" w:eastAsia="Times New Roman" w:hAnsi="Calibri" w:cs="Calibri"/>
                <w:color w:val="000000"/>
                <w:sz w:val="16"/>
                <w:szCs w:val="16"/>
                <w:lang w:eastAsia="en-GB"/>
              </w:rPr>
            </w:pPr>
            <w:r w:rsidRPr="009D42EA">
              <w:rPr>
                <w:rFonts w:ascii="Calibri" w:eastAsia="Times New Roman" w:hAnsi="Calibri" w:cs="Calibri"/>
                <w:b/>
                <w:bCs/>
                <w:color w:val="000000"/>
                <w:sz w:val="16"/>
                <w:szCs w:val="16"/>
                <w:lang w:eastAsia="en-GB"/>
              </w:rPr>
              <w:t>NE Package:</w:t>
            </w:r>
            <w:r>
              <w:rPr>
                <w:rFonts w:ascii="Calibri" w:eastAsia="Times New Roman" w:hAnsi="Calibri" w:cs="Calibri"/>
                <w:b/>
                <w:bCs/>
                <w:color w:val="000000"/>
                <w:sz w:val="16"/>
                <w:szCs w:val="16"/>
                <w:lang w:eastAsia="en-GB"/>
              </w:rPr>
              <w:t xml:space="preserve"> </w:t>
            </w:r>
            <w:r w:rsidR="00E67805" w:rsidRPr="00E67805">
              <w:rPr>
                <w:rFonts w:ascii="Calibri" w:eastAsia="Times New Roman" w:hAnsi="Calibri" w:cs="Calibri"/>
                <w:color w:val="000000"/>
                <w:sz w:val="16"/>
                <w:szCs w:val="16"/>
                <w:lang w:eastAsia="en-GB"/>
              </w:rPr>
              <w:t xml:space="preserve">Summary of losses and gains is not included for the seagrass bed at </w:t>
            </w:r>
            <w:proofErr w:type="spellStart"/>
            <w:r w:rsidR="00E67805" w:rsidRPr="00E67805">
              <w:rPr>
                <w:rFonts w:ascii="Calibri" w:eastAsia="Times New Roman" w:hAnsi="Calibri" w:cs="Calibri"/>
                <w:color w:val="000000"/>
                <w:sz w:val="16"/>
                <w:szCs w:val="16"/>
                <w:lang w:eastAsia="en-GB"/>
              </w:rPr>
              <w:t>Jennycliff</w:t>
            </w:r>
            <w:proofErr w:type="spellEnd"/>
            <w:r w:rsidR="00E67805" w:rsidRPr="00E67805">
              <w:rPr>
                <w:rFonts w:ascii="Calibri" w:eastAsia="Times New Roman" w:hAnsi="Calibri" w:cs="Calibri"/>
                <w:color w:val="000000"/>
                <w:sz w:val="16"/>
                <w:szCs w:val="16"/>
                <w:lang w:eastAsia="en-GB"/>
              </w:rPr>
              <w:t xml:space="preserve"> North as seagrass was only recorded from a single drop and it does not constitute a bed (Bunker et al. 2019)</w:t>
            </w:r>
            <w:r>
              <w:rPr>
                <w:rFonts w:ascii="Calibri" w:eastAsia="Times New Roman" w:hAnsi="Calibri" w:cs="Calibri"/>
                <w:color w:val="000000"/>
                <w:sz w:val="16"/>
                <w:szCs w:val="16"/>
                <w:lang w:eastAsia="en-GB"/>
              </w:rPr>
              <w:fldChar w:fldCharType="begin" w:fldLock="1"/>
            </w:r>
            <w:r>
              <w:rPr>
                <w:rFonts w:ascii="Calibri" w:eastAsia="Times New Roman" w:hAnsi="Calibri" w:cs="Calibri"/>
                <w:color w:val="000000"/>
                <w:sz w:val="16"/>
                <w:szCs w:val="16"/>
                <w:lang w:eastAsia="en-GB"/>
              </w:rPr>
              <w:instrText>ADDIN CSL_CITATION {"citationItems":[{"id":"ITEM-1","itemData":{"URL":"https://designatedsites.naturalengland.org.uk/Marine/MarineSiteDetail.aspx?SiteCode=UK0013111&amp;SiteName=plymouth&amp;countyCode=&amp;responsiblePerson=&amp;SeaArea=&amp;IFCAArea=&amp;HasCA=1&amp;NumMarineSeasonality=4&amp;SiteNameDisplay=Plymouth Sound and Estuaries SAC","author":[{"dropping-particle":"","family":"Natural England","given":"","non-dropping-particle":"","parse-names":false,"suffix":""}],"id":"ITEM-1","issued":{"date-parts":[["2023"]]},"title":"Natural England Conservation Advice for Marine Protected Areas Plymouth Sound and Estuaries SAC","type":"webpage"},"uris":["http://www.mendeley.com/documents/?uuid=4eec2dc4-8616-4fe0-9714-876dc3c4513b"]}],"mendeley":{"formattedCitation":"(Natural England, 2023)","plainTextFormattedCitation":"(Natural England, 2023)","previouslyFormattedCitation":"(Natural England, 2023)"},"properties":{"noteIndex":0},"schema":"https://github.com/citation-style-language/schema/raw/master/csl-citation.json"}</w:instrText>
            </w:r>
            <w:r>
              <w:rPr>
                <w:rFonts w:ascii="Calibri" w:eastAsia="Times New Roman" w:hAnsi="Calibri" w:cs="Calibri"/>
                <w:color w:val="000000"/>
                <w:sz w:val="16"/>
                <w:szCs w:val="16"/>
                <w:lang w:eastAsia="en-GB"/>
              </w:rPr>
              <w:fldChar w:fldCharType="separate"/>
            </w:r>
            <w:r w:rsidRPr="00C93BA3">
              <w:rPr>
                <w:rFonts w:ascii="Calibri" w:eastAsia="Times New Roman" w:hAnsi="Calibri" w:cs="Calibri"/>
                <w:noProof/>
                <w:color w:val="000000"/>
                <w:sz w:val="16"/>
                <w:szCs w:val="16"/>
                <w:lang w:eastAsia="en-GB"/>
              </w:rPr>
              <w:t>(Natural England, 2023)</w:t>
            </w:r>
            <w:r>
              <w:rPr>
                <w:rFonts w:ascii="Calibri" w:eastAsia="Times New Roman" w:hAnsi="Calibri" w:cs="Calibri"/>
                <w:color w:val="000000"/>
                <w:sz w:val="16"/>
                <w:szCs w:val="16"/>
                <w:lang w:eastAsia="en-GB"/>
              </w:rPr>
              <w:fldChar w:fldCharType="end"/>
            </w:r>
            <w:r>
              <w:rPr>
                <w:rFonts w:ascii="Calibri" w:eastAsia="Times New Roman" w:hAnsi="Calibri" w:cs="Calibri"/>
                <w:color w:val="000000"/>
                <w:sz w:val="16"/>
                <w:szCs w:val="16"/>
                <w:lang w:eastAsia="en-GB"/>
              </w:rPr>
              <w:t xml:space="preserve">. </w:t>
            </w:r>
          </w:p>
          <w:p w14:paraId="51035B05" w14:textId="77777777" w:rsidR="006F2F22" w:rsidRDefault="006F2F22" w:rsidP="00500C88">
            <w:pPr>
              <w:spacing w:after="0" w:line="240" w:lineRule="auto"/>
              <w:rPr>
                <w:rFonts w:ascii="Calibri" w:eastAsia="Times New Roman" w:hAnsi="Calibri" w:cs="Calibri"/>
                <w:b/>
                <w:bCs/>
                <w:color w:val="000000"/>
                <w:sz w:val="16"/>
                <w:szCs w:val="16"/>
                <w:lang w:eastAsia="en-GB"/>
              </w:rPr>
            </w:pPr>
          </w:p>
          <w:p w14:paraId="08C7BD7D" w14:textId="77777777" w:rsidR="006F2F22" w:rsidRDefault="006F2F22" w:rsidP="00500C88">
            <w:pPr>
              <w:spacing w:after="0" w:line="240" w:lineRule="auto"/>
              <w:rPr>
                <w:rFonts w:ascii="Calibri" w:eastAsia="Times New Roman" w:hAnsi="Calibri" w:cs="Calibri"/>
                <w:b/>
                <w:bCs/>
                <w:color w:val="000000"/>
                <w:sz w:val="16"/>
                <w:szCs w:val="16"/>
                <w:lang w:eastAsia="en-GB"/>
              </w:rPr>
            </w:pPr>
          </w:p>
          <w:p w14:paraId="71BD22BF" w14:textId="77777777" w:rsidR="006F2F22" w:rsidRPr="009D42EA" w:rsidRDefault="006F2F22" w:rsidP="00500C88">
            <w:pPr>
              <w:spacing w:after="0" w:line="240" w:lineRule="auto"/>
              <w:rPr>
                <w:rFonts w:ascii="Calibri" w:eastAsia="Times New Roman" w:hAnsi="Calibri" w:cs="Calibri"/>
                <w:b/>
                <w:bCs/>
                <w:color w:val="000000"/>
                <w:sz w:val="16"/>
                <w:szCs w:val="16"/>
                <w:lang w:eastAsia="en-GB"/>
              </w:rPr>
            </w:pPr>
          </w:p>
        </w:tc>
        <w:tc>
          <w:tcPr>
            <w:tcW w:w="2713" w:type="dxa"/>
            <w:tcBorders>
              <w:top w:val="single" w:sz="4" w:space="0" w:color="auto"/>
              <w:left w:val="nil"/>
              <w:bottom w:val="single" w:sz="4" w:space="0" w:color="auto"/>
              <w:right w:val="single" w:sz="4" w:space="0" w:color="auto"/>
            </w:tcBorders>
            <w:hideMark/>
          </w:tcPr>
          <w:p w14:paraId="7FEAFE62" w14:textId="77777777" w:rsidR="006F2F22" w:rsidRDefault="006F2F22" w:rsidP="00500C88">
            <w:pP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MSFD: As above.</w:t>
            </w:r>
          </w:p>
          <w:p w14:paraId="752DDF53" w14:textId="77777777" w:rsidR="006F2F22" w:rsidRPr="004B486F" w:rsidRDefault="006F2F22" w:rsidP="00500C88">
            <w:pP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UK Marine Strategy: As above. </w:t>
            </w:r>
          </w:p>
        </w:tc>
        <w:tc>
          <w:tcPr>
            <w:tcW w:w="1360" w:type="dxa"/>
            <w:tcBorders>
              <w:top w:val="single" w:sz="4" w:space="0" w:color="auto"/>
              <w:left w:val="nil"/>
              <w:bottom w:val="single" w:sz="4" w:space="0" w:color="auto"/>
              <w:right w:val="single" w:sz="4" w:space="0" w:color="auto"/>
            </w:tcBorders>
            <w:hideMark/>
          </w:tcPr>
          <w:p w14:paraId="59C145A1" w14:textId="334C1357" w:rsidR="006F2F22" w:rsidRDefault="00E67805"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Unknown</w:t>
            </w:r>
            <w:r w:rsidR="005F23A2">
              <w:rPr>
                <w:rFonts w:ascii="Calibri" w:eastAsia="Times New Roman" w:hAnsi="Calibri" w:cs="Calibri"/>
                <w:color w:val="000000"/>
                <w:sz w:val="16"/>
                <w:szCs w:val="16"/>
                <w:lang w:eastAsia="en-GB"/>
              </w:rPr>
              <w:t xml:space="preserve"> – precautionary approach taken.</w:t>
            </w:r>
          </w:p>
        </w:tc>
        <w:tc>
          <w:tcPr>
            <w:tcW w:w="870" w:type="dxa"/>
            <w:tcBorders>
              <w:top w:val="single" w:sz="4" w:space="0" w:color="auto"/>
              <w:left w:val="single" w:sz="4" w:space="0" w:color="auto"/>
              <w:bottom w:val="single" w:sz="4" w:space="0" w:color="auto"/>
              <w:right w:val="single" w:sz="4" w:space="0" w:color="auto"/>
            </w:tcBorders>
            <w:shd w:val="clear" w:color="auto" w:fill="FFA3A3"/>
            <w:vAlign w:val="center"/>
            <w:hideMark/>
          </w:tcPr>
          <w:p w14:paraId="66991537" w14:textId="77777777" w:rsidR="006F2F22" w:rsidRDefault="006F2F22" w:rsidP="00500C88">
            <w:pPr>
              <w:spacing w:after="0" w:line="240" w:lineRule="auto"/>
              <w:jc w:val="center"/>
              <w:rPr>
                <w:rFonts w:ascii="Calibri" w:eastAsia="Times New Roman" w:hAnsi="Calibri" w:cs="Calibri"/>
                <w:b/>
                <w:bCs/>
                <w:color w:val="000000"/>
                <w:sz w:val="16"/>
                <w:szCs w:val="16"/>
                <w:lang w:eastAsia="en-GB"/>
              </w:rPr>
            </w:pPr>
            <w:r w:rsidRPr="007C0E0B">
              <w:rPr>
                <w:rFonts w:ascii="Calibri" w:eastAsia="Times New Roman" w:hAnsi="Calibri" w:cs="Calibri"/>
                <w:b/>
                <w:bCs/>
                <w:sz w:val="16"/>
                <w:szCs w:val="16"/>
                <w:lang w:eastAsia="en-GB"/>
              </w:rPr>
              <w:t>C            (4)</w:t>
            </w:r>
          </w:p>
        </w:tc>
      </w:tr>
      <w:tr w:rsidR="006F2F22" w14:paraId="52842B72" w14:textId="77777777" w:rsidTr="00500C88">
        <w:trPr>
          <w:trHeight w:val="300"/>
        </w:trPr>
        <w:tc>
          <w:tcPr>
            <w:tcW w:w="0" w:type="auto"/>
            <w:vMerge/>
            <w:tcBorders>
              <w:top w:val="nil"/>
              <w:left w:val="single" w:sz="8" w:space="0" w:color="auto"/>
              <w:bottom w:val="single" w:sz="8" w:space="0" w:color="000000"/>
              <w:right w:val="nil"/>
            </w:tcBorders>
            <w:vAlign w:val="center"/>
            <w:hideMark/>
          </w:tcPr>
          <w:p w14:paraId="55560F65" w14:textId="77777777" w:rsidR="006F2F22" w:rsidRDefault="006F2F22"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996F01" w14:textId="77777777" w:rsidR="006F2F22" w:rsidRDefault="006F2F22"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4466FB" w14:textId="77777777" w:rsidR="006F2F22" w:rsidRDefault="006F2F22" w:rsidP="00500C88">
            <w:pPr>
              <w:spacing w:after="0"/>
              <w:rPr>
                <w:rFonts w:ascii="Calibri" w:eastAsia="Times New Roman" w:hAnsi="Calibri" w:cs="Calibri"/>
                <w:b/>
                <w:bCs/>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2FA16C" w14:textId="77777777" w:rsidR="006F2F22" w:rsidRDefault="006F2F22" w:rsidP="00500C88">
            <w:pPr>
              <w:spacing w:after="0"/>
              <w:rPr>
                <w:rFonts w:ascii="Calibri" w:eastAsia="Times New Roman" w:hAnsi="Calibri" w:cs="Calibri"/>
                <w:color w:val="000000"/>
                <w:sz w:val="16"/>
                <w:szCs w:val="16"/>
                <w:lang w:eastAsia="en-GB"/>
              </w:rPr>
            </w:pPr>
          </w:p>
        </w:tc>
        <w:tc>
          <w:tcPr>
            <w:tcW w:w="6300" w:type="dxa"/>
            <w:gridSpan w:val="2"/>
            <w:tcBorders>
              <w:top w:val="single" w:sz="4" w:space="0" w:color="auto"/>
              <w:left w:val="nil"/>
              <w:bottom w:val="single" w:sz="4" w:space="0" w:color="auto"/>
              <w:right w:val="single" w:sz="4" w:space="0" w:color="auto"/>
            </w:tcBorders>
            <w:vAlign w:val="center"/>
            <w:hideMark/>
          </w:tcPr>
          <w:p w14:paraId="535077D6" w14:textId="77777777" w:rsidR="006F2F22" w:rsidRDefault="006F2F22"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 – last condition assessment 2018</w:t>
            </w:r>
          </w:p>
        </w:tc>
        <w:tc>
          <w:tcPr>
            <w:tcW w:w="1360" w:type="dxa"/>
            <w:tcBorders>
              <w:top w:val="nil"/>
              <w:left w:val="nil"/>
              <w:bottom w:val="single" w:sz="4" w:space="0" w:color="auto"/>
              <w:right w:val="single" w:sz="4" w:space="0" w:color="auto"/>
            </w:tcBorders>
            <w:vAlign w:val="center"/>
            <w:hideMark/>
          </w:tcPr>
          <w:p w14:paraId="51123125" w14:textId="77777777" w:rsidR="006F2F22" w:rsidRDefault="006F2F22"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41F44191" w14:textId="77777777" w:rsidR="006F2F22" w:rsidRDefault="006F2F22" w:rsidP="00500C88">
            <w:pPr>
              <w:rPr>
                <w:rFonts w:ascii="Calibri" w:eastAsia="Times New Roman" w:hAnsi="Calibri" w:cs="Calibri"/>
                <w:color w:val="000000"/>
                <w:sz w:val="16"/>
                <w:szCs w:val="16"/>
                <w:lang w:eastAsia="en-GB"/>
              </w:rPr>
            </w:pPr>
          </w:p>
        </w:tc>
      </w:tr>
      <w:tr w:rsidR="006F2F22" w14:paraId="5A7492D1" w14:textId="77777777" w:rsidTr="00500C88">
        <w:trPr>
          <w:trHeight w:val="315"/>
        </w:trPr>
        <w:tc>
          <w:tcPr>
            <w:tcW w:w="0" w:type="auto"/>
            <w:vMerge/>
            <w:tcBorders>
              <w:top w:val="nil"/>
              <w:left w:val="single" w:sz="8" w:space="0" w:color="auto"/>
              <w:bottom w:val="single" w:sz="8" w:space="0" w:color="000000"/>
              <w:right w:val="nil"/>
            </w:tcBorders>
            <w:vAlign w:val="center"/>
            <w:hideMark/>
          </w:tcPr>
          <w:p w14:paraId="3383911A" w14:textId="77777777" w:rsidR="006F2F22" w:rsidRDefault="006F2F22"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62605F" w14:textId="77777777" w:rsidR="006F2F22" w:rsidRDefault="006F2F22"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7F2C1" w14:textId="77777777" w:rsidR="006F2F22" w:rsidRDefault="006F2F22" w:rsidP="00500C88">
            <w:pPr>
              <w:spacing w:after="0"/>
              <w:rPr>
                <w:rFonts w:ascii="Calibri" w:eastAsia="Times New Roman" w:hAnsi="Calibri" w:cs="Calibri"/>
                <w:b/>
                <w:bCs/>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C8B293" w14:textId="77777777" w:rsidR="006F2F22" w:rsidRDefault="006F2F22" w:rsidP="00500C88">
            <w:pPr>
              <w:spacing w:after="0"/>
              <w:rPr>
                <w:rFonts w:ascii="Calibri" w:eastAsia="Times New Roman" w:hAnsi="Calibri" w:cs="Calibri"/>
                <w:color w:val="000000"/>
                <w:sz w:val="16"/>
                <w:szCs w:val="16"/>
                <w:lang w:eastAsia="en-GB"/>
              </w:rPr>
            </w:pPr>
          </w:p>
        </w:tc>
        <w:tc>
          <w:tcPr>
            <w:tcW w:w="6300" w:type="dxa"/>
            <w:gridSpan w:val="2"/>
            <w:tcBorders>
              <w:top w:val="single" w:sz="4" w:space="0" w:color="auto"/>
              <w:left w:val="nil"/>
              <w:bottom w:val="single" w:sz="4" w:space="0" w:color="auto"/>
              <w:right w:val="single" w:sz="4" w:space="0" w:color="auto"/>
            </w:tcBorders>
            <w:hideMark/>
          </w:tcPr>
          <w:p w14:paraId="197790CA" w14:textId="77777777" w:rsidR="006F2F22" w:rsidRDefault="006F2F22"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1360" w:type="dxa"/>
            <w:tcBorders>
              <w:top w:val="nil"/>
              <w:left w:val="nil"/>
              <w:bottom w:val="single" w:sz="4" w:space="0" w:color="auto"/>
              <w:right w:val="single" w:sz="4" w:space="0" w:color="auto"/>
            </w:tcBorders>
            <w:vAlign w:val="center"/>
            <w:hideMark/>
          </w:tcPr>
          <w:p w14:paraId="1AFA51A1" w14:textId="77777777" w:rsidR="006F2F22" w:rsidRDefault="006F2F22"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1A4277" w14:textId="77777777" w:rsidR="006F2F22" w:rsidRDefault="006F2F22" w:rsidP="00500C88">
            <w:pPr>
              <w:spacing w:after="0"/>
              <w:rPr>
                <w:rFonts w:ascii="Calibri" w:eastAsia="Times New Roman" w:hAnsi="Calibri" w:cs="Calibri"/>
                <w:color w:val="000000"/>
                <w:sz w:val="16"/>
                <w:szCs w:val="16"/>
                <w:lang w:eastAsia="en-GB"/>
              </w:rPr>
            </w:pPr>
          </w:p>
        </w:tc>
      </w:tr>
      <w:tr w:rsidR="006F2F22" w14:paraId="77AA806A" w14:textId="77777777" w:rsidTr="00500C88">
        <w:trPr>
          <w:trHeight w:val="406"/>
        </w:trPr>
        <w:tc>
          <w:tcPr>
            <w:tcW w:w="0" w:type="auto"/>
            <w:vMerge/>
            <w:tcBorders>
              <w:top w:val="nil"/>
              <w:left w:val="single" w:sz="8" w:space="0" w:color="auto"/>
              <w:bottom w:val="single" w:sz="8" w:space="0" w:color="000000"/>
              <w:right w:val="nil"/>
            </w:tcBorders>
            <w:vAlign w:val="center"/>
            <w:hideMark/>
          </w:tcPr>
          <w:p w14:paraId="45312F9F" w14:textId="77777777" w:rsidR="006F2F22" w:rsidRDefault="006F2F22" w:rsidP="00500C88">
            <w:pPr>
              <w:spacing w:after="0"/>
              <w:rPr>
                <w:rFonts w:ascii="Calibri" w:eastAsia="Times New Roman" w:hAnsi="Calibri" w:cs="Calibri"/>
                <w:color w:val="000000"/>
                <w:sz w:val="16"/>
                <w:szCs w:val="16"/>
                <w:lang w:eastAsia="en-GB"/>
              </w:rPr>
            </w:pPr>
          </w:p>
        </w:tc>
        <w:tc>
          <w:tcPr>
            <w:tcW w:w="973" w:type="dxa"/>
            <w:vMerge w:val="restart"/>
            <w:tcBorders>
              <w:top w:val="single" w:sz="4" w:space="0" w:color="auto"/>
              <w:left w:val="single" w:sz="4" w:space="0" w:color="auto"/>
              <w:bottom w:val="single" w:sz="4" w:space="0" w:color="auto"/>
              <w:right w:val="single" w:sz="4" w:space="0" w:color="auto"/>
            </w:tcBorders>
            <w:hideMark/>
          </w:tcPr>
          <w:p w14:paraId="0AFCBC7C" w14:textId="0F5E67DC" w:rsidR="006F2F22" w:rsidRDefault="00C22D85"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Subtidal Seagrass – </w:t>
            </w:r>
            <w:proofErr w:type="spellStart"/>
            <w:r>
              <w:rPr>
                <w:rFonts w:ascii="Calibri" w:eastAsia="Times New Roman" w:hAnsi="Calibri" w:cs="Calibri"/>
                <w:color w:val="000000"/>
                <w:sz w:val="16"/>
                <w:szCs w:val="16"/>
                <w:lang w:eastAsia="en-GB"/>
              </w:rPr>
              <w:t>Jennycliff</w:t>
            </w:r>
            <w:proofErr w:type="spellEnd"/>
            <w:r>
              <w:rPr>
                <w:rFonts w:ascii="Calibri" w:eastAsia="Times New Roman" w:hAnsi="Calibri" w:cs="Calibri"/>
                <w:color w:val="000000"/>
                <w:sz w:val="16"/>
                <w:szCs w:val="16"/>
                <w:lang w:eastAsia="en-GB"/>
              </w:rPr>
              <w:t xml:space="preserve"> North</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1CD78CBC" w14:textId="77777777" w:rsidR="006F2F22" w:rsidRDefault="006F2F22"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 Food (Wild Food - fish and shellfish).    </w:t>
            </w:r>
          </w:p>
          <w:p w14:paraId="143EB7CE" w14:textId="77777777" w:rsidR="006F2F22" w:rsidRDefault="006F2F22"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Healthy climate (carbon sequestration).         • Sea defence. (</w:t>
            </w:r>
            <w:proofErr w:type="gramStart"/>
            <w:r>
              <w:rPr>
                <w:rFonts w:ascii="Calibri" w:eastAsia="Times New Roman" w:hAnsi="Calibri" w:cs="Calibri"/>
                <w:b/>
                <w:bCs/>
                <w:color w:val="000000"/>
                <w:sz w:val="16"/>
                <w:szCs w:val="16"/>
                <w:lang w:eastAsia="en-GB"/>
              </w:rPr>
              <w:t>natural</w:t>
            </w:r>
            <w:proofErr w:type="gramEnd"/>
            <w:r>
              <w:rPr>
                <w:rFonts w:ascii="Calibri" w:eastAsia="Times New Roman" w:hAnsi="Calibri" w:cs="Calibri"/>
                <w:b/>
                <w:bCs/>
                <w:color w:val="000000"/>
                <w:sz w:val="16"/>
                <w:szCs w:val="16"/>
                <w:lang w:eastAsia="en-GB"/>
              </w:rPr>
              <w:t xml:space="preserve"> hazard regulation).               • Tourism/nature watching.                  • Clean water and sediments.</w:t>
            </w:r>
          </w:p>
        </w:tc>
        <w:tc>
          <w:tcPr>
            <w:tcW w:w="1545" w:type="dxa"/>
            <w:tcBorders>
              <w:top w:val="nil"/>
              <w:left w:val="nil"/>
              <w:bottom w:val="single" w:sz="4" w:space="0" w:color="auto"/>
              <w:right w:val="single" w:sz="4" w:space="0" w:color="auto"/>
            </w:tcBorders>
            <w:noWrap/>
            <w:hideMark/>
          </w:tcPr>
          <w:p w14:paraId="451E1375" w14:textId="77777777" w:rsidR="006F2F22" w:rsidRDefault="006F2F22"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Quality/Condition</w:t>
            </w:r>
          </w:p>
        </w:tc>
        <w:tc>
          <w:tcPr>
            <w:tcW w:w="3587" w:type="dxa"/>
            <w:tcBorders>
              <w:top w:val="nil"/>
              <w:left w:val="nil"/>
              <w:bottom w:val="single" w:sz="4" w:space="0" w:color="auto"/>
              <w:right w:val="single" w:sz="4" w:space="0" w:color="auto"/>
            </w:tcBorders>
            <w:hideMark/>
          </w:tcPr>
          <w:p w14:paraId="718BAEC9" w14:textId="47E0B53E" w:rsidR="006F2F22" w:rsidRDefault="006F2F22" w:rsidP="00500C88">
            <w:pPr>
              <w:spacing w:after="0" w:line="240" w:lineRule="auto"/>
              <w:rPr>
                <w:rFonts w:ascii="Calibri" w:eastAsia="Times New Roman" w:hAnsi="Calibri" w:cs="Calibri"/>
                <w:color w:val="000000"/>
                <w:sz w:val="16"/>
                <w:szCs w:val="16"/>
                <w:lang w:eastAsia="en-GB"/>
              </w:rPr>
            </w:pPr>
            <w:r w:rsidRPr="00AB4B8D">
              <w:rPr>
                <w:rFonts w:ascii="Calibri" w:eastAsia="Times New Roman" w:hAnsi="Calibri" w:cs="Calibri"/>
                <w:b/>
                <w:bCs/>
                <w:color w:val="000000"/>
                <w:sz w:val="16"/>
                <w:szCs w:val="16"/>
                <w:lang w:eastAsia="en-GB"/>
              </w:rPr>
              <w:t>NE Package</w:t>
            </w:r>
            <w:r>
              <w:rPr>
                <w:rFonts w:ascii="Calibri" w:eastAsia="Times New Roman" w:hAnsi="Calibri" w:cs="Calibri"/>
                <w:color w:val="000000"/>
                <w:sz w:val="16"/>
                <w:szCs w:val="16"/>
                <w:lang w:eastAsia="en-GB"/>
              </w:rPr>
              <w:t xml:space="preserve">: </w:t>
            </w:r>
            <w:r w:rsidR="00E7649E" w:rsidRPr="00E7649E">
              <w:rPr>
                <w:rFonts w:ascii="Calibri" w:eastAsia="Times New Roman" w:hAnsi="Calibri" w:cs="Calibri"/>
                <w:color w:val="000000"/>
                <w:sz w:val="16"/>
                <w:szCs w:val="16"/>
                <w:lang w:eastAsia="en-GB"/>
              </w:rPr>
              <w:t>Average % Seagrass Cover DDV decreased from 70 in 2012 to 6 in 2018.</w:t>
            </w:r>
            <w:r w:rsidR="00E7649E">
              <w:rPr>
                <w:rFonts w:ascii="Calibri" w:eastAsia="Times New Roman" w:hAnsi="Calibri" w:cs="Calibri"/>
                <w:color w:val="000000"/>
                <w:sz w:val="16"/>
                <w:szCs w:val="16"/>
                <w:lang w:eastAsia="en-GB"/>
              </w:rPr>
              <w:t xml:space="preserve"> Not reliable – based on single drop. </w:t>
            </w:r>
          </w:p>
          <w:p w14:paraId="1D7B5C37" w14:textId="77777777" w:rsidR="00E7649E" w:rsidRDefault="00E7649E" w:rsidP="00500C88">
            <w:pPr>
              <w:spacing w:after="0" w:line="240" w:lineRule="auto"/>
              <w:rPr>
                <w:rFonts w:ascii="Calibri" w:eastAsia="Times New Roman" w:hAnsi="Calibri" w:cs="Calibri"/>
                <w:color w:val="000000"/>
                <w:sz w:val="16"/>
                <w:szCs w:val="16"/>
                <w:lang w:eastAsia="en-GB"/>
              </w:rPr>
            </w:pPr>
          </w:p>
          <w:p w14:paraId="16BD5945" w14:textId="77777777" w:rsidR="006F2F22" w:rsidRDefault="006F2F22" w:rsidP="00500C88">
            <w:pPr>
              <w:spacing w:after="0" w:line="240" w:lineRule="auto"/>
              <w:rPr>
                <w:rFonts w:ascii="Calibri" w:eastAsia="Times New Roman" w:hAnsi="Calibri" w:cs="Calibri"/>
                <w:b/>
                <w:bCs/>
                <w:color w:val="000000"/>
                <w:sz w:val="16"/>
                <w:szCs w:val="16"/>
                <w:lang w:eastAsia="en-GB"/>
              </w:rPr>
            </w:pPr>
            <w:r w:rsidRPr="007A71B9">
              <w:rPr>
                <w:rFonts w:ascii="Calibri" w:eastAsia="Times New Roman" w:hAnsi="Calibri" w:cs="Calibri"/>
                <w:b/>
                <w:bCs/>
                <w:color w:val="000000"/>
                <w:sz w:val="16"/>
                <w:szCs w:val="16"/>
                <w:lang w:eastAsia="en-GB"/>
              </w:rPr>
              <w:t xml:space="preserve">LRC: </w:t>
            </w:r>
            <w:r w:rsidRPr="00397E33">
              <w:rPr>
                <w:rFonts w:ascii="Calibri" w:eastAsia="Times New Roman" w:hAnsi="Calibri" w:cs="Calibri"/>
                <w:color w:val="000000"/>
                <w:sz w:val="16"/>
                <w:szCs w:val="16"/>
                <w:lang w:eastAsia="en-GB"/>
              </w:rPr>
              <w:t>Moderate score due to anchor and mooring pressures.</w:t>
            </w:r>
          </w:p>
          <w:p w14:paraId="79167678" w14:textId="77777777" w:rsidR="006F2F22" w:rsidRDefault="006F2F22" w:rsidP="00500C88">
            <w:pPr>
              <w:spacing w:after="0" w:line="240" w:lineRule="auto"/>
              <w:rPr>
                <w:rFonts w:ascii="Calibri" w:eastAsia="Times New Roman" w:hAnsi="Calibri" w:cs="Calibri"/>
                <w:color w:val="000000"/>
                <w:sz w:val="16"/>
                <w:szCs w:val="16"/>
                <w:lang w:eastAsia="en-GB"/>
              </w:rPr>
            </w:pPr>
          </w:p>
          <w:p w14:paraId="6DCBC197" w14:textId="77777777" w:rsidR="006F2F22" w:rsidRPr="001009AB" w:rsidRDefault="006F2F22" w:rsidP="00500C88">
            <w:pPr>
              <w:spacing w:after="0" w:line="240" w:lineRule="auto"/>
              <w:rPr>
                <w:rFonts w:ascii="Calibri" w:eastAsia="Times New Roman" w:hAnsi="Calibri" w:cs="Calibri"/>
                <w:b/>
                <w:bCs/>
                <w:color w:val="000000"/>
                <w:sz w:val="16"/>
                <w:szCs w:val="16"/>
                <w:lang w:eastAsia="en-GB"/>
              </w:rPr>
            </w:pPr>
            <w:r w:rsidRPr="001009AB">
              <w:rPr>
                <w:rFonts w:ascii="Calibri" w:eastAsia="Times New Roman" w:hAnsi="Calibri" w:cs="Calibri"/>
                <w:b/>
                <w:bCs/>
                <w:color w:val="000000"/>
                <w:sz w:val="16"/>
                <w:szCs w:val="16"/>
                <w:lang w:eastAsia="en-GB"/>
              </w:rPr>
              <w:t xml:space="preserve">Water Quality: </w:t>
            </w:r>
            <w:r w:rsidRPr="007D3203">
              <w:rPr>
                <w:rFonts w:ascii="Calibri" w:eastAsia="Times New Roman" w:hAnsi="Calibri" w:cs="Calibri"/>
                <w:color w:val="000000"/>
                <w:sz w:val="16"/>
                <w:szCs w:val="16"/>
                <w:lang w:eastAsia="en-GB"/>
              </w:rPr>
              <w:t>This seagrass bed is within the Plymouth Sound water body area. Water body fails to achieve good status due to levels of chemical contaminants and levels of DIN. Risk of eutrophication is supposedly low due to good-high status of phytoplankton and macroalgae.</w:t>
            </w:r>
          </w:p>
          <w:p w14:paraId="3CCEC28E" w14:textId="77777777" w:rsidR="006F2F22" w:rsidRDefault="006F2F22" w:rsidP="00500C88">
            <w:pPr>
              <w:spacing w:after="0" w:line="240" w:lineRule="auto"/>
              <w:rPr>
                <w:rFonts w:ascii="Calibri" w:eastAsia="Times New Roman" w:hAnsi="Calibri" w:cs="Calibri"/>
                <w:color w:val="000000"/>
                <w:sz w:val="16"/>
                <w:szCs w:val="16"/>
                <w:lang w:eastAsia="en-GB"/>
              </w:rPr>
            </w:pPr>
          </w:p>
          <w:p w14:paraId="630A8F6F" w14:textId="77777777" w:rsidR="006F2F22" w:rsidRDefault="006F2F22" w:rsidP="00500C88">
            <w:pPr>
              <w:spacing w:after="0" w:line="240" w:lineRule="auto"/>
              <w:rPr>
                <w:rFonts w:ascii="Calibri" w:eastAsia="Times New Roman" w:hAnsi="Calibri" w:cs="Calibri"/>
                <w:color w:val="000000"/>
                <w:sz w:val="16"/>
                <w:szCs w:val="16"/>
                <w:lang w:eastAsia="en-GB"/>
              </w:rPr>
            </w:pPr>
          </w:p>
          <w:p w14:paraId="272D8AF7" w14:textId="77777777" w:rsidR="006F2F22" w:rsidRDefault="006F2F22" w:rsidP="00500C88">
            <w:pPr>
              <w:spacing w:after="0" w:line="240" w:lineRule="auto"/>
              <w:rPr>
                <w:rFonts w:ascii="Calibri" w:eastAsia="Times New Roman" w:hAnsi="Calibri" w:cs="Calibri"/>
                <w:color w:val="000000"/>
                <w:sz w:val="16"/>
                <w:szCs w:val="16"/>
                <w:lang w:eastAsia="en-GB"/>
              </w:rPr>
            </w:pPr>
          </w:p>
          <w:p w14:paraId="1938DFF4" w14:textId="77777777" w:rsidR="006F2F22" w:rsidRDefault="006F2F22" w:rsidP="00500C88">
            <w:pPr>
              <w:spacing w:after="0" w:line="240" w:lineRule="auto"/>
              <w:rPr>
                <w:rFonts w:ascii="Calibri" w:eastAsia="Times New Roman" w:hAnsi="Calibri" w:cs="Calibri"/>
                <w:color w:val="000000"/>
                <w:sz w:val="16"/>
                <w:szCs w:val="16"/>
                <w:lang w:eastAsia="en-GB"/>
              </w:rPr>
            </w:pPr>
          </w:p>
          <w:p w14:paraId="35F44C4A" w14:textId="77777777" w:rsidR="006F2F22" w:rsidRDefault="006F2F22" w:rsidP="00500C88">
            <w:pPr>
              <w:spacing w:after="0" w:line="240" w:lineRule="auto"/>
              <w:rPr>
                <w:rFonts w:ascii="Calibri" w:eastAsia="Times New Roman" w:hAnsi="Calibri" w:cs="Calibri"/>
                <w:color w:val="000000"/>
                <w:sz w:val="16"/>
                <w:szCs w:val="16"/>
                <w:lang w:eastAsia="en-GB"/>
              </w:rPr>
            </w:pPr>
          </w:p>
          <w:p w14:paraId="781F72A5" w14:textId="77777777" w:rsidR="006F2F22" w:rsidRDefault="006F2F22" w:rsidP="00500C88">
            <w:pPr>
              <w:spacing w:after="0" w:line="240" w:lineRule="auto"/>
              <w:rPr>
                <w:rFonts w:ascii="Calibri" w:eastAsia="Times New Roman" w:hAnsi="Calibri" w:cs="Calibri"/>
                <w:color w:val="000000"/>
                <w:sz w:val="16"/>
                <w:szCs w:val="16"/>
                <w:lang w:eastAsia="en-GB"/>
              </w:rPr>
            </w:pPr>
          </w:p>
        </w:tc>
        <w:tc>
          <w:tcPr>
            <w:tcW w:w="2713" w:type="dxa"/>
            <w:tcBorders>
              <w:top w:val="nil"/>
              <w:left w:val="nil"/>
              <w:bottom w:val="single" w:sz="4" w:space="0" w:color="auto"/>
              <w:right w:val="single" w:sz="4" w:space="0" w:color="auto"/>
            </w:tcBorders>
            <w:hideMark/>
          </w:tcPr>
          <w:p w14:paraId="697E13E2" w14:textId="77777777" w:rsidR="006F2F22" w:rsidRDefault="006F2F22" w:rsidP="00500C88">
            <w:pP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MSFD: As above.</w:t>
            </w:r>
          </w:p>
          <w:p w14:paraId="24CDAD54" w14:textId="77777777" w:rsidR="006F2F22" w:rsidRDefault="006F2F22"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UK Marine Strategy: As above.</w:t>
            </w:r>
          </w:p>
          <w:p w14:paraId="017F3C65" w14:textId="77777777" w:rsidR="006F2F22" w:rsidRDefault="006F2F22" w:rsidP="00500C88">
            <w:pPr>
              <w:spacing w:after="0" w:line="240" w:lineRule="auto"/>
              <w:rPr>
                <w:rFonts w:ascii="Calibri" w:eastAsia="Times New Roman" w:hAnsi="Calibri" w:cs="Calibri"/>
                <w:b/>
                <w:bCs/>
                <w:color w:val="000000"/>
                <w:sz w:val="16"/>
                <w:szCs w:val="16"/>
                <w:lang w:eastAsia="en-GB"/>
              </w:rPr>
            </w:pPr>
          </w:p>
          <w:p w14:paraId="093CB01C" w14:textId="77777777" w:rsidR="006F2F22" w:rsidRPr="00264AE0" w:rsidRDefault="006F2F22"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WFD: As above.</w:t>
            </w:r>
          </w:p>
        </w:tc>
        <w:tc>
          <w:tcPr>
            <w:tcW w:w="1360" w:type="dxa"/>
            <w:tcBorders>
              <w:top w:val="nil"/>
              <w:left w:val="nil"/>
              <w:bottom w:val="single" w:sz="4" w:space="0" w:color="auto"/>
              <w:right w:val="single" w:sz="4" w:space="0" w:color="auto"/>
            </w:tcBorders>
            <w:hideMark/>
          </w:tcPr>
          <w:p w14:paraId="783CC53D" w14:textId="74CFAA71" w:rsidR="006F2F22" w:rsidRDefault="00E7649E"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Declining – but based on one drop so not reliable – precautionary approach taken. </w:t>
            </w:r>
          </w:p>
        </w:tc>
        <w:tc>
          <w:tcPr>
            <w:tcW w:w="870" w:type="dxa"/>
            <w:tcBorders>
              <w:top w:val="single" w:sz="4" w:space="0" w:color="auto"/>
              <w:left w:val="single" w:sz="4" w:space="0" w:color="auto"/>
              <w:bottom w:val="single" w:sz="4" w:space="0" w:color="auto"/>
              <w:right w:val="single" w:sz="4" w:space="0" w:color="auto"/>
            </w:tcBorders>
            <w:shd w:val="clear" w:color="auto" w:fill="FFA3A3"/>
            <w:vAlign w:val="center"/>
            <w:hideMark/>
          </w:tcPr>
          <w:p w14:paraId="4E679ACD" w14:textId="77777777" w:rsidR="006F2F22" w:rsidRDefault="006F2F22" w:rsidP="00500C88">
            <w:pPr>
              <w:spacing w:after="0" w:line="240" w:lineRule="auto"/>
              <w:jc w:val="center"/>
              <w:rPr>
                <w:rFonts w:ascii="Calibri" w:eastAsia="Times New Roman" w:hAnsi="Calibri" w:cs="Calibri"/>
                <w:b/>
                <w:bCs/>
                <w:color w:val="000000"/>
                <w:sz w:val="16"/>
                <w:szCs w:val="16"/>
                <w:lang w:eastAsia="en-GB"/>
              </w:rPr>
            </w:pPr>
            <w:r w:rsidRPr="007C0E0B">
              <w:rPr>
                <w:rFonts w:ascii="Calibri" w:eastAsia="Times New Roman" w:hAnsi="Calibri" w:cs="Calibri"/>
                <w:b/>
                <w:bCs/>
                <w:sz w:val="16"/>
                <w:szCs w:val="16"/>
                <w:lang w:eastAsia="en-GB"/>
              </w:rPr>
              <w:t>C             (4)</w:t>
            </w:r>
          </w:p>
        </w:tc>
      </w:tr>
      <w:tr w:rsidR="006F2F22" w14:paraId="43092D81" w14:textId="77777777" w:rsidTr="00500C88">
        <w:trPr>
          <w:trHeight w:val="210"/>
        </w:trPr>
        <w:tc>
          <w:tcPr>
            <w:tcW w:w="0" w:type="auto"/>
            <w:vMerge/>
            <w:tcBorders>
              <w:top w:val="nil"/>
              <w:left w:val="single" w:sz="8" w:space="0" w:color="auto"/>
              <w:bottom w:val="single" w:sz="8" w:space="0" w:color="000000"/>
              <w:right w:val="nil"/>
            </w:tcBorders>
            <w:vAlign w:val="center"/>
            <w:hideMark/>
          </w:tcPr>
          <w:p w14:paraId="630D4975" w14:textId="77777777" w:rsidR="006F2F22" w:rsidRDefault="006F2F22"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7FD86" w14:textId="77777777" w:rsidR="006F2F22" w:rsidRDefault="006F2F22"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5C65D" w14:textId="77777777" w:rsidR="006F2F22" w:rsidRDefault="006F2F22" w:rsidP="00500C88">
            <w:pPr>
              <w:spacing w:after="0"/>
              <w:rPr>
                <w:rFonts w:ascii="Calibri" w:eastAsia="Times New Roman" w:hAnsi="Calibri" w:cs="Calibri"/>
                <w:b/>
                <w:bCs/>
                <w:color w:val="000000"/>
                <w:sz w:val="16"/>
                <w:szCs w:val="16"/>
                <w:lang w:eastAsia="en-GB"/>
              </w:rPr>
            </w:pPr>
          </w:p>
        </w:tc>
        <w:tc>
          <w:tcPr>
            <w:tcW w:w="1545" w:type="dxa"/>
            <w:tcBorders>
              <w:top w:val="nil"/>
              <w:left w:val="nil"/>
              <w:bottom w:val="single" w:sz="4" w:space="0" w:color="auto"/>
              <w:right w:val="single" w:sz="4" w:space="0" w:color="auto"/>
            </w:tcBorders>
            <w:noWrap/>
            <w:hideMark/>
          </w:tcPr>
          <w:p w14:paraId="23A7989B" w14:textId="77777777" w:rsidR="006F2F22" w:rsidRDefault="006F2F22"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6300" w:type="dxa"/>
            <w:gridSpan w:val="2"/>
            <w:tcBorders>
              <w:top w:val="single" w:sz="4" w:space="0" w:color="auto"/>
              <w:left w:val="nil"/>
              <w:bottom w:val="single" w:sz="4" w:space="0" w:color="auto"/>
              <w:right w:val="single" w:sz="4" w:space="0" w:color="auto"/>
            </w:tcBorders>
            <w:vAlign w:val="center"/>
            <w:hideMark/>
          </w:tcPr>
          <w:p w14:paraId="6F963C56" w14:textId="77777777" w:rsidR="006F2F22" w:rsidRDefault="006F2F22"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 – last condition assessment 2018</w:t>
            </w:r>
          </w:p>
        </w:tc>
        <w:tc>
          <w:tcPr>
            <w:tcW w:w="1360" w:type="dxa"/>
            <w:tcBorders>
              <w:top w:val="nil"/>
              <w:left w:val="nil"/>
              <w:bottom w:val="single" w:sz="4" w:space="0" w:color="auto"/>
              <w:right w:val="single" w:sz="4" w:space="0" w:color="auto"/>
            </w:tcBorders>
            <w:vAlign w:val="center"/>
            <w:hideMark/>
          </w:tcPr>
          <w:p w14:paraId="71959AC3" w14:textId="77777777" w:rsidR="006F2F22" w:rsidRDefault="006F2F22"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w:t>
            </w:r>
          </w:p>
        </w:tc>
        <w:tc>
          <w:tcPr>
            <w:tcW w:w="870" w:type="dxa"/>
            <w:vMerge w:val="restart"/>
            <w:tcBorders>
              <w:top w:val="nil"/>
              <w:left w:val="single" w:sz="4" w:space="0" w:color="auto"/>
              <w:bottom w:val="single" w:sz="4" w:space="0" w:color="auto"/>
              <w:right w:val="single" w:sz="4" w:space="0" w:color="auto"/>
            </w:tcBorders>
            <w:vAlign w:val="center"/>
            <w:hideMark/>
          </w:tcPr>
          <w:p w14:paraId="135F1DDC" w14:textId="77777777" w:rsidR="006F2F22" w:rsidRDefault="006F2F22" w:rsidP="00500C88">
            <w:pPr>
              <w:rPr>
                <w:rFonts w:ascii="Calibri" w:eastAsia="Times New Roman" w:hAnsi="Calibri" w:cs="Calibri"/>
                <w:color w:val="000000"/>
                <w:sz w:val="16"/>
                <w:szCs w:val="16"/>
                <w:lang w:eastAsia="en-GB"/>
              </w:rPr>
            </w:pPr>
          </w:p>
        </w:tc>
      </w:tr>
      <w:tr w:rsidR="006F2F22" w14:paraId="07AB071C" w14:textId="77777777" w:rsidTr="00500C88">
        <w:trPr>
          <w:trHeight w:val="270"/>
        </w:trPr>
        <w:tc>
          <w:tcPr>
            <w:tcW w:w="0" w:type="auto"/>
            <w:vMerge/>
            <w:tcBorders>
              <w:top w:val="nil"/>
              <w:left w:val="single" w:sz="8" w:space="0" w:color="auto"/>
              <w:bottom w:val="single" w:sz="8" w:space="0" w:color="000000"/>
              <w:right w:val="nil"/>
            </w:tcBorders>
            <w:vAlign w:val="center"/>
            <w:hideMark/>
          </w:tcPr>
          <w:p w14:paraId="52238AA0" w14:textId="77777777" w:rsidR="006F2F22" w:rsidRDefault="006F2F22"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89F105" w14:textId="77777777" w:rsidR="006F2F22" w:rsidRDefault="006F2F22"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F01EF1" w14:textId="77777777" w:rsidR="006F2F22" w:rsidRDefault="006F2F22" w:rsidP="00500C88">
            <w:pPr>
              <w:spacing w:after="0"/>
              <w:rPr>
                <w:rFonts w:ascii="Calibri" w:eastAsia="Times New Roman" w:hAnsi="Calibri" w:cs="Calibri"/>
                <w:b/>
                <w:bCs/>
                <w:color w:val="000000"/>
                <w:sz w:val="16"/>
                <w:szCs w:val="16"/>
                <w:lang w:eastAsia="en-GB"/>
              </w:rPr>
            </w:pPr>
          </w:p>
        </w:tc>
        <w:tc>
          <w:tcPr>
            <w:tcW w:w="1545" w:type="dxa"/>
            <w:tcBorders>
              <w:top w:val="nil"/>
              <w:left w:val="nil"/>
              <w:bottom w:val="single" w:sz="4" w:space="0" w:color="auto"/>
              <w:right w:val="single" w:sz="4" w:space="0" w:color="auto"/>
            </w:tcBorders>
            <w:noWrap/>
            <w:hideMark/>
          </w:tcPr>
          <w:p w14:paraId="7CDFBA05" w14:textId="77777777" w:rsidR="006F2F22" w:rsidRDefault="006F2F22"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6300" w:type="dxa"/>
            <w:gridSpan w:val="2"/>
            <w:tcBorders>
              <w:top w:val="single" w:sz="4" w:space="0" w:color="auto"/>
              <w:left w:val="nil"/>
              <w:bottom w:val="single" w:sz="4" w:space="0" w:color="auto"/>
              <w:right w:val="single" w:sz="4" w:space="0" w:color="auto"/>
            </w:tcBorders>
            <w:vAlign w:val="center"/>
            <w:hideMark/>
          </w:tcPr>
          <w:p w14:paraId="2DF0540B" w14:textId="77777777" w:rsidR="006F2F22" w:rsidRDefault="006F2F22"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1360" w:type="dxa"/>
            <w:tcBorders>
              <w:top w:val="nil"/>
              <w:left w:val="nil"/>
              <w:bottom w:val="single" w:sz="4" w:space="0" w:color="auto"/>
              <w:right w:val="single" w:sz="4" w:space="0" w:color="auto"/>
            </w:tcBorders>
            <w:vAlign w:val="center"/>
            <w:hideMark/>
          </w:tcPr>
          <w:p w14:paraId="77D4F825" w14:textId="77777777" w:rsidR="006F2F22" w:rsidRDefault="006F2F22"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0" w:type="auto"/>
            <w:vMerge/>
            <w:tcBorders>
              <w:top w:val="nil"/>
              <w:left w:val="single" w:sz="4" w:space="0" w:color="auto"/>
              <w:bottom w:val="single" w:sz="4" w:space="0" w:color="auto"/>
              <w:right w:val="single" w:sz="4" w:space="0" w:color="auto"/>
            </w:tcBorders>
            <w:vAlign w:val="center"/>
            <w:hideMark/>
          </w:tcPr>
          <w:p w14:paraId="40408E97" w14:textId="77777777" w:rsidR="006F2F22" w:rsidRDefault="006F2F22" w:rsidP="00500C88">
            <w:pPr>
              <w:spacing w:after="0"/>
              <w:rPr>
                <w:rFonts w:ascii="Calibri" w:eastAsia="Times New Roman" w:hAnsi="Calibri" w:cs="Calibri"/>
                <w:color w:val="000000"/>
                <w:sz w:val="16"/>
                <w:szCs w:val="16"/>
                <w:lang w:eastAsia="en-GB"/>
              </w:rPr>
            </w:pPr>
          </w:p>
        </w:tc>
      </w:tr>
      <w:tr w:rsidR="006F2F22" w14:paraId="5B798E93" w14:textId="77777777" w:rsidTr="00500C88">
        <w:trPr>
          <w:trHeight w:val="2018"/>
        </w:trPr>
        <w:tc>
          <w:tcPr>
            <w:tcW w:w="0" w:type="auto"/>
            <w:vMerge/>
            <w:tcBorders>
              <w:top w:val="nil"/>
              <w:left w:val="single" w:sz="8" w:space="0" w:color="auto"/>
              <w:bottom w:val="single" w:sz="8" w:space="0" w:color="000000"/>
              <w:right w:val="nil"/>
            </w:tcBorders>
            <w:vAlign w:val="center"/>
            <w:hideMark/>
          </w:tcPr>
          <w:p w14:paraId="473C5EE4" w14:textId="77777777" w:rsidR="006F2F22" w:rsidRDefault="006F2F22" w:rsidP="00500C88">
            <w:pPr>
              <w:spacing w:after="0"/>
              <w:rPr>
                <w:rFonts w:ascii="Calibri" w:eastAsia="Times New Roman" w:hAnsi="Calibri" w:cs="Calibri"/>
                <w:color w:val="000000"/>
                <w:sz w:val="16"/>
                <w:szCs w:val="16"/>
                <w:lang w:eastAsia="en-GB"/>
              </w:rPr>
            </w:pPr>
          </w:p>
        </w:tc>
        <w:tc>
          <w:tcPr>
            <w:tcW w:w="973" w:type="dxa"/>
            <w:vMerge w:val="restart"/>
            <w:tcBorders>
              <w:top w:val="single" w:sz="4" w:space="0" w:color="auto"/>
              <w:left w:val="single" w:sz="4" w:space="0" w:color="auto"/>
              <w:bottom w:val="single" w:sz="4" w:space="0" w:color="auto"/>
              <w:right w:val="single" w:sz="4" w:space="0" w:color="auto"/>
            </w:tcBorders>
            <w:hideMark/>
          </w:tcPr>
          <w:p w14:paraId="721120A0" w14:textId="5E087B2F" w:rsidR="006F2F22" w:rsidRDefault="00C22D85"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Subtidal Seagrass – </w:t>
            </w:r>
            <w:proofErr w:type="spellStart"/>
            <w:r>
              <w:rPr>
                <w:rFonts w:ascii="Calibri" w:eastAsia="Times New Roman" w:hAnsi="Calibri" w:cs="Calibri"/>
                <w:color w:val="000000"/>
                <w:sz w:val="16"/>
                <w:szCs w:val="16"/>
                <w:lang w:eastAsia="en-GB"/>
              </w:rPr>
              <w:t>Jennycliff</w:t>
            </w:r>
            <w:proofErr w:type="spellEnd"/>
            <w:r>
              <w:rPr>
                <w:rFonts w:ascii="Calibri" w:eastAsia="Times New Roman" w:hAnsi="Calibri" w:cs="Calibri"/>
                <w:color w:val="000000"/>
                <w:sz w:val="16"/>
                <w:szCs w:val="16"/>
                <w:lang w:eastAsia="en-GB"/>
              </w:rPr>
              <w:t xml:space="preserve"> North</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161D8520" w14:textId="77777777" w:rsidR="006F2F22" w:rsidRDefault="006F2F22"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 Food (Wild Food - fish and shellfish).    </w:t>
            </w:r>
          </w:p>
          <w:p w14:paraId="0588DECA" w14:textId="77777777" w:rsidR="006F2F22" w:rsidRDefault="006F2F22"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Healthy climate (carbon sequestration).         • Sea defence. (</w:t>
            </w:r>
            <w:proofErr w:type="gramStart"/>
            <w:r>
              <w:rPr>
                <w:rFonts w:ascii="Calibri" w:eastAsia="Times New Roman" w:hAnsi="Calibri" w:cs="Calibri"/>
                <w:b/>
                <w:bCs/>
                <w:color w:val="000000"/>
                <w:sz w:val="16"/>
                <w:szCs w:val="16"/>
                <w:lang w:eastAsia="en-GB"/>
              </w:rPr>
              <w:t>natural</w:t>
            </w:r>
            <w:proofErr w:type="gramEnd"/>
            <w:r>
              <w:rPr>
                <w:rFonts w:ascii="Calibri" w:eastAsia="Times New Roman" w:hAnsi="Calibri" w:cs="Calibri"/>
                <w:b/>
                <w:bCs/>
                <w:color w:val="000000"/>
                <w:sz w:val="16"/>
                <w:szCs w:val="16"/>
                <w:lang w:eastAsia="en-GB"/>
              </w:rPr>
              <w:t xml:space="preserve"> hazard regulation).               • Tourism/nature watching.                  • Clean water and sediments.</w:t>
            </w:r>
          </w:p>
        </w:tc>
        <w:tc>
          <w:tcPr>
            <w:tcW w:w="1545" w:type="dxa"/>
            <w:vMerge w:val="restart"/>
            <w:tcBorders>
              <w:top w:val="single" w:sz="4" w:space="0" w:color="auto"/>
              <w:left w:val="single" w:sz="4" w:space="0" w:color="auto"/>
              <w:bottom w:val="single" w:sz="8" w:space="0" w:color="auto"/>
              <w:right w:val="single" w:sz="4" w:space="0" w:color="auto"/>
            </w:tcBorders>
            <w:noWrap/>
            <w:hideMark/>
          </w:tcPr>
          <w:p w14:paraId="6ED7ADC4" w14:textId="77777777" w:rsidR="006F2F22" w:rsidRDefault="006F2F22"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Spatial configuration</w:t>
            </w:r>
          </w:p>
        </w:tc>
        <w:tc>
          <w:tcPr>
            <w:tcW w:w="3587" w:type="dxa"/>
            <w:tcBorders>
              <w:top w:val="single" w:sz="4" w:space="0" w:color="auto"/>
              <w:left w:val="nil"/>
              <w:bottom w:val="single" w:sz="4" w:space="0" w:color="auto"/>
              <w:right w:val="single" w:sz="4" w:space="0" w:color="auto"/>
            </w:tcBorders>
            <w:hideMark/>
          </w:tcPr>
          <w:p w14:paraId="42B96579" w14:textId="77777777" w:rsidR="00E7649E" w:rsidRPr="00D81799" w:rsidRDefault="00E7649E" w:rsidP="00E7649E">
            <w:pPr>
              <w:spacing w:after="0" w:line="240" w:lineRule="auto"/>
              <w:rPr>
                <w:rFonts w:ascii="Calibri" w:eastAsia="Times New Roman" w:hAnsi="Calibri" w:cs="Calibri"/>
                <w:color w:val="000000"/>
                <w:sz w:val="16"/>
                <w:szCs w:val="16"/>
                <w:lang w:eastAsia="en-GB"/>
              </w:rPr>
            </w:pPr>
            <w:r w:rsidRPr="00BA66F3">
              <w:rPr>
                <w:rFonts w:ascii="Calibri" w:eastAsia="Times New Roman" w:hAnsi="Calibri" w:cs="Calibri"/>
                <w:b/>
                <w:bCs/>
                <w:color w:val="000000"/>
                <w:sz w:val="16"/>
                <w:szCs w:val="16"/>
                <w:lang w:eastAsia="en-GB"/>
              </w:rPr>
              <w:t>Composite mapping</w:t>
            </w:r>
            <w:r>
              <w:rPr>
                <w:rFonts w:ascii="Calibri" w:eastAsia="Times New Roman" w:hAnsi="Calibri" w:cs="Calibri"/>
                <w:color w:val="000000"/>
                <w:sz w:val="16"/>
                <w:szCs w:val="16"/>
                <w:lang w:eastAsia="en-GB"/>
              </w:rPr>
              <w:t xml:space="preserve">: </w:t>
            </w:r>
            <w:r w:rsidRPr="00781C8A">
              <w:rPr>
                <w:rFonts w:ascii="Calibri" w:eastAsia="Times New Roman" w:hAnsi="Calibri" w:cs="Calibri"/>
                <w:color w:val="000000"/>
                <w:sz w:val="16"/>
                <w:szCs w:val="16"/>
                <w:lang w:eastAsia="en-GB"/>
              </w:rPr>
              <w:t xml:space="preserve">Composite mapping shows the seagrass bed at </w:t>
            </w:r>
            <w:proofErr w:type="spellStart"/>
            <w:r w:rsidRPr="00781C8A">
              <w:rPr>
                <w:rFonts w:ascii="Calibri" w:eastAsia="Times New Roman" w:hAnsi="Calibri" w:cs="Calibri"/>
                <w:color w:val="000000"/>
                <w:sz w:val="16"/>
                <w:szCs w:val="16"/>
                <w:lang w:eastAsia="en-GB"/>
              </w:rPr>
              <w:t>Jennycliff</w:t>
            </w:r>
            <w:proofErr w:type="spellEnd"/>
            <w:r w:rsidRPr="00781C8A">
              <w:rPr>
                <w:rFonts w:ascii="Calibri" w:eastAsia="Times New Roman" w:hAnsi="Calibri" w:cs="Calibri"/>
                <w:color w:val="000000"/>
                <w:sz w:val="16"/>
                <w:szCs w:val="16"/>
                <w:lang w:eastAsia="en-GB"/>
              </w:rPr>
              <w:t xml:space="preserve"> North to have an area of 63 m</w:t>
            </w:r>
            <w:r w:rsidRPr="00E67805">
              <w:rPr>
                <w:rFonts w:ascii="Calibri" w:eastAsia="Times New Roman" w:hAnsi="Calibri" w:cs="Calibri"/>
                <w:color w:val="000000"/>
                <w:sz w:val="16"/>
                <w:szCs w:val="16"/>
                <w:vertAlign w:val="superscript"/>
                <w:lang w:eastAsia="en-GB"/>
              </w:rPr>
              <w:t>2</w:t>
            </w:r>
            <w:r w:rsidRPr="00781C8A">
              <w:rPr>
                <w:rFonts w:ascii="Calibri" w:eastAsia="Times New Roman" w:hAnsi="Calibri" w:cs="Calibri"/>
                <w:color w:val="000000"/>
                <w:sz w:val="16"/>
                <w:szCs w:val="16"/>
                <w:lang w:eastAsia="en-GB"/>
              </w:rPr>
              <w:t>.</w:t>
            </w:r>
          </w:p>
          <w:p w14:paraId="5D76A60D" w14:textId="77777777" w:rsidR="00E7649E" w:rsidRDefault="00E7649E" w:rsidP="00E7649E">
            <w:pPr>
              <w:spacing w:after="0" w:line="240" w:lineRule="auto"/>
              <w:rPr>
                <w:rFonts w:ascii="Calibri" w:eastAsia="Times New Roman" w:hAnsi="Calibri" w:cs="Calibri"/>
                <w:color w:val="000000"/>
                <w:sz w:val="16"/>
                <w:szCs w:val="16"/>
                <w:lang w:eastAsia="en-GB"/>
              </w:rPr>
            </w:pPr>
          </w:p>
          <w:p w14:paraId="2BCD2B6C" w14:textId="77777777" w:rsidR="00E7649E" w:rsidRDefault="00E7649E" w:rsidP="00E7649E">
            <w:pPr>
              <w:spacing w:after="0" w:line="240" w:lineRule="auto"/>
              <w:rPr>
                <w:rFonts w:ascii="Calibri" w:eastAsia="Times New Roman" w:hAnsi="Calibri" w:cs="Calibri"/>
                <w:color w:val="000000"/>
                <w:sz w:val="16"/>
                <w:szCs w:val="16"/>
                <w:lang w:eastAsia="en-GB"/>
              </w:rPr>
            </w:pPr>
            <w:r w:rsidRPr="009D42EA">
              <w:rPr>
                <w:rFonts w:ascii="Calibri" w:eastAsia="Times New Roman" w:hAnsi="Calibri" w:cs="Calibri"/>
                <w:b/>
                <w:bCs/>
                <w:color w:val="000000"/>
                <w:sz w:val="16"/>
                <w:szCs w:val="16"/>
                <w:lang w:eastAsia="en-GB"/>
              </w:rPr>
              <w:t>NE Package:</w:t>
            </w:r>
            <w:r>
              <w:rPr>
                <w:rFonts w:ascii="Calibri" w:eastAsia="Times New Roman" w:hAnsi="Calibri" w:cs="Calibri"/>
                <w:b/>
                <w:bCs/>
                <w:color w:val="000000"/>
                <w:sz w:val="16"/>
                <w:szCs w:val="16"/>
                <w:lang w:eastAsia="en-GB"/>
              </w:rPr>
              <w:t xml:space="preserve"> </w:t>
            </w:r>
            <w:r w:rsidRPr="00E67805">
              <w:rPr>
                <w:rFonts w:ascii="Calibri" w:eastAsia="Times New Roman" w:hAnsi="Calibri" w:cs="Calibri"/>
                <w:color w:val="000000"/>
                <w:sz w:val="16"/>
                <w:szCs w:val="16"/>
                <w:lang w:eastAsia="en-GB"/>
              </w:rPr>
              <w:t xml:space="preserve">Summary of losses and gains is not included for the seagrass bed at </w:t>
            </w:r>
            <w:proofErr w:type="spellStart"/>
            <w:r w:rsidRPr="00E67805">
              <w:rPr>
                <w:rFonts w:ascii="Calibri" w:eastAsia="Times New Roman" w:hAnsi="Calibri" w:cs="Calibri"/>
                <w:color w:val="000000"/>
                <w:sz w:val="16"/>
                <w:szCs w:val="16"/>
                <w:lang w:eastAsia="en-GB"/>
              </w:rPr>
              <w:t>Jennycliff</w:t>
            </w:r>
            <w:proofErr w:type="spellEnd"/>
            <w:r w:rsidRPr="00E67805">
              <w:rPr>
                <w:rFonts w:ascii="Calibri" w:eastAsia="Times New Roman" w:hAnsi="Calibri" w:cs="Calibri"/>
                <w:color w:val="000000"/>
                <w:sz w:val="16"/>
                <w:szCs w:val="16"/>
                <w:lang w:eastAsia="en-GB"/>
              </w:rPr>
              <w:t xml:space="preserve"> North as seagrass was only recorded from a single drop and it does not constitute a bed (Bunker et al. 2019)</w:t>
            </w:r>
            <w:r>
              <w:rPr>
                <w:rFonts w:ascii="Calibri" w:eastAsia="Times New Roman" w:hAnsi="Calibri" w:cs="Calibri"/>
                <w:color w:val="000000"/>
                <w:sz w:val="16"/>
                <w:szCs w:val="16"/>
                <w:lang w:eastAsia="en-GB"/>
              </w:rPr>
              <w:fldChar w:fldCharType="begin" w:fldLock="1"/>
            </w:r>
            <w:r>
              <w:rPr>
                <w:rFonts w:ascii="Calibri" w:eastAsia="Times New Roman" w:hAnsi="Calibri" w:cs="Calibri"/>
                <w:color w:val="000000"/>
                <w:sz w:val="16"/>
                <w:szCs w:val="16"/>
                <w:lang w:eastAsia="en-GB"/>
              </w:rPr>
              <w:instrText>ADDIN CSL_CITATION {"citationItems":[{"id":"ITEM-1","itemData":{"URL":"https://designatedsites.naturalengland.org.uk/Marine/MarineSiteDetail.aspx?SiteCode=UK0013111&amp;SiteName=plymouth&amp;countyCode=&amp;responsiblePerson=&amp;SeaArea=&amp;IFCAArea=&amp;HasCA=1&amp;NumMarineSeasonality=4&amp;SiteNameDisplay=Plymouth Sound and Estuaries SAC","author":[{"dropping-particle":"","family":"Natural England","given":"","non-dropping-particle":"","parse-names":false,"suffix":""}],"id":"ITEM-1","issued":{"date-parts":[["2023"]]},"title":"Natural England Conservation Advice for Marine Protected Areas Plymouth Sound and Estuaries SAC","type":"webpage"},"uris":["http://www.mendeley.com/documents/?uuid=4eec2dc4-8616-4fe0-9714-876dc3c4513b"]}],"mendeley":{"formattedCitation":"(Natural England, 2023)","plainTextFormattedCitation":"(Natural England, 2023)","previouslyFormattedCitation":"(Natural England, 2023)"},"properties":{"noteIndex":0},"schema":"https://github.com/citation-style-language/schema/raw/master/csl-citation.json"}</w:instrText>
            </w:r>
            <w:r>
              <w:rPr>
                <w:rFonts w:ascii="Calibri" w:eastAsia="Times New Roman" w:hAnsi="Calibri" w:cs="Calibri"/>
                <w:color w:val="000000"/>
                <w:sz w:val="16"/>
                <w:szCs w:val="16"/>
                <w:lang w:eastAsia="en-GB"/>
              </w:rPr>
              <w:fldChar w:fldCharType="separate"/>
            </w:r>
            <w:r w:rsidRPr="00C93BA3">
              <w:rPr>
                <w:rFonts w:ascii="Calibri" w:eastAsia="Times New Roman" w:hAnsi="Calibri" w:cs="Calibri"/>
                <w:noProof/>
                <w:color w:val="000000"/>
                <w:sz w:val="16"/>
                <w:szCs w:val="16"/>
                <w:lang w:eastAsia="en-GB"/>
              </w:rPr>
              <w:t>(Natural England, 2023)</w:t>
            </w:r>
            <w:r>
              <w:rPr>
                <w:rFonts w:ascii="Calibri" w:eastAsia="Times New Roman" w:hAnsi="Calibri" w:cs="Calibri"/>
                <w:color w:val="000000"/>
                <w:sz w:val="16"/>
                <w:szCs w:val="16"/>
                <w:lang w:eastAsia="en-GB"/>
              </w:rPr>
              <w:fldChar w:fldCharType="end"/>
            </w:r>
            <w:r>
              <w:rPr>
                <w:rFonts w:ascii="Calibri" w:eastAsia="Times New Roman" w:hAnsi="Calibri" w:cs="Calibri"/>
                <w:color w:val="000000"/>
                <w:sz w:val="16"/>
                <w:szCs w:val="16"/>
                <w:lang w:eastAsia="en-GB"/>
              </w:rPr>
              <w:t xml:space="preserve">. </w:t>
            </w:r>
          </w:p>
          <w:p w14:paraId="5E1558A0" w14:textId="77777777" w:rsidR="006F2F22" w:rsidRDefault="006F2F22" w:rsidP="00500C88">
            <w:pPr>
              <w:spacing w:after="0" w:line="240" w:lineRule="auto"/>
              <w:rPr>
                <w:rFonts w:ascii="Calibri" w:eastAsia="Times New Roman" w:hAnsi="Calibri" w:cs="Calibri"/>
                <w:color w:val="000000"/>
                <w:sz w:val="16"/>
                <w:szCs w:val="16"/>
                <w:lang w:eastAsia="en-GB"/>
              </w:rPr>
            </w:pPr>
          </w:p>
        </w:tc>
        <w:tc>
          <w:tcPr>
            <w:tcW w:w="2713" w:type="dxa"/>
            <w:tcBorders>
              <w:top w:val="single" w:sz="4" w:space="0" w:color="auto"/>
              <w:left w:val="nil"/>
              <w:bottom w:val="single" w:sz="4" w:space="0" w:color="auto"/>
              <w:right w:val="single" w:sz="4" w:space="0" w:color="auto"/>
            </w:tcBorders>
            <w:hideMark/>
          </w:tcPr>
          <w:p w14:paraId="73F5E942" w14:textId="77777777" w:rsidR="006F2F22" w:rsidRDefault="006F2F22"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As for extent. </w:t>
            </w:r>
          </w:p>
        </w:tc>
        <w:tc>
          <w:tcPr>
            <w:tcW w:w="1360" w:type="dxa"/>
            <w:tcBorders>
              <w:top w:val="single" w:sz="4" w:space="0" w:color="auto"/>
              <w:left w:val="nil"/>
              <w:bottom w:val="single" w:sz="4" w:space="0" w:color="auto"/>
              <w:right w:val="single" w:sz="4" w:space="0" w:color="auto"/>
            </w:tcBorders>
            <w:noWrap/>
            <w:hideMark/>
          </w:tcPr>
          <w:p w14:paraId="3C0281D6" w14:textId="78B1BE2F" w:rsidR="006F2F22" w:rsidRDefault="00E7649E"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Unknown – precautionary approach taken.</w:t>
            </w:r>
          </w:p>
        </w:tc>
        <w:tc>
          <w:tcPr>
            <w:tcW w:w="870" w:type="dxa"/>
            <w:tcBorders>
              <w:top w:val="single" w:sz="4" w:space="0" w:color="auto"/>
              <w:left w:val="single" w:sz="4" w:space="0" w:color="auto"/>
              <w:bottom w:val="single" w:sz="4" w:space="0" w:color="auto"/>
              <w:right w:val="single" w:sz="4" w:space="0" w:color="auto"/>
            </w:tcBorders>
            <w:shd w:val="clear" w:color="auto" w:fill="FFA3A3"/>
            <w:vAlign w:val="center"/>
            <w:hideMark/>
          </w:tcPr>
          <w:p w14:paraId="473BC822" w14:textId="77777777" w:rsidR="006F2F22" w:rsidRDefault="006F2F22" w:rsidP="00500C88">
            <w:pPr>
              <w:spacing w:after="0" w:line="240" w:lineRule="auto"/>
              <w:jc w:val="center"/>
              <w:rPr>
                <w:rFonts w:ascii="Calibri" w:eastAsia="Times New Roman" w:hAnsi="Calibri" w:cs="Calibri"/>
                <w:b/>
                <w:bCs/>
                <w:color w:val="000000"/>
                <w:sz w:val="16"/>
                <w:szCs w:val="16"/>
                <w:lang w:eastAsia="en-GB"/>
              </w:rPr>
            </w:pPr>
            <w:r w:rsidRPr="007C0E0B">
              <w:rPr>
                <w:rFonts w:ascii="Calibri" w:eastAsia="Times New Roman" w:hAnsi="Calibri" w:cs="Calibri"/>
                <w:b/>
                <w:bCs/>
                <w:sz w:val="16"/>
                <w:szCs w:val="16"/>
                <w:lang w:eastAsia="en-GB"/>
              </w:rPr>
              <w:t>C           (4)</w:t>
            </w:r>
          </w:p>
        </w:tc>
      </w:tr>
      <w:tr w:rsidR="006F2F22" w14:paraId="17D8EF03" w14:textId="77777777" w:rsidTr="00500C88">
        <w:trPr>
          <w:trHeight w:val="300"/>
        </w:trPr>
        <w:tc>
          <w:tcPr>
            <w:tcW w:w="0" w:type="auto"/>
            <w:vMerge/>
            <w:tcBorders>
              <w:top w:val="nil"/>
              <w:left w:val="single" w:sz="8" w:space="0" w:color="auto"/>
              <w:bottom w:val="single" w:sz="8" w:space="0" w:color="000000"/>
              <w:right w:val="nil"/>
            </w:tcBorders>
            <w:vAlign w:val="center"/>
            <w:hideMark/>
          </w:tcPr>
          <w:p w14:paraId="615F8F84" w14:textId="77777777" w:rsidR="006F2F22" w:rsidRDefault="006F2F22"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11AD4C" w14:textId="77777777" w:rsidR="006F2F22" w:rsidRDefault="006F2F22"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1F722" w14:textId="77777777" w:rsidR="006F2F22" w:rsidRDefault="006F2F22" w:rsidP="00500C88">
            <w:pPr>
              <w:spacing w:after="0"/>
              <w:rPr>
                <w:rFonts w:ascii="Calibri" w:eastAsia="Times New Roman" w:hAnsi="Calibri" w:cs="Calibri"/>
                <w:b/>
                <w:bCs/>
                <w:color w:val="000000"/>
                <w:sz w:val="16"/>
                <w:szCs w:val="16"/>
                <w:lang w:eastAsia="en-GB"/>
              </w:rPr>
            </w:pPr>
          </w:p>
        </w:tc>
        <w:tc>
          <w:tcPr>
            <w:tcW w:w="0" w:type="auto"/>
            <w:vMerge/>
            <w:tcBorders>
              <w:top w:val="single" w:sz="4" w:space="0" w:color="auto"/>
              <w:left w:val="single" w:sz="4" w:space="0" w:color="auto"/>
              <w:bottom w:val="single" w:sz="8" w:space="0" w:color="auto"/>
              <w:right w:val="single" w:sz="4" w:space="0" w:color="auto"/>
            </w:tcBorders>
            <w:vAlign w:val="center"/>
            <w:hideMark/>
          </w:tcPr>
          <w:p w14:paraId="2EE28182" w14:textId="77777777" w:rsidR="006F2F22" w:rsidRDefault="006F2F22" w:rsidP="00500C88">
            <w:pPr>
              <w:spacing w:after="0"/>
              <w:rPr>
                <w:rFonts w:ascii="Calibri" w:eastAsia="Times New Roman" w:hAnsi="Calibri" w:cs="Calibri"/>
                <w:color w:val="000000"/>
                <w:sz w:val="16"/>
                <w:szCs w:val="16"/>
                <w:lang w:eastAsia="en-GB"/>
              </w:rPr>
            </w:pPr>
          </w:p>
        </w:tc>
        <w:tc>
          <w:tcPr>
            <w:tcW w:w="6300" w:type="dxa"/>
            <w:gridSpan w:val="2"/>
            <w:tcBorders>
              <w:top w:val="single" w:sz="4" w:space="0" w:color="auto"/>
              <w:left w:val="nil"/>
              <w:bottom w:val="single" w:sz="4" w:space="0" w:color="auto"/>
              <w:right w:val="single" w:sz="4" w:space="0" w:color="auto"/>
            </w:tcBorders>
            <w:vAlign w:val="center"/>
            <w:hideMark/>
          </w:tcPr>
          <w:p w14:paraId="428F2DDF" w14:textId="77777777" w:rsidR="006F2F22" w:rsidRDefault="006F2F22"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w:t>
            </w:r>
          </w:p>
        </w:tc>
        <w:tc>
          <w:tcPr>
            <w:tcW w:w="1360" w:type="dxa"/>
            <w:tcBorders>
              <w:top w:val="nil"/>
              <w:left w:val="nil"/>
              <w:bottom w:val="single" w:sz="4" w:space="0" w:color="auto"/>
              <w:right w:val="single" w:sz="4" w:space="0" w:color="auto"/>
            </w:tcBorders>
            <w:vAlign w:val="center"/>
            <w:hideMark/>
          </w:tcPr>
          <w:p w14:paraId="09DFA619" w14:textId="77777777" w:rsidR="006F2F22" w:rsidRDefault="006F2F22"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w:t>
            </w:r>
          </w:p>
        </w:tc>
        <w:tc>
          <w:tcPr>
            <w:tcW w:w="870" w:type="dxa"/>
            <w:vMerge w:val="restart"/>
            <w:tcBorders>
              <w:top w:val="nil"/>
              <w:left w:val="single" w:sz="4" w:space="0" w:color="auto"/>
              <w:bottom w:val="single" w:sz="4" w:space="0" w:color="auto"/>
              <w:right w:val="single" w:sz="4" w:space="0" w:color="auto"/>
            </w:tcBorders>
            <w:vAlign w:val="center"/>
            <w:hideMark/>
          </w:tcPr>
          <w:p w14:paraId="63F3B7A4" w14:textId="77777777" w:rsidR="006F2F22" w:rsidRDefault="006F2F22" w:rsidP="00500C88">
            <w:pPr>
              <w:rPr>
                <w:rFonts w:ascii="Calibri" w:eastAsia="Times New Roman" w:hAnsi="Calibri" w:cs="Calibri"/>
                <w:color w:val="000000"/>
                <w:sz w:val="16"/>
                <w:szCs w:val="16"/>
                <w:lang w:eastAsia="en-GB"/>
              </w:rPr>
            </w:pPr>
          </w:p>
        </w:tc>
      </w:tr>
      <w:tr w:rsidR="006F2F22" w14:paraId="4A5DE2B9" w14:textId="77777777" w:rsidTr="00500C88">
        <w:trPr>
          <w:trHeight w:val="315"/>
        </w:trPr>
        <w:tc>
          <w:tcPr>
            <w:tcW w:w="0" w:type="auto"/>
            <w:vMerge/>
            <w:tcBorders>
              <w:top w:val="nil"/>
              <w:left w:val="single" w:sz="8" w:space="0" w:color="auto"/>
              <w:bottom w:val="single" w:sz="8" w:space="0" w:color="000000"/>
              <w:right w:val="nil"/>
            </w:tcBorders>
            <w:vAlign w:val="center"/>
            <w:hideMark/>
          </w:tcPr>
          <w:p w14:paraId="78561729" w14:textId="77777777" w:rsidR="006F2F22" w:rsidRDefault="006F2F22"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C36E44" w14:textId="77777777" w:rsidR="006F2F22" w:rsidRDefault="006F2F22"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69EF9B" w14:textId="77777777" w:rsidR="006F2F22" w:rsidRDefault="006F2F22" w:rsidP="00500C88">
            <w:pPr>
              <w:spacing w:after="0"/>
              <w:rPr>
                <w:rFonts w:ascii="Calibri" w:eastAsia="Times New Roman" w:hAnsi="Calibri" w:cs="Calibri"/>
                <w:b/>
                <w:bCs/>
                <w:color w:val="000000"/>
                <w:sz w:val="16"/>
                <w:szCs w:val="16"/>
                <w:lang w:eastAsia="en-GB"/>
              </w:rPr>
            </w:pPr>
          </w:p>
        </w:tc>
        <w:tc>
          <w:tcPr>
            <w:tcW w:w="0" w:type="auto"/>
            <w:vMerge/>
            <w:tcBorders>
              <w:top w:val="single" w:sz="4" w:space="0" w:color="auto"/>
              <w:left w:val="single" w:sz="4" w:space="0" w:color="auto"/>
              <w:bottom w:val="single" w:sz="8" w:space="0" w:color="auto"/>
              <w:right w:val="single" w:sz="4" w:space="0" w:color="auto"/>
            </w:tcBorders>
            <w:vAlign w:val="center"/>
            <w:hideMark/>
          </w:tcPr>
          <w:p w14:paraId="701A0365" w14:textId="77777777" w:rsidR="006F2F22" w:rsidRDefault="006F2F22" w:rsidP="00500C88">
            <w:pPr>
              <w:spacing w:after="0"/>
              <w:rPr>
                <w:rFonts w:ascii="Calibri" w:eastAsia="Times New Roman" w:hAnsi="Calibri" w:cs="Calibri"/>
                <w:color w:val="000000"/>
                <w:sz w:val="16"/>
                <w:szCs w:val="16"/>
                <w:lang w:eastAsia="en-GB"/>
              </w:rPr>
            </w:pPr>
          </w:p>
        </w:tc>
        <w:tc>
          <w:tcPr>
            <w:tcW w:w="6300" w:type="dxa"/>
            <w:gridSpan w:val="2"/>
            <w:tcBorders>
              <w:top w:val="single" w:sz="4" w:space="0" w:color="auto"/>
              <w:left w:val="nil"/>
              <w:bottom w:val="single" w:sz="4" w:space="0" w:color="auto"/>
              <w:right w:val="single" w:sz="4" w:space="0" w:color="auto"/>
            </w:tcBorders>
            <w:vAlign w:val="center"/>
            <w:hideMark/>
          </w:tcPr>
          <w:p w14:paraId="31011DB9" w14:textId="77777777" w:rsidR="006F2F22" w:rsidRDefault="006F2F22"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1360" w:type="dxa"/>
            <w:tcBorders>
              <w:top w:val="nil"/>
              <w:left w:val="nil"/>
              <w:bottom w:val="single" w:sz="4" w:space="0" w:color="auto"/>
              <w:right w:val="single" w:sz="4" w:space="0" w:color="auto"/>
            </w:tcBorders>
            <w:vAlign w:val="center"/>
            <w:hideMark/>
          </w:tcPr>
          <w:p w14:paraId="12DE0891" w14:textId="77777777" w:rsidR="006F2F22" w:rsidRDefault="006F2F22"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0" w:type="auto"/>
            <w:vMerge/>
            <w:tcBorders>
              <w:top w:val="nil"/>
              <w:left w:val="single" w:sz="4" w:space="0" w:color="auto"/>
              <w:bottom w:val="single" w:sz="4" w:space="0" w:color="auto"/>
              <w:right w:val="single" w:sz="4" w:space="0" w:color="auto"/>
            </w:tcBorders>
            <w:vAlign w:val="center"/>
            <w:hideMark/>
          </w:tcPr>
          <w:p w14:paraId="6AFB6BA7" w14:textId="77777777" w:rsidR="006F2F22" w:rsidRDefault="006F2F22" w:rsidP="00500C88">
            <w:pPr>
              <w:spacing w:after="0"/>
              <w:rPr>
                <w:rFonts w:ascii="Calibri" w:eastAsia="Times New Roman" w:hAnsi="Calibri" w:cs="Calibri"/>
                <w:color w:val="000000"/>
                <w:sz w:val="16"/>
                <w:szCs w:val="16"/>
                <w:lang w:eastAsia="en-GB"/>
              </w:rPr>
            </w:pPr>
          </w:p>
        </w:tc>
      </w:tr>
    </w:tbl>
    <w:p w14:paraId="40CFCE0A" w14:textId="77777777" w:rsidR="006F2F22" w:rsidRDefault="006F2F22" w:rsidP="008E7806"/>
    <w:tbl>
      <w:tblPr>
        <w:tblW w:w="13580" w:type="dxa"/>
        <w:tblLook w:val="04A0" w:firstRow="1" w:lastRow="0" w:firstColumn="1" w:lastColumn="0" w:noHBand="0" w:noVBand="1"/>
      </w:tblPr>
      <w:tblGrid>
        <w:gridCol w:w="1130"/>
        <w:gridCol w:w="973"/>
        <w:gridCol w:w="1402"/>
        <w:gridCol w:w="1545"/>
        <w:gridCol w:w="3587"/>
        <w:gridCol w:w="2713"/>
        <w:gridCol w:w="1360"/>
        <w:gridCol w:w="870"/>
      </w:tblGrid>
      <w:tr w:rsidR="00E7649E" w14:paraId="06015753" w14:textId="77777777" w:rsidTr="00500C88">
        <w:trPr>
          <w:trHeight w:val="780"/>
          <w:tblHeader/>
        </w:trPr>
        <w:tc>
          <w:tcPr>
            <w:tcW w:w="1130" w:type="dxa"/>
            <w:tcBorders>
              <w:top w:val="single" w:sz="8" w:space="0" w:color="auto"/>
              <w:left w:val="single" w:sz="8" w:space="0" w:color="auto"/>
              <w:bottom w:val="single" w:sz="8" w:space="0" w:color="auto"/>
              <w:right w:val="single" w:sz="8" w:space="0" w:color="auto"/>
            </w:tcBorders>
            <w:hideMark/>
          </w:tcPr>
          <w:p w14:paraId="3C035492" w14:textId="77777777" w:rsidR="00E7649E" w:rsidRDefault="00E7649E"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Broad Habitat type</w:t>
            </w:r>
          </w:p>
        </w:tc>
        <w:tc>
          <w:tcPr>
            <w:tcW w:w="973" w:type="dxa"/>
            <w:tcBorders>
              <w:top w:val="single" w:sz="8" w:space="0" w:color="auto"/>
              <w:left w:val="nil"/>
              <w:bottom w:val="nil"/>
              <w:right w:val="single" w:sz="8" w:space="0" w:color="auto"/>
            </w:tcBorders>
            <w:hideMark/>
          </w:tcPr>
          <w:p w14:paraId="66D032BD" w14:textId="77777777" w:rsidR="00E7649E" w:rsidRDefault="00E7649E"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Habitat / Species Asset</w:t>
            </w:r>
          </w:p>
        </w:tc>
        <w:tc>
          <w:tcPr>
            <w:tcW w:w="1402" w:type="dxa"/>
            <w:tcBorders>
              <w:top w:val="single" w:sz="8" w:space="0" w:color="auto"/>
              <w:left w:val="nil"/>
              <w:bottom w:val="nil"/>
              <w:right w:val="single" w:sz="8" w:space="0" w:color="auto"/>
            </w:tcBorders>
            <w:hideMark/>
          </w:tcPr>
          <w:p w14:paraId="5C37645C" w14:textId="77777777" w:rsidR="00E7649E" w:rsidRDefault="00E7649E"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Benefit</w:t>
            </w:r>
          </w:p>
        </w:tc>
        <w:tc>
          <w:tcPr>
            <w:tcW w:w="1545" w:type="dxa"/>
            <w:tcBorders>
              <w:top w:val="single" w:sz="8" w:space="0" w:color="auto"/>
              <w:left w:val="nil"/>
              <w:bottom w:val="nil"/>
              <w:right w:val="single" w:sz="8" w:space="0" w:color="auto"/>
            </w:tcBorders>
            <w:noWrap/>
            <w:hideMark/>
          </w:tcPr>
          <w:p w14:paraId="5412063F" w14:textId="77777777" w:rsidR="00E7649E" w:rsidRDefault="00E7649E"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Characteristic</w:t>
            </w:r>
          </w:p>
        </w:tc>
        <w:tc>
          <w:tcPr>
            <w:tcW w:w="3587" w:type="dxa"/>
            <w:tcBorders>
              <w:top w:val="single" w:sz="8" w:space="0" w:color="auto"/>
              <w:left w:val="nil"/>
              <w:bottom w:val="nil"/>
              <w:right w:val="single" w:sz="8" w:space="0" w:color="auto"/>
            </w:tcBorders>
            <w:noWrap/>
            <w:hideMark/>
          </w:tcPr>
          <w:p w14:paraId="52867D25" w14:textId="77777777" w:rsidR="00E7649E" w:rsidRDefault="00E7649E"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Current Status</w:t>
            </w:r>
          </w:p>
        </w:tc>
        <w:tc>
          <w:tcPr>
            <w:tcW w:w="2713" w:type="dxa"/>
            <w:tcBorders>
              <w:top w:val="single" w:sz="8" w:space="0" w:color="auto"/>
              <w:left w:val="nil"/>
              <w:bottom w:val="nil"/>
              <w:right w:val="single" w:sz="8" w:space="0" w:color="auto"/>
            </w:tcBorders>
            <w:noWrap/>
            <w:hideMark/>
          </w:tcPr>
          <w:p w14:paraId="0C7BE19E" w14:textId="77777777" w:rsidR="00E7649E" w:rsidRDefault="00E7649E"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Target</w:t>
            </w:r>
          </w:p>
        </w:tc>
        <w:tc>
          <w:tcPr>
            <w:tcW w:w="1360" w:type="dxa"/>
            <w:tcBorders>
              <w:top w:val="single" w:sz="8" w:space="0" w:color="auto"/>
              <w:left w:val="nil"/>
              <w:bottom w:val="nil"/>
              <w:right w:val="single" w:sz="8" w:space="0" w:color="auto"/>
            </w:tcBorders>
            <w:noWrap/>
            <w:hideMark/>
          </w:tcPr>
          <w:p w14:paraId="078B1077" w14:textId="77777777" w:rsidR="00E7649E" w:rsidRDefault="00E7649E"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Trend</w:t>
            </w:r>
          </w:p>
        </w:tc>
        <w:tc>
          <w:tcPr>
            <w:tcW w:w="870" w:type="dxa"/>
            <w:tcBorders>
              <w:top w:val="single" w:sz="8" w:space="0" w:color="auto"/>
              <w:left w:val="nil"/>
              <w:bottom w:val="single" w:sz="4" w:space="0" w:color="auto"/>
              <w:right w:val="single" w:sz="8" w:space="0" w:color="auto"/>
            </w:tcBorders>
            <w:noWrap/>
            <w:hideMark/>
          </w:tcPr>
          <w:p w14:paraId="7D036331" w14:textId="77777777" w:rsidR="00E7649E" w:rsidRDefault="00E7649E"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RAG</w:t>
            </w:r>
          </w:p>
        </w:tc>
      </w:tr>
      <w:tr w:rsidR="00E7649E" w14:paraId="1A301BB4" w14:textId="77777777" w:rsidTr="00500C88">
        <w:trPr>
          <w:trHeight w:val="2019"/>
        </w:trPr>
        <w:tc>
          <w:tcPr>
            <w:tcW w:w="1130" w:type="dxa"/>
            <w:vMerge w:val="restart"/>
            <w:tcBorders>
              <w:top w:val="nil"/>
              <w:left w:val="single" w:sz="8" w:space="0" w:color="auto"/>
              <w:bottom w:val="single" w:sz="8" w:space="0" w:color="000000"/>
              <w:right w:val="nil"/>
            </w:tcBorders>
            <w:shd w:val="clear" w:color="auto" w:fill="F2F2F2"/>
            <w:noWrap/>
            <w:hideMark/>
          </w:tcPr>
          <w:p w14:paraId="7C7FBCD4" w14:textId="77777777" w:rsidR="00E7649E" w:rsidRDefault="00E7649E"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Coastal Margin</w:t>
            </w:r>
          </w:p>
        </w:tc>
        <w:tc>
          <w:tcPr>
            <w:tcW w:w="973" w:type="dxa"/>
            <w:vMerge w:val="restart"/>
            <w:tcBorders>
              <w:top w:val="single" w:sz="4" w:space="0" w:color="auto"/>
              <w:left w:val="single" w:sz="4" w:space="0" w:color="auto"/>
              <w:bottom w:val="single" w:sz="4" w:space="0" w:color="auto"/>
              <w:right w:val="single" w:sz="4" w:space="0" w:color="auto"/>
            </w:tcBorders>
            <w:hideMark/>
          </w:tcPr>
          <w:p w14:paraId="4B7BFB43" w14:textId="19C02F50" w:rsidR="00E7649E" w:rsidRDefault="00E7649E"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Subtidal Seagrass – </w:t>
            </w:r>
            <w:proofErr w:type="spellStart"/>
            <w:r>
              <w:rPr>
                <w:rFonts w:ascii="Calibri" w:eastAsia="Times New Roman" w:hAnsi="Calibri" w:cs="Calibri"/>
                <w:color w:val="000000"/>
                <w:sz w:val="16"/>
                <w:szCs w:val="16"/>
                <w:lang w:eastAsia="en-GB"/>
              </w:rPr>
              <w:t>Jennycliff</w:t>
            </w:r>
            <w:proofErr w:type="spellEnd"/>
            <w:r>
              <w:rPr>
                <w:rFonts w:ascii="Calibri" w:eastAsia="Times New Roman" w:hAnsi="Calibri" w:cs="Calibri"/>
                <w:color w:val="000000"/>
                <w:sz w:val="16"/>
                <w:szCs w:val="16"/>
                <w:lang w:eastAsia="en-GB"/>
              </w:rPr>
              <w:t xml:space="preserve"> South</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6E63290E" w14:textId="77777777" w:rsidR="00E7649E" w:rsidRDefault="00E7649E"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 Food (Wild Food - fish and shellfish).    </w:t>
            </w:r>
          </w:p>
          <w:p w14:paraId="6D2AF79E" w14:textId="77777777" w:rsidR="00E7649E" w:rsidRDefault="00E7649E" w:rsidP="00500C88">
            <w:pPr>
              <w:spacing w:after="0" w:line="240" w:lineRule="auto"/>
              <w:ind w:hanging="52"/>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Healthy climate (carbon sequestration).         • Sea defence. (</w:t>
            </w:r>
            <w:proofErr w:type="gramStart"/>
            <w:r>
              <w:rPr>
                <w:rFonts w:ascii="Calibri" w:eastAsia="Times New Roman" w:hAnsi="Calibri" w:cs="Calibri"/>
                <w:b/>
                <w:bCs/>
                <w:color w:val="000000"/>
                <w:sz w:val="16"/>
                <w:szCs w:val="16"/>
                <w:lang w:eastAsia="en-GB"/>
              </w:rPr>
              <w:t>natural</w:t>
            </w:r>
            <w:proofErr w:type="gramEnd"/>
            <w:r>
              <w:rPr>
                <w:rFonts w:ascii="Calibri" w:eastAsia="Times New Roman" w:hAnsi="Calibri" w:cs="Calibri"/>
                <w:b/>
                <w:bCs/>
                <w:color w:val="000000"/>
                <w:sz w:val="16"/>
                <w:szCs w:val="16"/>
                <w:lang w:eastAsia="en-GB"/>
              </w:rPr>
              <w:t xml:space="preserve"> hazard regulation).               • Tourism/nature watching.                  • Clean water and sediments.</w:t>
            </w:r>
          </w:p>
        </w:tc>
        <w:tc>
          <w:tcPr>
            <w:tcW w:w="1545" w:type="dxa"/>
            <w:vMerge w:val="restart"/>
            <w:tcBorders>
              <w:top w:val="single" w:sz="4" w:space="0" w:color="auto"/>
              <w:left w:val="single" w:sz="4" w:space="0" w:color="auto"/>
              <w:bottom w:val="single" w:sz="4" w:space="0" w:color="auto"/>
              <w:right w:val="single" w:sz="4" w:space="0" w:color="auto"/>
            </w:tcBorders>
            <w:noWrap/>
            <w:hideMark/>
          </w:tcPr>
          <w:p w14:paraId="246A5A37" w14:textId="77777777" w:rsidR="00E7649E" w:rsidRDefault="00E7649E"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Quantity/Extent</w:t>
            </w:r>
          </w:p>
        </w:tc>
        <w:tc>
          <w:tcPr>
            <w:tcW w:w="3587" w:type="dxa"/>
            <w:tcBorders>
              <w:top w:val="single" w:sz="4" w:space="0" w:color="auto"/>
              <w:left w:val="nil"/>
              <w:bottom w:val="single" w:sz="4" w:space="0" w:color="auto"/>
              <w:right w:val="single" w:sz="4" w:space="0" w:color="auto"/>
            </w:tcBorders>
            <w:hideMark/>
          </w:tcPr>
          <w:p w14:paraId="1F13C686" w14:textId="3EC7363B" w:rsidR="00E7649E" w:rsidRPr="00D81799" w:rsidRDefault="00E7649E" w:rsidP="00500C88">
            <w:pPr>
              <w:spacing w:after="0" w:line="240" w:lineRule="auto"/>
              <w:rPr>
                <w:rFonts w:ascii="Calibri" w:eastAsia="Times New Roman" w:hAnsi="Calibri" w:cs="Calibri"/>
                <w:color w:val="000000"/>
                <w:sz w:val="16"/>
                <w:szCs w:val="16"/>
                <w:lang w:eastAsia="en-GB"/>
              </w:rPr>
            </w:pPr>
            <w:r w:rsidRPr="00BA66F3">
              <w:rPr>
                <w:rFonts w:ascii="Calibri" w:eastAsia="Times New Roman" w:hAnsi="Calibri" w:cs="Calibri"/>
                <w:b/>
                <w:bCs/>
                <w:color w:val="000000"/>
                <w:sz w:val="16"/>
                <w:szCs w:val="16"/>
                <w:lang w:eastAsia="en-GB"/>
              </w:rPr>
              <w:t>Composite mapping</w:t>
            </w:r>
            <w:r>
              <w:rPr>
                <w:rFonts w:ascii="Calibri" w:eastAsia="Times New Roman" w:hAnsi="Calibri" w:cs="Calibri"/>
                <w:color w:val="000000"/>
                <w:sz w:val="16"/>
                <w:szCs w:val="16"/>
                <w:lang w:eastAsia="en-GB"/>
              </w:rPr>
              <w:t xml:space="preserve">: </w:t>
            </w:r>
            <w:r w:rsidR="008C7E39" w:rsidRPr="00781C8A">
              <w:rPr>
                <w:rFonts w:ascii="Calibri" w:eastAsia="Times New Roman" w:hAnsi="Calibri" w:cs="Calibri"/>
                <w:color w:val="000000"/>
                <w:sz w:val="16"/>
                <w:szCs w:val="16"/>
                <w:lang w:eastAsia="en-GB"/>
              </w:rPr>
              <w:t xml:space="preserve">Composite mapping shows the seagrass bed at </w:t>
            </w:r>
            <w:proofErr w:type="spellStart"/>
            <w:r w:rsidR="008C7E39" w:rsidRPr="00781C8A">
              <w:rPr>
                <w:rFonts w:ascii="Calibri" w:eastAsia="Times New Roman" w:hAnsi="Calibri" w:cs="Calibri"/>
                <w:color w:val="000000"/>
                <w:sz w:val="16"/>
                <w:szCs w:val="16"/>
                <w:lang w:eastAsia="en-GB"/>
              </w:rPr>
              <w:t>Jennycliff</w:t>
            </w:r>
            <w:proofErr w:type="spellEnd"/>
            <w:r w:rsidR="008C7E39" w:rsidRPr="00781C8A">
              <w:rPr>
                <w:rFonts w:ascii="Calibri" w:eastAsia="Times New Roman" w:hAnsi="Calibri" w:cs="Calibri"/>
                <w:color w:val="000000"/>
                <w:sz w:val="16"/>
                <w:szCs w:val="16"/>
                <w:lang w:eastAsia="en-GB"/>
              </w:rPr>
              <w:t xml:space="preserve"> </w:t>
            </w:r>
            <w:r w:rsidR="0009031B">
              <w:rPr>
                <w:rFonts w:ascii="Calibri" w:eastAsia="Times New Roman" w:hAnsi="Calibri" w:cs="Calibri"/>
                <w:color w:val="000000"/>
                <w:sz w:val="16"/>
                <w:szCs w:val="16"/>
                <w:lang w:eastAsia="en-GB"/>
              </w:rPr>
              <w:t>South</w:t>
            </w:r>
            <w:r w:rsidR="008C7E39" w:rsidRPr="00781C8A">
              <w:rPr>
                <w:rFonts w:ascii="Calibri" w:eastAsia="Times New Roman" w:hAnsi="Calibri" w:cs="Calibri"/>
                <w:color w:val="000000"/>
                <w:sz w:val="16"/>
                <w:szCs w:val="16"/>
                <w:lang w:eastAsia="en-GB"/>
              </w:rPr>
              <w:t xml:space="preserve"> to have an area of </w:t>
            </w:r>
            <w:r w:rsidR="00B1791F">
              <w:rPr>
                <w:rFonts w:ascii="Calibri" w:eastAsia="Times New Roman" w:hAnsi="Calibri" w:cs="Calibri"/>
                <w:color w:val="000000"/>
                <w:sz w:val="16"/>
                <w:szCs w:val="16"/>
                <w:lang w:eastAsia="en-GB"/>
              </w:rPr>
              <w:t>0.015</w:t>
            </w:r>
            <w:r w:rsidR="008C7E39" w:rsidRPr="00781C8A">
              <w:rPr>
                <w:rFonts w:ascii="Calibri" w:eastAsia="Times New Roman" w:hAnsi="Calibri" w:cs="Calibri"/>
                <w:color w:val="000000"/>
                <w:sz w:val="16"/>
                <w:szCs w:val="16"/>
                <w:lang w:eastAsia="en-GB"/>
              </w:rPr>
              <w:t xml:space="preserve"> </w:t>
            </w:r>
            <w:r w:rsidR="00B1791F">
              <w:rPr>
                <w:rFonts w:ascii="Calibri" w:eastAsia="Times New Roman" w:hAnsi="Calibri" w:cs="Calibri"/>
                <w:color w:val="000000"/>
                <w:sz w:val="16"/>
                <w:szCs w:val="16"/>
                <w:lang w:eastAsia="en-GB"/>
              </w:rPr>
              <w:t>k</w:t>
            </w:r>
            <w:r w:rsidR="008C7E39" w:rsidRPr="00781C8A">
              <w:rPr>
                <w:rFonts w:ascii="Calibri" w:eastAsia="Times New Roman" w:hAnsi="Calibri" w:cs="Calibri"/>
                <w:color w:val="000000"/>
                <w:sz w:val="16"/>
                <w:szCs w:val="16"/>
                <w:lang w:eastAsia="en-GB"/>
              </w:rPr>
              <w:t>m</w:t>
            </w:r>
            <w:r w:rsidR="008C7E39" w:rsidRPr="00E67805">
              <w:rPr>
                <w:rFonts w:ascii="Calibri" w:eastAsia="Times New Roman" w:hAnsi="Calibri" w:cs="Calibri"/>
                <w:color w:val="000000"/>
                <w:sz w:val="16"/>
                <w:szCs w:val="16"/>
                <w:vertAlign w:val="superscript"/>
                <w:lang w:eastAsia="en-GB"/>
              </w:rPr>
              <w:t>2</w:t>
            </w:r>
            <w:r w:rsidR="008C7E39" w:rsidRPr="00781C8A">
              <w:rPr>
                <w:rFonts w:ascii="Calibri" w:eastAsia="Times New Roman" w:hAnsi="Calibri" w:cs="Calibri"/>
                <w:color w:val="000000"/>
                <w:sz w:val="16"/>
                <w:szCs w:val="16"/>
                <w:lang w:eastAsia="en-GB"/>
              </w:rPr>
              <w:t>.</w:t>
            </w:r>
          </w:p>
          <w:p w14:paraId="54B3D4A6" w14:textId="77777777" w:rsidR="00E7649E" w:rsidRDefault="00E7649E" w:rsidP="00500C88">
            <w:pPr>
              <w:spacing w:after="0" w:line="240" w:lineRule="auto"/>
              <w:rPr>
                <w:rFonts w:ascii="Calibri" w:eastAsia="Times New Roman" w:hAnsi="Calibri" w:cs="Calibri"/>
                <w:color w:val="000000"/>
                <w:sz w:val="16"/>
                <w:szCs w:val="16"/>
                <w:lang w:eastAsia="en-GB"/>
              </w:rPr>
            </w:pPr>
          </w:p>
          <w:p w14:paraId="07F96D46" w14:textId="48CA1411" w:rsidR="0009031B" w:rsidRPr="000421E1" w:rsidRDefault="00E7649E" w:rsidP="0009031B">
            <w:pPr>
              <w:spacing w:after="0" w:line="240" w:lineRule="auto"/>
              <w:rPr>
                <w:color w:val="000000" w:themeColor="text1"/>
                <w:sz w:val="18"/>
                <w:szCs w:val="18"/>
              </w:rPr>
            </w:pPr>
            <w:r w:rsidRPr="009D42EA">
              <w:rPr>
                <w:rFonts w:ascii="Calibri" w:eastAsia="Times New Roman" w:hAnsi="Calibri" w:cs="Calibri"/>
                <w:b/>
                <w:bCs/>
                <w:color w:val="000000"/>
                <w:sz w:val="16"/>
                <w:szCs w:val="16"/>
                <w:lang w:eastAsia="en-GB"/>
              </w:rPr>
              <w:t>NE Package:</w:t>
            </w:r>
            <w:r>
              <w:rPr>
                <w:rFonts w:ascii="Calibri" w:eastAsia="Times New Roman" w:hAnsi="Calibri" w:cs="Calibri"/>
                <w:b/>
                <w:bCs/>
                <w:color w:val="000000"/>
                <w:sz w:val="16"/>
                <w:szCs w:val="16"/>
                <w:lang w:eastAsia="en-GB"/>
              </w:rPr>
              <w:t xml:space="preserve"> </w:t>
            </w:r>
            <w:r w:rsidR="0009031B" w:rsidRPr="0009031B">
              <w:rPr>
                <w:rFonts w:ascii="Calibri" w:eastAsia="Times New Roman" w:hAnsi="Calibri" w:cs="Calibri"/>
                <w:color w:val="000000"/>
                <w:sz w:val="16"/>
                <w:szCs w:val="16"/>
                <w:lang w:eastAsia="en-GB"/>
              </w:rPr>
              <w:t>The Bunker et al (2019) report estimated a decrease in seagrass area from 14,378 m</w:t>
            </w:r>
            <w:r w:rsidR="0009031B" w:rsidRPr="008D30E2">
              <w:rPr>
                <w:rFonts w:ascii="Calibri" w:eastAsia="Times New Roman" w:hAnsi="Calibri" w:cs="Calibri"/>
                <w:color w:val="000000"/>
                <w:sz w:val="16"/>
                <w:szCs w:val="16"/>
                <w:vertAlign w:val="superscript"/>
                <w:lang w:eastAsia="en-GB"/>
              </w:rPr>
              <w:t>2</w:t>
            </w:r>
            <w:r w:rsidR="0009031B" w:rsidRPr="0009031B">
              <w:rPr>
                <w:rFonts w:ascii="Calibri" w:eastAsia="Times New Roman" w:hAnsi="Calibri" w:cs="Calibri"/>
                <w:color w:val="000000"/>
                <w:sz w:val="16"/>
                <w:szCs w:val="16"/>
                <w:lang w:eastAsia="en-GB"/>
              </w:rPr>
              <w:t xml:space="preserve"> to 6,327 m</w:t>
            </w:r>
            <w:r w:rsidR="0009031B" w:rsidRPr="008D30E2">
              <w:rPr>
                <w:rFonts w:ascii="Calibri" w:eastAsia="Times New Roman" w:hAnsi="Calibri" w:cs="Calibri"/>
                <w:color w:val="000000"/>
                <w:sz w:val="16"/>
                <w:szCs w:val="16"/>
                <w:vertAlign w:val="superscript"/>
                <w:lang w:eastAsia="en-GB"/>
              </w:rPr>
              <w:t>2</w:t>
            </w:r>
            <w:r w:rsidR="0009031B" w:rsidRPr="0009031B">
              <w:rPr>
                <w:rFonts w:ascii="Calibri" w:eastAsia="Times New Roman" w:hAnsi="Calibri" w:cs="Calibri"/>
                <w:color w:val="000000"/>
                <w:sz w:val="16"/>
                <w:szCs w:val="16"/>
                <w:lang w:eastAsia="en-GB"/>
              </w:rPr>
              <w:t xml:space="preserve"> between 2012 and 2018 at </w:t>
            </w:r>
            <w:proofErr w:type="spellStart"/>
            <w:r w:rsidR="0009031B">
              <w:rPr>
                <w:rFonts w:ascii="Calibri" w:eastAsia="Times New Roman" w:hAnsi="Calibri" w:cs="Calibri"/>
                <w:color w:val="000000"/>
                <w:sz w:val="16"/>
                <w:szCs w:val="16"/>
                <w:lang w:eastAsia="en-GB"/>
              </w:rPr>
              <w:t>Jennycliff</w:t>
            </w:r>
            <w:proofErr w:type="spellEnd"/>
            <w:r w:rsidR="0009031B">
              <w:rPr>
                <w:rFonts w:ascii="Calibri" w:eastAsia="Times New Roman" w:hAnsi="Calibri" w:cs="Calibri"/>
                <w:color w:val="000000"/>
                <w:sz w:val="16"/>
                <w:szCs w:val="16"/>
                <w:lang w:eastAsia="en-GB"/>
              </w:rPr>
              <w:t xml:space="preserve"> South</w:t>
            </w:r>
            <w:r w:rsidR="0009031B" w:rsidRPr="0009031B">
              <w:rPr>
                <w:rFonts w:ascii="Calibri" w:eastAsia="Times New Roman" w:hAnsi="Calibri" w:cs="Calibri"/>
                <w:color w:val="000000"/>
                <w:sz w:val="16"/>
                <w:szCs w:val="16"/>
                <w:lang w:eastAsia="en-GB"/>
              </w:rPr>
              <w:t>. Equivalent to an 56% decrease in area.</w:t>
            </w:r>
          </w:p>
          <w:p w14:paraId="11F1D992" w14:textId="06E1C09E" w:rsidR="00E7649E" w:rsidRDefault="00E7649E" w:rsidP="00500C88">
            <w:pPr>
              <w:spacing w:after="0" w:line="240" w:lineRule="auto"/>
              <w:rPr>
                <w:rFonts w:ascii="Calibri" w:eastAsia="Times New Roman" w:hAnsi="Calibri" w:cs="Calibri"/>
                <w:color w:val="000000"/>
                <w:sz w:val="16"/>
                <w:szCs w:val="16"/>
                <w:lang w:eastAsia="en-GB"/>
              </w:rPr>
            </w:pPr>
          </w:p>
          <w:p w14:paraId="063473C9" w14:textId="77777777" w:rsidR="00E7649E" w:rsidRDefault="00E7649E" w:rsidP="00500C88">
            <w:pPr>
              <w:spacing w:after="0" w:line="240" w:lineRule="auto"/>
              <w:rPr>
                <w:rFonts w:ascii="Calibri" w:eastAsia="Times New Roman" w:hAnsi="Calibri" w:cs="Calibri"/>
                <w:b/>
                <w:bCs/>
                <w:color w:val="000000"/>
                <w:sz w:val="16"/>
                <w:szCs w:val="16"/>
                <w:lang w:eastAsia="en-GB"/>
              </w:rPr>
            </w:pPr>
          </w:p>
          <w:p w14:paraId="254A8CE9" w14:textId="77777777" w:rsidR="00E7649E" w:rsidRDefault="00E7649E" w:rsidP="00500C88">
            <w:pPr>
              <w:spacing w:after="0" w:line="240" w:lineRule="auto"/>
              <w:rPr>
                <w:rFonts w:ascii="Calibri" w:eastAsia="Times New Roman" w:hAnsi="Calibri" w:cs="Calibri"/>
                <w:b/>
                <w:bCs/>
                <w:color w:val="000000"/>
                <w:sz w:val="16"/>
                <w:szCs w:val="16"/>
                <w:lang w:eastAsia="en-GB"/>
              </w:rPr>
            </w:pPr>
          </w:p>
          <w:p w14:paraId="380C8489" w14:textId="77777777" w:rsidR="00E7649E" w:rsidRPr="009D42EA" w:rsidRDefault="00E7649E" w:rsidP="00500C88">
            <w:pPr>
              <w:spacing w:after="0" w:line="240" w:lineRule="auto"/>
              <w:rPr>
                <w:rFonts w:ascii="Calibri" w:eastAsia="Times New Roman" w:hAnsi="Calibri" w:cs="Calibri"/>
                <w:b/>
                <w:bCs/>
                <w:color w:val="000000"/>
                <w:sz w:val="16"/>
                <w:szCs w:val="16"/>
                <w:lang w:eastAsia="en-GB"/>
              </w:rPr>
            </w:pPr>
          </w:p>
        </w:tc>
        <w:tc>
          <w:tcPr>
            <w:tcW w:w="2713" w:type="dxa"/>
            <w:tcBorders>
              <w:top w:val="single" w:sz="4" w:space="0" w:color="auto"/>
              <w:left w:val="nil"/>
              <w:bottom w:val="single" w:sz="4" w:space="0" w:color="auto"/>
              <w:right w:val="single" w:sz="4" w:space="0" w:color="auto"/>
            </w:tcBorders>
            <w:hideMark/>
          </w:tcPr>
          <w:p w14:paraId="534556F5" w14:textId="77777777" w:rsidR="00E7649E" w:rsidRDefault="00E7649E" w:rsidP="00500C88">
            <w:pP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MSFD: As above.</w:t>
            </w:r>
          </w:p>
          <w:p w14:paraId="2625D105" w14:textId="77777777" w:rsidR="00E7649E" w:rsidRPr="004B486F" w:rsidRDefault="00E7649E" w:rsidP="00500C88">
            <w:pP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UK Marine Strategy: As above. </w:t>
            </w:r>
          </w:p>
        </w:tc>
        <w:tc>
          <w:tcPr>
            <w:tcW w:w="1360" w:type="dxa"/>
            <w:tcBorders>
              <w:top w:val="single" w:sz="4" w:space="0" w:color="auto"/>
              <w:left w:val="nil"/>
              <w:bottom w:val="single" w:sz="4" w:space="0" w:color="auto"/>
              <w:right w:val="single" w:sz="4" w:space="0" w:color="auto"/>
            </w:tcBorders>
            <w:hideMark/>
          </w:tcPr>
          <w:p w14:paraId="5FF50385" w14:textId="77777777" w:rsidR="00E7649E" w:rsidRDefault="0009031B"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Declining </w:t>
            </w:r>
          </w:p>
          <w:p w14:paraId="4B0855CA" w14:textId="77777777" w:rsidR="00FB62F9" w:rsidRDefault="00FB62F9" w:rsidP="00500C88">
            <w:pPr>
              <w:spacing w:after="0" w:line="240" w:lineRule="auto"/>
              <w:rPr>
                <w:rFonts w:ascii="Calibri" w:eastAsia="Times New Roman" w:hAnsi="Calibri" w:cs="Calibri"/>
                <w:color w:val="000000"/>
                <w:sz w:val="16"/>
                <w:szCs w:val="16"/>
                <w:lang w:eastAsia="en-GB"/>
              </w:rPr>
            </w:pPr>
          </w:p>
          <w:p w14:paraId="13D06265" w14:textId="79C9C3D3" w:rsidR="00FB62F9" w:rsidRDefault="00FB62F9" w:rsidP="00500C88">
            <w:pPr>
              <w:spacing w:after="0" w:line="240" w:lineRule="auto"/>
              <w:rPr>
                <w:rFonts w:ascii="Calibri" w:eastAsia="Times New Roman" w:hAnsi="Calibri" w:cs="Calibri"/>
                <w:color w:val="000000"/>
                <w:sz w:val="16"/>
                <w:szCs w:val="16"/>
                <w:lang w:eastAsia="en-GB"/>
              </w:rPr>
            </w:pPr>
            <w:r w:rsidRPr="00FB62F9">
              <w:rPr>
                <w:rFonts w:ascii="Calibri" w:eastAsia="Times New Roman" w:hAnsi="Calibri" w:cs="Calibri"/>
                <w:color w:val="000000"/>
                <w:sz w:val="16"/>
                <w:szCs w:val="16"/>
                <w:lang w:eastAsia="en-GB"/>
              </w:rPr>
              <w:t>Bunker et al. (2019) report suggests an 56% decrease in seagrass area between 2012 and 2018.</w:t>
            </w:r>
          </w:p>
        </w:tc>
        <w:tc>
          <w:tcPr>
            <w:tcW w:w="870" w:type="dxa"/>
            <w:tcBorders>
              <w:top w:val="single" w:sz="4" w:space="0" w:color="auto"/>
              <w:left w:val="single" w:sz="4" w:space="0" w:color="auto"/>
              <w:bottom w:val="single" w:sz="4" w:space="0" w:color="auto"/>
              <w:right w:val="single" w:sz="4" w:space="0" w:color="auto"/>
            </w:tcBorders>
            <w:shd w:val="clear" w:color="auto" w:fill="FFA3A3"/>
            <w:vAlign w:val="center"/>
            <w:hideMark/>
          </w:tcPr>
          <w:p w14:paraId="3C5B6B4C" w14:textId="77777777" w:rsidR="00E7649E" w:rsidRDefault="00E7649E" w:rsidP="00500C88">
            <w:pPr>
              <w:spacing w:after="0" w:line="240" w:lineRule="auto"/>
              <w:jc w:val="center"/>
              <w:rPr>
                <w:rFonts w:ascii="Calibri" w:eastAsia="Times New Roman" w:hAnsi="Calibri" w:cs="Calibri"/>
                <w:b/>
                <w:bCs/>
                <w:color w:val="000000"/>
                <w:sz w:val="16"/>
                <w:szCs w:val="16"/>
                <w:lang w:eastAsia="en-GB"/>
              </w:rPr>
            </w:pPr>
            <w:r w:rsidRPr="00E34BAA">
              <w:rPr>
                <w:rFonts w:ascii="Calibri" w:eastAsia="Times New Roman" w:hAnsi="Calibri" w:cs="Calibri"/>
                <w:b/>
                <w:bCs/>
                <w:sz w:val="16"/>
                <w:szCs w:val="16"/>
                <w:lang w:eastAsia="en-GB"/>
              </w:rPr>
              <w:t>C            (4)</w:t>
            </w:r>
          </w:p>
        </w:tc>
      </w:tr>
      <w:tr w:rsidR="00E7649E" w14:paraId="5BA7B6EB" w14:textId="77777777" w:rsidTr="00500C88">
        <w:trPr>
          <w:trHeight w:val="300"/>
        </w:trPr>
        <w:tc>
          <w:tcPr>
            <w:tcW w:w="0" w:type="auto"/>
            <w:vMerge/>
            <w:tcBorders>
              <w:top w:val="nil"/>
              <w:left w:val="single" w:sz="8" w:space="0" w:color="auto"/>
              <w:bottom w:val="single" w:sz="8" w:space="0" w:color="000000"/>
              <w:right w:val="nil"/>
            </w:tcBorders>
            <w:vAlign w:val="center"/>
            <w:hideMark/>
          </w:tcPr>
          <w:p w14:paraId="42A37ABE" w14:textId="77777777" w:rsidR="00E7649E" w:rsidRDefault="00E7649E"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A8A743" w14:textId="77777777" w:rsidR="00E7649E" w:rsidRDefault="00E7649E"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57FD2" w14:textId="77777777" w:rsidR="00E7649E" w:rsidRDefault="00E7649E" w:rsidP="00500C88">
            <w:pPr>
              <w:spacing w:after="0"/>
              <w:rPr>
                <w:rFonts w:ascii="Calibri" w:eastAsia="Times New Roman" w:hAnsi="Calibri" w:cs="Calibri"/>
                <w:b/>
                <w:bCs/>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A563E5" w14:textId="77777777" w:rsidR="00E7649E" w:rsidRDefault="00E7649E" w:rsidP="00500C88">
            <w:pPr>
              <w:spacing w:after="0"/>
              <w:rPr>
                <w:rFonts w:ascii="Calibri" w:eastAsia="Times New Roman" w:hAnsi="Calibri" w:cs="Calibri"/>
                <w:color w:val="000000"/>
                <w:sz w:val="16"/>
                <w:szCs w:val="16"/>
                <w:lang w:eastAsia="en-GB"/>
              </w:rPr>
            </w:pPr>
          </w:p>
        </w:tc>
        <w:tc>
          <w:tcPr>
            <w:tcW w:w="6300" w:type="dxa"/>
            <w:gridSpan w:val="2"/>
            <w:tcBorders>
              <w:top w:val="single" w:sz="4" w:space="0" w:color="auto"/>
              <w:left w:val="nil"/>
              <w:bottom w:val="single" w:sz="4" w:space="0" w:color="auto"/>
              <w:right w:val="single" w:sz="4" w:space="0" w:color="auto"/>
            </w:tcBorders>
            <w:vAlign w:val="center"/>
            <w:hideMark/>
          </w:tcPr>
          <w:p w14:paraId="25F62268" w14:textId="77777777" w:rsidR="00E7649E" w:rsidRDefault="00E7649E"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 – last condition assessment 2018</w:t>
            </w:r>
          </w:p>
        </w:tc>
        <w:tc>
          <w:tcPr>
            <w:tcW w:w="1360" w:type="dxa"/>
            <w:tcBorders>
              <w:top w:val="nil"/>
              <w:left w:val="nil"/>
              <w:bottom w:val="single" w:sz="4" w:space="0" w:color="auto"/>
              <w:right w:val="single" w:sz="4" w:space="0" w:color="auto"/>
            </w:tcBorders>
            <w:vAlign w:val="center"/>
            <w:hideMark/>
          </w:tcPr>
          <w:p w14:paraId="6E92BDEE" w14:textId="77777777" w:rsidR="00E7649E" w:rsidRDefault="00E7649E"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0E8D3E9D" w14:textId="77777777" w:rsidR="00E7649E" w:rsidRDefault="00E7649E" w:rsidP="00500C88">
            <w:pPr>
              <w:rPr>
                <w:rFonts w:ascii="Calibri" w:eastAsia="Times New Roman" w:hAnsi="Calibri" w:cs="Calibri"/>
                <w:color w:val="000000"/>
                <w:sz w:val="16"/>
                <w:szCs w:val="16"/>
                <w:lang w:eastAsia="en-GB"/>
              </w:rPr>
            </w:pPr>
          </w:p>
        </w:tc>
      </w:tr>
      <w:tr w:rsidR="00E7649E" w14:paraId="391178B1" w14:textId="77777777" w:rsidTr="00500C88">
        <w:trPr>
          <w:trHeight w:val="315"/>
        </w:trPr>
        <w:tc>
          <w:tcPr>
            <w:tcW w:w="0" w:type="auto"/>
            <w:vMerge/>
            <w:tcBorders>
              <w:top w:val="nil"/>
              <w:left w:val="single" w:sz="8" w:space="0" w:color="auto"/>
              <w:bottom w:val="single" w:sz="8" w:space="0" w:color="000000"/>
              <w:right w:val="nil"/>
            </w:tcBorders>
            <w:vAlign w:val="center"/>
            <w:hideMark/>
          </w:tcPr>
          <w:p w14:paraId="4C2143D1" w14:textId="77777777" w:rsidR="00E7649E" w:rsidRDefault="00E7649E"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3378BA" w14:textId="77777777" w:rsidR="00E7649E" w:rsidRDefault="00E7649E"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B3C34" w14:textId="77777777" w:rsidR="00E7649E" w:rsidRDefault="00E7649E" w:rsidP="00500C88">
            <w:pPr>
              <w:spacing w:after="0"/>
              <w:rPr>
                <w:rFonts w:ascii="Calibri" w:eastAsia="Times New Roman" w:hAnsi="Calibri" w:cs="Calibri"/>
                <w:b/>
                <w:bCs/>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17F6B" w14:textId="77777777" w:rsidR="00E7649E" w:rsidRDefault="00E7649E" w:rsidP="00500C88">
            <w:pPr>
              <w:spacing w:after="0"/>
              <w:rPr>
                <w:rFonts w:ascii="Calibri" w:eastAsia="Times New Roman" w:hAnsi="Calibri" w:cs="Calibri"/>
                <w:color w:val="000000"/>
                <w:sz w:val="16"/>
                <w:szCs w:val="16"/>
                <w:lang w:eastAsia="en-GB"/>
              </w:rPr>
            </w:pPr>
          </w:p>
        </w:tc>
        <w:tc>
          <w:tcPr>
            <w:tcW w:w="6300" w:type="dxa"/>
            <w:gridSpan w:val="2"/>
            <w:tcBorders>
              <w:top w:val="single" w:sz="4" w:space="0" w:color="auto"/>
              <w:left w:val="nil"/>
              <w:bottom w:val="single" w:sz="4" w:space="0" w:color="auto"/>
              <w:right w:val="single" w:sz="4" w:space="0" w:color="auto"/>
            </w:tcBorders>
            <w:hideMark/>
          </w:tcPr>
          <w:p w14:paraId="51F1EE42" w14:textId="77777777" w:rsidR="00E7649E" w:rsidRDefault="00E7649E"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1360" w:type="dxa"/>
            <w:tcBorders>
              <w:top w:val="nil"/>
              <w:left w:val="nil"/>
              <w:bottom w:val="single" w:sz="4" w:space="0" w:color="auto"/>
              <w:right w:val="single" w:sz="4" w:space="0" w:color="auto"/>
            </w:tcBorders>
            <w:vAlign w:val="center"/>
            <w:hideMark/>
          </w:tcPr>
          <w:p w14:paraId="494E3145" w14:textId="77777777" w:rsidR="00E7649E" w:rsidRDefault="00E7649E"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4EEFE" w14:textId="77777777" w:rsidR="00E7649E" w:rsidRDefault="00E7649E" w:rsidP="00500C88">
            <w:pPr>
              <w:spacing w:after="0"/>
              <w:rPr>
                <w:rFonts w:ascii="Calibri" w:eastAsia="Times New Roman" w:hAnsi="Calibri" w:cs="Calibri"/>
                <w:color w:val="000000"/>
                <w:sz w:val="16"/>
                <w:szCs w:val="16"/>
                <w:lang w:eastAsia="en-GB"/>
              </w:rPr>
            </w:pPr>
          </w:p>
        </w:tc>
      </w:tr>
      <w:tr w:rsidR="00E7649E" w14:paraId="097CE5FC" w14:textId="77777777" w:rsidTr="00500C88">
        <w:trPr>
          <w:trHeight w:val="406"/>
        </w:trPr>
        <w:tc>
          <w:tcPr>
            <w:tcW w:w="0" w:type="auto"/>
            <w:vMerge/>
            <w:tcBorders>
              <w:top w:val="nil"/>
              <w:left w:val="single" w:sz="8" w:space="0" w:color="auto"/>
              <w:bottom w:val="single" w:sz="8" w:space="0" w:color="000000"/>
              <w:right w:val="nil"/>
            </w:tcBorders>
            <w:vAlign w:val="center"/>
            <w:hideMark/>
          </w:tcPr>
          <w:p w14:paraId="6E4FDFC9" w14:textId="77777777" w:rsidR="00E7649E" w:rsidRDefault="00E7649E" w:rsidP="00500C88">
            <w:pPr>
              <w:spacing w:after="0"/>
              <w:rPr>
                <w:rFonts w:ascii="Calibri" w:eastAsia="Times New Roman" w:hAnsi="Calibri" w:cs="Calibri"/>
                <w:color w:val="000000"/>
                <w:sz w:val="16"/>
                <w:szCs w:val="16"/>
                <w:lang w:eastAsia="en-GB"/>
              </w:rPr>
            </w:pPr>
          </w:p>
        </w:tc>
        <w:tc>
          <w:tcPr>
            <w:tcW w:w="973" w:type="dxa"/>
            <w:vMerge w:val="restart"/>
            <w:tcBorders>
              <w:top w:val="single" w:sz="4" w:space="0" w:color="auto"/>
              <w:left w:val="single" w:sz="4" w:space="0" w:color="auto"/>
              <w:bottom w:val="single" w:sz="4" w:space="0" w:color="auto"/>
              <w:right w:val="single" w:sz="4" w:space="0" w:color="auto"/>
            </w:tcBorders>
            <w:hideMark/>
          </w:tcPr>
          <w:p w14:paraId="094918C9" w14:textId="39868183" w:rsidR="00E7649E" w:rsidRDefault="00E7649E"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Subtidal Seagrass – </w:t>
            </w:r>
            <w:proofErr w:type="spellStart"/>
            <w:r>
              <w:rPr>
                <w:rFonts w:ascii="Calibri" w:eastAsia="Times New Roman" w:hAnsi="Calibri" w:cs="Calibri"/>
                <w:color w:val="000000"/>
                <w:sz w:val="16"/>
                <w:szCs w:val="16"/>
                <w:lang w:eastAsia="en-GB"/>
              </w:rPr>
              <w:t>Jennycliff</w:t>
            </w:r>
            <w:proofErr w:type="spellEnd"/>
            <w:r>
              <w:rPr>
                <w:rFonts w:ascii="Calibri" w:eastAsia="Times New Roman" w:hAnsi="Calibri" w:cs="Calibri"/>
                <w:color w:val="000000"/>
                <w:sz w:val="16"/>
                <w:szCs w:val="16"/>
                <w:lang w:eastAsia="en-GB"/>
              </w:rPr>
              <w:t xml:space="preserve"> South</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544886BF" w14:textId="77777777" w:rsidR="00E7649E" w:rsidRDefault="00E7649E"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 Food (Wild Food - fish and shellfish).    </w:t>
            </w:r>
          </w:p>
          <w:p w14:paraId="7D664245" w14:textId="77777777" w:rsidR="00E7649E" w:rsidRDefault="00E7649E"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 Healthy climate (carbon </w:t>
            </w:r>
            <w:r>
              <w:rPr>
                <w:rFonts w:ascii="Calibri" w:eastAsia="Times New Roman" w:hAnsi="Calibri" w:cs="Calibri"/>
                <w:b/>
                <w:bCs/>
                <w:color w:val="000000"/>
                <w:sz w:val="16"/>
                <w:szCs w:val="16"/>
                <w:lang w:eastAsia="en-GB"/>
              </w:rPr>
              <w:lastRenderedPageBreak/>
              <w:t>sequestration).         • Sea defence. (</w:t>
            </w:r>
            <w:proofErr w:type="gramStart"/>
            <w:r>
              <w:rPr>
                <w:rFonts w:ascii="Calibri" w:eastAsia="Times New Roman" w:hAnsi="Calibri" w:cs="Calibri"/>
                <w:b/>
                <w:bCs/>
                <w:color w:val="000000"/>
                <w:sz w:val="16"/>
                <w:szCs w:val="16"/>
                <w:lang w:eastAsia="en-GB"/>
              </w:rPr>
              <w:t>natural</w:t>
            </w:r>
            <w:proofErr w:type="gramEnd"/>
            <w:r>
              <w:rPr>
                <w:rFonts w:ascii="Calibri" w:eastAsia="Times New Roman" w:hAnsi="Calibri" w:cs="Calibri"/>
                <w:b/>
                <w:bCs/>
                <w:color w:val="000000"/>
                <w:sz w:val="16"/>
                <w:szCs w:val="16"/>
                <w:lang w:eastAsia="en-GB"/>
              </w:rPr>
              <w:t xml:space="preserve"> hazard regulation).               • Tourism/nature watching.                  • Clean water and sediments.</w:t>
            </w:r>
          </w:p>
        </w:tc>
        <w:tc>
          <w:tcPr>
            <w:tcW w:w="1545" w:type="dxa"/>
            <w:tcBorders>
              <w:top w:val="nil"/>
              <w:left w:val="nil"/>
              <w:bottom w:val="single" w:sz="4" w:space="0" w:color="auto"/>
              <w:right w:val="single" w:sz="4" w:space="0" w:color="auto"/>
            </w:tcBorders>
            <w:noWrap/>
            <w:hideMark/>
          </w:tcPr>
          <w:p w14:paraId="57095F0E" w14:textId="77777777" w:rsidR="00E7649E" w:rsidRDefault="00E7649E"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lastRenderedPageBreak/>
              <w:t>Quality/Condition</w:t>
            </w:r>
          </w:p>
        </w:tc>
        <w:tc>
          <w:tcPr>
            <w:tcW w:w="3587" w:type="dxa"/>
            <w:tcBorders>
              <w:top w:val="nil"/>
              <w:left w:val="nil"/>
              <w:bottom w:val="single" w:sz="4" w:space="0" w:color="auto"/>
              <w:right w:val="single" w:sz="4" w:space="0" w:color="auto"/>
            </w:tcBorders>
            <w:hideMark/>
          </w:tcPr>
          <w:p w14:paraId="1D907E05" w14:textId="22D77208" w:rsidR="00E7649E" w:rsidRDefault="00E7649E" w:rsidP="00500C88">
            <w:pPr>
              <w:spacing w:after="0" w:line="240" w:lineRule="auto"/>
              <w:rPr>
                <w:rFonts w:ascii="Calibri" w:eastAsia="Times New Roman" w:hAnsi="Calibri" w:cs="Calibri"/>
                <w:color w:val="000000"/>
                <w:sz w:val="16"/>
                <w:szCs w:val="16"/>
                <w:lang w:eastAsia="en-GB"/>
              </w:rPr>
            </w:pPr>
            <w:r w:rsidRPr="00AB4B8D">
              <w:rPr>
                <w:rFonts w:ascii="Calibri" w:eastAsia="Times New Roman" w:hAnsi="Calibri" w:cs="Calibri"/>
                <w:b/>
                <w:bCs/>
                <w:color w:val="000000"/>
                <w:sz w:val="16"/>
                <w:szCs w:val="16"/>
                <w:lang w:eastAsia="en-GB"/>
              </w:rPr>
              <w:t>NE Package</w:t>
            </w:r>
            <w:r>
              <w:rPr>
                <w:rFonts w:ascii="Calibri" w:eastAsia="Times New Roman" w:hAnsi="Calibri" w:cs="Calibri"/>
                <w:color w:val="000000"/>
                <w:sz w:val="16"/>
                <w:szCs w:val="16"/>
                <w:lang w:eastAsia="en-GB"/>
              </w:rPr>
              <w:t xml:space="preserve">: </w:t>
            </w:r>
            <w:r w:rsidR="00DB24E6" w:rsidRPr="00DB24E6">
              <w:rPr>
                <w:rFonts w:ascii="Calibri" w:eastAsia="Times New Roman" w:hAnsi="Calibri" w:cs="Calibri"/>
                <w:color w:val="000000"/>
                <w:sz w:val="16"/>
                <w:szCs w:val="16"/>
                <w:lang w:eastAsia="en-GB"/>
              </w:rPr>
              <w:t>Average % Seagrass Cover DDV decreased from 21 in 2012 to 14 in 2018.</w:t>
            </w:r>
          </w:p>
          <w:p w14:paraId="4B3F48CD" w14:textId="77777777" w:rsidR="00E7649E" w:rsidRDefault="00E7649E" w:rsidP="00500C88">
            <w:pPr>
              <w:spacing w:after="0" w:line="240" w:lineRule="auto"/>
              <w:rPr>
                <w:rFonts w:ascii="Calibri" w:eastAsia="Times New Roman" w:hAnsi="Calibri" w:cs="Calibri"/>
                <w:color w:val="000000"/>
                <w:sz w:val="16"/>
                <w:szCs w:val="16"/>
                <w:lang w:eastAsia="en-GB"/>
              </w:rPr>
            </w:pPr>
          </w:p>
          <w:p w14:paraId="55D8C925" w14:textId="467BA6C9" w:rsidR="00E7649E" w:rsidRDefault="00E7649E" w:rsidP="00500C88">
            <w:pPr>
              <w:spacing w:after="0" w:line="240" w:lineRule="auto"/>
              <w:rPr>
                <w:rFonts w:ascii="Calibri" w:eastAsia="Times New Roman" w:hAnsi="Calibri" w:cs="Calibri"/>
                <w:b/>
                <w:bCs/>
                <w:color w:val="000000"/>
                <w:sz w:val="16"/>
                <w:szCs w:val="16"/>
                <w:lang w:eastAsia="en-GB"/>
              </w:rPr>
            </w:pPr>
            <w:r w:rsidRPr="007A71B9">
              <w:rPr>
                <w:rFonts w:ascii="Calibri" w:eastAsia="Times New Roman" w:hAnsi="Calibri" w:cs="Calibri"/>
                <w:b/>
                <w:bCs/>
                <w:color w:val="000000"/>
                <w:sz w:val="16"/>
                <w:szCs w:val="16"/>
                <w:lang w:eastAsia="en-GB"/>
              </w:rPr>
              <w:t xml:space="preserve">LRC: </w:t>
            </w:r>
            <w:r w:rsidR="00110741" w:rsidRPr="00110741">
              <w:rPr>
                <w:rFonts w:ascii="Calibri" w:eastAsia="Times New Roman" w:hAnsi="Calibri" w:cs="Calibri"/>
                <w:color w:val="000000"/>
                <w:sz w:val="16"/>
                <w:szCs w:val="16"/>
                <w:lang w:eastAsia="en-GB"/>
              </w:rPr>
              <w:t>Score &gt; moderate.</w:t>
            </w:r>
          </w:p>
          <w:p w14:paraId="78A98720" w14:textId="77777777" w:rsidR="00E7649E" w:rsidRDefault="00E7649E" w:rsidP="00500C88">
            <w:pPr>
              <w:spacing w:after="0" w:line="240" w:lineRule="auto"/>
              <w:rPr>
                <w:rFonts w:ascii="Calibri" w:eastAsia="Times New Roman" w:hAnsi="Calibri" w:cs="Calibri"/>
                <w:color w:val="000000"/>
                <w:sz w:val="16"/>
                <w:szCs w:val="16"/>
                <w:lang w:eastAsia="en-GB"/>
              </w:rPr>
            </w:pPr>
          </w:p>
          <w:p w14:paraId="1AB1CC0A" w14:textId="77777777" w:rsidR="00E7649E" w:rsidRPr="001009AB" w:rsidRDefault="00E7649E" w:rsidP="00500C88">
            <w:pPr>
              <w:spacing w:after="0" w:line="240" w:lineRule="auto"/>
              <w:rPr>
                <w:rFonts w:ascii="Calibri" w:eastAsia="Times New Roman" w:hAnsi="Calibri" w:cs="Calibri"/>
                <w:b/>
                <w:bCs/>
                <w:color w:val="000000"/>
                <w:sz w:val="16"/>
                <w:szCs w:val="16"/>
                <w:lang w:eastAsia="en-GB"/>
              </w:rPr>
            </w:pPr>
            <w:r w:rsidRPr="001009AB">
              <w:rPr>
                <w:rFonts w:ascii="Calibri" w:eastAsia="Times New Roman" w:hAnsi="Calibri" w:cs="Calibri"/>
                <w:b/>
                <w:bCs/>
                <w:color w:val="000000"/>
                <w:sz w:val="16"/>
                <w:szCs w:val="16"/>
                <w:lang w:eastAsia="en-GB"/>
              </w:rPr>
              <w:lastRenderedPageBreak/>
              <w:t xml:space="preserve">Water Quality: </w:t>
            </w:r>
            <w:r w:rsidRPr="007D3203">
              <w:rPr>
                <w:rFonts w:ascii="Calibri" w:eastAsia="Times New Roman" w:hAnsi="Calibri" w:cs="Calibri"/>
                <w:color w:val="000000"/>
                <w:sz w:val="16"/>
                <w:szCs w:val="16"/>
                <w:lang w:eastAsia="en-GB"/>
              </w:rPr>
              <w:t>This seagrass bed is within the Plymouth Sound water body area. Water body fails to achieve good status due to levels of chemical contaminants and levels of DIN. Risk of eutrophication is supposedly low due to good-high status of phytoplankton and macroalgae.</w:t>
            </w:r>
          </w:p>
          <w:p w14:paraId="31ED6763" w14:textId="77777777" w:rsidR="00E7649E" w:rsidRDefault="00E7649E" w:rsidP="00500C88">
            <w:pPr>
              <w:spacing w:after="0" w:line="240" w:lineRule="auto"/>
              <w:rPr>
                <w:rFonts w:ascii="Calibri" w:eastAsia="Times New Roman" w:hAnsi="Calibri" w:cs="Calibri"/>
                <w:color w:val="000000"/>
                <w:sz w:val="16"/>
                <w:szCs w:val="16"/>
                <w:lang w:eastAsia="en-GB"/>
              </w:rPr>
            </w:pPr>
          </w:p>
          <w:p w14:paraId="7BA40CF0" w14:textId="77777777" w:rsidR="00E7649E" w:rsidRDefault="00E7649E" w:rsidP="00500C88">
            <w:pPr>
              <w:spacing w:after="0" w:line="240" w:lineRule="auto"/>
              <w:rPr>
                <w:rFonts w:ascii="Calibri" w:eastAsia="Times New Roman" w:hAnsi="Calibri" w:cs="Calibri"/>
                <w:color w:val="000000"/>
                <w:sz w:val="16"/>
                <w:szCs w:val="16"/>
                <w:lang w:eastAsia="en-GB"/>
              </w:rPr>
            </w:pPr>
          </w:p>
          <w:p w14:paraId="5F915A6E" w14:textId="77777777" w:rsidR="00E7649E" w:rsidRDefault="00E7649E" w:rsidP="00500C88">
            <w:pPr>
              <w:spacing w:after="0" w:line="240" w:lineRule="auto"/>
              <w:rPr>
                <w:rFonts w:ascii="Calibri" w:eastAsia="Times New Roman" w:hAnsi="Calibri" w:cs="Calibri"/>
                <w:color w:val="000000"/>
                <w:sz w:val="16"/>
                <w:szCs w:val="16"/>
                <w:lang w:eastAsia="en-GB"/>
              </w:rPr>
            </w:pPr>
          </w:p>
          <w:p w14:paraId="664728EB" w14:textId="77777777" w:rsidR="00E7649E" w:rsidRDefault="00E7649E" w:rsidP="00500C88">
            <w:pPr>
              <w:spacing w:after="0" w:line="240" w:lineRule="auto"/>
              <w:rPr>
                <w:rFonts w:ascii="Calibri" w:eastAsia="Times New Roman" w:hAnsi="Calibri" w:cs="Calibri"/>
                <w:color w:val="000000"/>
                <w:sz w:val="16"/>
                <w:szCs w:val="16"/>
                <w:lang w:eastAsia="en-GB"/>
              </w:rPr>
            </w:pPr>
          </w:p>
          <w:p w14:paraId="52F99BFB" w14:textId="77777777" w:rsidR="00E7649E" w:rsidRDefault="00E7649E" w:rsidP="00500C88">
            <w:pPr>
              <w:spacing w:after="0" w:line="240" w:lineRule="auto"/>
              <w:rPr>
                <w:rFonts w:ascii="Calibri" w:eastAsia="Times New Roman" w:hAnsi="Calibri" w:cs="Calibri"/>
                <w:color w:val="000000"/>
                <w:sz w:val="16"/>
                <w:szCs w:val="16"/>
                <w:lang w:eastAsia="en-GB"/>
              </w:rPr>
            </w:pPr>
          </w:p>
          <w:p w14:paraId="4CE1D981" w14:textId="77777777" w:rsidR="00E7649E" w:rsidRDefault="00E7649E" w:rsidP="00500C88">
            <w:pPr>
              <w:spacing w:after="0" w:line="240" w:lineRule="auto"/>
              <w:rPr>
                <w:rFonts w:ascii="Calibri" w:eastAsia="Times New Roman" w:hAnsi="Calibri" w:cs="Calibri"/>
                <w:color w:val="000000"/>
                <w:sz w:val="16"/>
                <w:szCs w:val="16"/>
                <w:lang w:eastAsia="en-GB"/>
              </w:rPr>
            </w:pPr>
          </w:p>
        </w:tc>
        <w:tc>
          <w:tcPr>
            <w:tcW w:w="2713" w:type="dxa"/>
            <w:tcBorders>
              <w:top w:val="nil"/>
              <w:left w:val="nil"/>
              <w:bottom w:val="single" w:sz="4" w:space="0" w:color="auto"/>
              <w:right w:val="single" w:sz="4" w:space="0" w:color="auto"/>
            </w:tcBorders>
            <w:hideMark/>
          </w:tcPr>
          <w:p w14:paraId="0F62043B" w14:textId="77777777" w:rsidR="00E7649E" w:rsidRDefault="00E7649E" w:rsidP="00500C88">
            <w:pP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lastRenderedPageBreak/>
              <w:t>MSFD: As above.</w:t>
            </w:r>
          </w:p>
          <w:p w14:paraId="3E490128" w14:textId="77777777" w:rsidR="00E7649E" w:rsidRDefault="00E7649E"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UK Marine Strategy: As above.</w:t>
            </w:r>
          </w:p>
          <w:p w14:paraId="11BE3E71" w14:textId="77777777" w:rsidR="00E7649E" w:rsidRDefault="00E7649E" w:rsidP="00500C88">
            <w:pPr>
              <w:spacing w:after="0" w:line="240" w:lineRule="auto"/>
              <w:rPr>
                <w:rFonts w:ascii="Calibri" w:eastAsia="Times New Roman" w:hAnsi="Calibri" w:cs="Calibri"/>
                <w:b/>
                <w:bCs/>
                <w:color w:val="000000"/>
                <w:sz w:val="16"/>
                <w:szCs w:val="16"/>
                <w:lang w:eastAsia="en-GB"/>
              </w:rPr>
            </w:pPr>
          </w:p>
          <w:p w14:paraId="4A6E1F89" w14:textId="77777777" w:rsidR="00E7649E" w:rsidRPr="00264AE0" w:rsidRDefault="00E7649E"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WFD: As above.</w:t>
            </w:r>
          </w:p>
        </w:tc>
        <w:tc>
          <w:tcPr>
            <w:tcW w:w="1360" w:type="dxa"/>
            <w:tcBorders>
              <w:top w:val="nil"/>
              <w:left w:val="nil"/>
              <w:bottom w:val="single" w:sz="4" w:space="0" w:color="auto"/>
              <w:right w:val="single" w:sz="4" w:space="0" w:color="auto"/>
            </w:tcBorders>
            <w:hideMark/>
          </w:tcPr>
          <w:p w14:paraId="55B06E85" w14:textId="77777777" w:rsidR="00C71EAB" w:rsidRDefault="00C71EAB"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Declining </w:t>
            </w:r>
          </w:p>
          <w:p w14:paraId="70D4BA44" w14:textId="77777777" w:rsidR="00C71EAB" w:rsidRDefault="00C71EAB" w:rsidP="00500C88">
            <w:pPr>
              <w:spacing w:after="0" w:line="240" w:lineRule="auto"/>
              <w:rPr>
                <w:rFonts w:ascii="Calibri" w:eastAsia="Times New Roman" w:hAnsi="Calibri" w:cs="Calibri"/>
                <w:color w:val="000000"/>
                <w:sz w:val="16"/>
                <w:szCs w:val="16"/>
                <w:lang w:eastAsia="en-GB"/>
              </w:rPr>
            </w:pPr>
          </w:p>
          <w:p w14:paraId="7DBCA43B" w14:textId="6C8CCE56" w:rsidR="00E7649E" w:rsidRDefault="00C71EAB" w:rsidP="00500C88">
            <w:pPr>
              <w:spacing w:after="0" w:line="240" w:lineRule="auto"/>
              <w:rPr>
                <w:rFonts w:ascii="Calibri" w:eastAsia="Times New Roman" w:hAnsi="Calibri" w:cs="Calibri"/>
                <w:color w:val="000000"/>
                <w:sz w:val="16"/>
                <w:szCs w:val="16"/>
                <w:lang w:eastAsia="en-GB"/>
              </w:rPr>
            </w:pPr>
            <w:r w:rsidRPr="00DB24E6">
              <w:rPr>
                <w:rFonts w:ascii="Calibri" w:eastAsia="Times New Roman" w:hAnsi="Calibri" w:cs="Calibri"/>
                <w:color w:val="000000"/>
                <w:sz w:val="16"/>
                <w:szCs w:val="16"/>
                <w:lang w:eastAsia="en-GB"/>
              </w:rPr>
              <w:t xml:space="preserve">Average % Seagrass Cover DDV decreased </w:t>
            </w:r>
            <w:r w:rsidRPr="00DB24E6">
              <w:rPr>
                <w:rFonts w:ascii="Calibri" w:eastAsia="Times New Roman" w:hAnsi="Calibri" w:cs="Calibri"/>
                <w:color w:val="000000"/>
                <w:sz w:val="16"/>
                <w:szCs w:val="16"/>
                <w:lang w:eastAsia="en-GB"/>
              </w:rPr>
              <w:lastRenderedPageBreak/>
              <w:t>from 21 in 2012 to 14 in 2018.</w:t>
            </w:r>
          </w:p>
        </w:tc>
        <w:tc>
          <w:tcPr>
            <w:tcW w:w="870" w:type="dxa"/>
            <w:tcBorders>
              <w:top w:val="single" w:sz="4" w:space="0" w:color="auto"/>
              <w:left w:val="single" w:sz="4" w:space="0" w:color="auto"/>
              <w:bottom w:val="single" w:sz="4" w:space="0" w:color="auto"/>
              <w:right w:val="single" w:sz="4" w:space="0" w:color="auto"/>
            </w:tcBorders>
            <w:shd w:val="clear" w:color="auto" w:fill="FFA3A3"/>
            <w:vAlign w:val="center"/>
            <w:hideMark/>
          </w:tcPr>
          <w:p w14:paraId="48F566FD" w14:textId="77777777" w:rsidR="00E7649E" w:rsidRDefault="00E7649E" w:rsidP="00500C88">
            <w:pPr>
              <w:spacing w:after="0" w:line="240" w:lineRule="auto"/>
              <w:jc w:val="center"/>
              <w:rPr>
                <w:rFonts w:ascii="Calibri" w:eastAsia="Times New Roman" w:hAnsi="Calibri" w:cs="Calibri"/>
                <w:b/>
                <w:bCs/>
                <w:color w:val="000000"/>
                <w:sz w:val="16"/>
                <w:szCs w:val="16"/>
                <w:lang w:eastAsia="en-GB"/>
              </w:rPr>
            </w:pPr>
            <w:r w:rsidRPr="00E34BAA">
              <w:rPr>
                <w:rFonts w:ascii="Calibri" w:eastAsia="Times New Roman" w:hAnsi="Calibri" w:cs="Calibri"/>
                <w:b/>
                <w:bCs/>
                <w:sz w:val="16"/>
                <w:szCs w:val="16"/>
                <w:lang w:eastAsia="en-GB"/>
              </w:rPr>
              <w:lastRenderedPageBreak/>
              <w:t>C             (4)</w:t>
            </w:r>
          </w:p>
        </w:tc>
      </w:tr>
      <w:tr w:rsidR="00E7649E" w14:paraId="21839A33" w14:textId="77777777" w:rsidTr="00500C88">
        <w:trPr>
          <w:trHeight w:val="210"/>
        </w:trPr>
        <w:tc>
          <w:tcPr>
            <w:tcW w:w="0" w:type="auto"/>
            <w:vMerge/>
            <w:tcBorders>
              <w:top w:val="nil"/>
              <w:left w:val="single" w:sz="8" w:space="0" w:color="auto"/>
              <w:bottom w:val="single" w:sz="8" w:space="0" w:color="000000"/>
              <w:right w:val="nil"/>
            </w:tcBorders>
            <w:vAlign w:val="center"/>
            <w:hideMark/>
          </w:tcPr>
          <w:p w14:paraId="178FA182" w14:textId="77777777" w:rsidR="00E7649E" w:rsidRDefault="00E7649E"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33AB19" w14:textId="77777777" w:rsidR="00E7649E" w:rsidRDefault="00E7649E"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37EB18" w14:textId="77777777" w:rsidR="00E7649E" w:rsidRDefault="00E7649E" w:rsidP="00500C88">
            <w:pPr>
              <w:spacing w:after="0"/>
              <w:rPr>
                <w:rFonts w:ascii="Calibri" w:eastAsia="Times New Roman" w:hAnsi="Calibri" w:cs="Calibri"/>
                <w:b/>
                <w:bCs/>
                <w:color w:val="000000"/>
                <w:sz w:val="16"/>
                <w:szCs w:val="16"/>
                <w:lang w:eastAsia="en-GB"/>
              </w:rPr>
            </w:pPr>
          </w:p>
        </w:tc>
        <w:tc>
          <w:tcPr>
            <w:tcW w:w="1545" w:type="dxa"/>
            <w:tcBorders>
              <w:top w:val="nil"/>
              <w:left w:val="nil"/>
              <w:bottom w:val="single" w:sz="4" w:space="0" w:color="auto"/>
              <w:right w:val="single" w:sz="4" w:space="0" w:color="auto"/>
            </w:tcBorders>
            <w:noWrap/>
            <w:hideMark/>
          </w:tcPr>
          <w:p w14:paraId="2D42F23A" w14:textId="77777777" w:rsidR="00E7649E" w:rsidRDefault="00E7649E"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6300" w:type="dxa"/>
            <w:gridSpan w:val="2"/>
            <w:tcBorders>
              <w:top w:val="single" w:sz="4" w:space="0" w:color="auto"/>
              <w:left w:val="nil"/>
              <w:bottom w:val="single" w:sz="4" w:space="0" w:color="auto"/>
              <w:right w:val="single" w:sz="4" w:space="0" w:color="auto"/>
            </w:tcBorders>
            <w:vAlign w:val="center"/>
            <w:hideMark/>
          </w:tcPr>
          <w:p w14:paraId="7C53743B" w14:textId="77777777" w:rsidR="00E7649E" w:rsidRDefault="00E7649E"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 – last condition assessment 2018</w:t>
            </w:r>
          </w:p>
        </w:tc>
        <w:tc>
          <w:tcPr>
            <w:tcW w:w="1360" w:type="dxa"/>
            <w:tcBorders>
              <w:top w:val="nil"/>
              <w:left w:val="nil"/>
              <w:bottom w:val="single" w:sz="4" w:space="0" w:color="auto"/>
              <w:right w:val="single" w:sz="4" w:space="0" w:color="auto"/>
            </w:tcBorders>
            <w:vAlign w:val="center"/>
            <w:hideMark/>
          </w:tcPr>
          <w:p w14:paraId="289F017B" w14:textId="77777777" w:rsidR="00E7649E" w:rsidRDefault="00E7649E"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w:t>
            </w:r>
          </w:p>
        </w:tc>
        <w:tc>
          <w:tcPr>
            <w:tcW w:w="870" w:type="dxa"/>
            <w:vMerge w:val="restart"/>
            <w:tcBorders>
              <w:top w:val="nil"/>
              <w:left w:val="single" w:sz="4" w:space="0" w:color="auto"/>
              <w:bottom w:val="single" w:sz="4" w:space="0" w:color="auto"/>
              <w:right w:val="single" w:sz="4" w:space="0" w:color="auto"/>
            </w:tcBorders>
            <w:vAlign w:val="center"/>
            <w:hideMark/>
          </w:tcPr>
          <w:p w14:paraId="7708A3DF" w14:textId="77777777" w:rsidR="00E7649E" w:rsidRDefault="00E7649E" w:rsidP="00500C88">
            <w:pPr>
              <w:rPr>
                <w:rFonts w:ascii="Calibri" w:eastAsia="Times New Roman" w:hAnsi="Calibri" w:cs="Calibri"/>
                <w:color w:val="000000"/>
                <w:sz w:val="16"/>
                <w:szCs w:val="16"/>
                <w:lang w:eastAsia="en-GB"/>
              </w:rPr>
            </w:pPr>
          </w:p>
        </w:tc>
      </w:tr>
      <w:tr w:rsidR="00E7649E" w14:paraId="71FD24A5" w14:textId="77777777" w:rsidTr="00500C88">
        <w:trPr>
          <w:trHeight w:val="270"/>
        </w:trPr>
        <w:tc>
          <w:tcPr>
            <w:tcW w:w="0" w:type="auto"/>
            <w:vMerge/>
            <w:tcBorders>
              <w:top w:val="nil"/>
              <w:left w:val="single" w:sz="8" w:space="0" w:color="auto"/>
              <w:bottom w:val="single" w:sz="8" w:space="0" w:color="000000"/>
              <w:right w:val="nil"/>
            </w:tcBorders>
            <w:vAlign w:val="center"/>
            <w:hideMark/>
          </w:tcPr>
          <w:p w14:paraId="50BF577D" w14:textId="77777777" w:rsidR="00E7649E" w:rsidRDefault="00E7649E"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C42C1" w14:textId="77777777" w:rsidR="00E7649E" w:rsidRDefault="00E7649E"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E9D8FB" w14:textId="77777777" w:rsidR="00E7649E" w:rsidRDefault="00E7649E" w:rsidP="00500C88">
            <w:pPr>
              <w:spacing w:after="0"/>
              <w:rPr>
                <w:rFonts w:ascii="Calibri" w:eastAsia="Times New Roman" w:hAnsi="Calibri" w:cs="Calibri"/>
                <w:b/>
                <w:bCs/>
                <w:color w:val="000000"/>
                <w:sz w:val="16"/>
                <w:szCs w:val="16"/>
                <w:lang w:eastAsia="en-GB"/>
              </w:rPr>
            </w:pPr>
          </w:p>
        </w:tc>
        <w:tc>
          <w:tcPr>
            <w:tcW w:w="1545" w:type="dxa"/>
            <w:tcBorders>
              <w:top w:val="nil"/>
              <w:left w:val="nil"/>
              <w:bottom w:val="single" w:sz="4" w:space="0" w:color="auto"/>
              <w:right w:val="single" w:sz="4" w:space="0" w:color="auto"/>
            </w:tcBorders>
            <w:noWrap/>
            <w:hideMark/>
          </w:tcPr>
          <w:p w14:paraId="3835DA1E" w14:textId="77777777" w:rsidR="00E7649E" w:rsidRDefault="00E7649E"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6300" w:type="dxa"/>
            <w:gridSpan w:val="2"/>
            <w:tcBorders>
              <w:top w:val="single" w:sz="4" w:space="0" w:color="auto"/>
              <w:left w:val="nil"/>
              <w:bottom w:val="single" w:sz="4" w:space="0" w:color="auto"/>
              <w:right w:val="single" w:sz="4" w:space="0" w:color="auto"/>
            </w:tcBorders>
            <w:vAlign w:val="center"/>
            <w:hideMark/>
          </w:tcPr>
          <w:p w14:paraId="04FD8EF0" w14:textId="77777777" w:rsidR="00E7649E" w:rsidRDefault="00E7649E"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1360" w:type="dxa"/>
            <w:tcBorders>
              <w:top w:val="nil"/>
              <w:left w:val="nil"/>
              <w:bottom w:val="single" w:sz="4" w:space="0" w:color="auto"/>
              <w:right w:val="single" w:sz="4" w:space="0" w:color="auto"/>
            </w:tcBorders>
            <w:vAlign w:val="center"/>
            <w:hideMark/>
          </w:tcPr>
          <w:p w14:paraId="0E613F18" w14:textId="77777777" w:rsidR="00E7649E" w:rsidRDefault="00E7649E"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0" w:type="auto"/>
            <w:vMerge/>
            <w:tcBorders>
              <w:top w:val="nil"/>
              <w:left w:val="single" w:sz="4" w:space="0" w:color="auto"/>
              <w:bottom w:val="single" w:sz="4" w:space="0" w:color="auto"/>
              <w:right w:val="single" w:sz="4" w:space="0" w:color="auto"/>
            </w:tcBorders>
            <w:vAlign w:val="center"/>
            <w:hideMark/>
          </w:tcPr>
          <w:p w14:paraId="43BE2E25" w14:textId="77777777" w:rsidR="00E7649E" w:rsidRDefault="00E7649E" w:rsidP="00500C88">
            <w:pPr>
              <w:spacing w:after="0"/>
              <w:rPr>
                <w:rFonts w:ascii="Calibri" w:eastAsia="Times New Roman" w:hAnsi="Calibri" w:cs="Calibri"/>
                <w:color w:val="000000"/>
                <w:sz w:val="16"/>
                <w:szCs w:val="16"/>
                <w:lang w:eastAsia="en-GB"/>
              </w:rPr>
            </w:pPr>
          </w:p>
        </w:tc>
      </w:tr>
      <w:tr w:rsidR="00E7649E" w14:paraId="7860668C" w14:textId="77777777" w:rsidTr="00500C88">
        <w:trPr>
          <w:trHeight w:val="2018"/>
        </w:trPr>
        <w:tc>
          <w:tcPr>
            <w:tcW w:w="0" w:type="auto"/>
            <w:vMerge/>
            <w:tcBorders>
              <w:top w:val="nil"/>
              <w:left w:val="single" w:sz="8" w:space="0" w:color="auto"/>
              <w:bottom w:val="single" w:sz="8" w:space="0" w:color="000000"/>
              <w:right w:val="nil"/>
            </w:tcBorders>
            <w:vAlign w:val="center"/>
            <w:hideMark/>
          </w:tcPr>
          <w:p w14:paraId="1773BAAA" w14:textId="77777777" w:rsidR="00E7649E" w:rsidRDefault="00E7649E" w:rsidP="00500C88">
            <w:pPr>
              <w:spacing w:after="0"/>
              <w:rPr>
                <w:rFonts w:ascii="Calibri" w:eastAsia="Times New Roman" w:hAnsi="Calibri" w:cs="Calibri"/>
                <w:color w:val="000000"/>
                <w:sz w:val="16"/>
                <w:szCs w:val="16"/>
                <w:lang w:eastAsia="en-GB"/>
              </w:rPr>
            </w:pPr>
          </w:p>
        </w:tc>
        <w:tc>
          <w:tcPr>
            <w:tcW w:w="973" w:type="dxa"/>
            <w:vMerge w:val="restart"/>
            <w:tcBorders>
              <w:top w:val="single" w:sz="4" w:space="0" w:color="auto"/>
              <w:left w:val="single" w:sz="4" w:space="0" w:color="auto"/>
              <w:bottom w:val="single" w:sz="4" w:space="0" w:color="auto"/>
              <w:right w:val="single" w:sz="4" w:space="0" w:color="auto"/>
            </w:tcBorders>
            <w:hideMark/>
          </w:tcPr>
          <w:p w14:paraId="4DCCD4D0" w14:textId="3CF44E4B" w:rsidR="00E7649E" w:rsidRDefault="00E7649E"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Subtidal Seagrass – </w:t>
            </w:r>
            <w:proofErr w:type="spellStart"/>
            <w:r>
              <w:rPr>
                <w:rFonts w:ascii="Calibri" w:eastAsia="Times New Roman" w:hAnsi="Calibri" w:cs="Calibri"/>
                <w:color w:val="000000"/>
                <w:sz w:val="16"/>
                <w:szCs w:val="16"/>
                <w:lang w:eastAsia="en-GB"/>
              </w:rPr>
              <w:t>Jennycliff</w:t>
            </w:r>
            <w:proofErr w:type="spellEnd"/>
            <w:r>
              <w:rPr>
                <w:rFonts w:ascii="Calibri" w:eastAsia="Times New Roman" w:hAnsi="Calibri" w:cs="Calibri"/>
                <w:color w:val="000000"/>
                <w:sz w:val="16"/>
                <w:szCs w:val="16"/>
                <w:lang w:eastAsia="en-GB"/>
              </w:rPr>
              <w:t xml:space="preserve"> South</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460D0D39" w14:textId="77777777" w:rsidR="00E7649E" w:rsidRDefault="00E7649E"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 Food (Wild Food - fish and shellfish).    </w:t>
            </w:r>
          </w:p>
          <w:p w14:paraId="7DC11F7E" w14:textId="77777777" w:rsidR="00E7649E" w:rsidRDefault="00E7649E"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Healthy climate (carbon sequestration).         • Sea defence. (</w:t>
            </w:r>
            <w:proofErr w:type="gramStart"/>
            <w:r>
              <w:rPr>
                <w:rFonts w:ascii="Calibri" w:eastAsia="Times New Roman" w:hAnsi="Calibri" w:cs="Calibri"/>
                <w:b/>
                <w:bCs/>
                <w:color w:val="000000"/>
                <w:sz w:val="16"/>
                <w:szCs w:val="16"/>
                <w:lang w:eastAsia="en-GB"/>
              </w:rPr>
              <w:t>natural</w:t>
            </w:r>
            <w:proofErr w:type="gramEnd"/>
            <w:r>
              <w:rPr>
                <w:rFonts w:ascii="Calibri" w:eastAsia="Times New Roman" w:hAnsi="Calibri" w:cs="Calibri"/>
                <w:b/>
                <w:bCs/>
                <w:color w:val="000000"/>
                <w:sz w:val="16"/>
                <w:szCs w:val="16"/>
                <w:lang w:eastAsia="en-GB"/>
              </w:rPr>
              <w:t xml:space="preserve"> hazard regulation).               • Tourism/nature watching.                  • Clean water and sediments.</w:t>
            </w:r>
          </w:p>
        </w:tc>
        <w:tc>
          <w:tcPr>
            <w:tcW w:w="1545" w:type="dxa"/>
            <w:vMerge w:val="restart"/>
            <w:tcBorders>
              <w:top w:val="single" w:sz="4" w:space="0" w:color="auto"/>
              <w:left w:val="single" w:sz="4" w:space="0" w:color="auto"/>
              <w:bottom w:val="single" w:sz="8" w:space="0" w:color="auto"/>
              <w:right w:val="single" w:sz="4" w:space="0" w:color="auto"/>
            </w:tcBorders>
            <w:noWrap/>
            <w:hideMark/>
          </w:tcPr>
          <w:p w14:paraId="74E2122A" w14:textId="77777777" w:rsidR="00E7649E" w:rsidRDefault="00E7649E"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Spatial configuration</w:t>
            </w:r>
          </w:p>
        </w:tc>
        <w:tc>
          <w:tcPr>
            <w:tcW w:w="3587" w:type="dxa"/>
            <w:tcBorders>
              <w:top w:val="single" w:sz="4" w:space="0" w:color="auto"/>
              <w:left w:val="nil"/>
              <w:bottom w:val="single" w:sz="4" w:space="0" w:color="auto"/>
              <w:right w:val="single" w:sz="4" w:space="0" w:color="auto"/>
            </w:tcBorders>
            <w:hideMark/>
          </w:tcPr>
          <w:p w14:paraId="148673F6" w14:textId="77777777" w:rsidR="00C71EAB" w:rsidRPr="00D81799" w:rsidRDefault="00C71EAB" w:rsidP="00C71EAB">
            <w:pPr>
              <w:spacing w:after="0" w:line="240" w:lineRule="auto"/>
              <w:rPr>
                <w:rFonts w:ascii="Calibri" w:eastAsia="Times New Roman" w:hAnsi="Calibri" w:cs="Calibri"/>
                <w:color w:val="000000"/>
                <w:sz w:val="16"/>
                <w:szCs w:val="16"/>
                <w:lang w:eastAsia="en-GB"/>
              </w:rPr>
            </w:pPr>
            <w:r w:rsidRPr="00BA66F3">
              <w:rPr>
                <w:rFonts w:ascii="Calibri" w:eastAsia="Times New Roman" w:hAnsi="Calibri" w:cs="Calibri"/>
                <w:b/>
                <w:bCs/>
                <w:color w:val="000000"/>
                <w:sz w:val="16"/>
                <w:szCs w:val="16"/>
                <w:lang w:eastAsia="en-GB"/>
              </w:rPr>
              <w:t>Composite mapping</w:t>
            </w:r>
            <w:r>
              <w:rPr>
                <w:rFonts w:ascii="Calibri" w:eastAsia="Times New Roman" w:hAnsi="Calibri" w:cs="Calibri"/>
                <w:color w:val="000000"/>
                <w:sz w:val="16"/>
                <w:szCs w:val="16"/>
                <w:lang w:eastAsia="en-GB"/>
              </w:rPr>
              <w:t xml:space="preserve">: </w:t>
            </w:r>
            <w:r w:rsidRPr="00781C8A">
              <w:rPr>
                <w:rFonts w:ascii="Calibri" w:eastAsia="Times New Roman" w:hAnsi="Calibri" w:cs="Calibri"/>
                <w:color w:val="000000"/>
                <w:sz w:val="16"/>
                <w:szCs w:val="16"/>
                <w:lang w:eastAsia="en-GB"/>
              </w:rPr>
              <w:t xml:space="preserve">Composite mapping shows the seagrass bed at </w:t>
            </w:r>
            <w:proofErr w:type="spellStart"/>
            <w:r w:rsidRPr="00781C8A">
              <w:rPr>
                <w:rFonts w:ascii="Calibri" w:eastAsia="Times New Roman" w:hAnsi="Calibri" w:cs="Calibri"/>
                <w:color w:val="000000"/>
                <w:sz w:val="16"/>
                <w:szCs w:val="16"/>
                <w:lang w:eastAsia="en-GB"/>
              </w:rPr>
              <w:t>Jennycliff</w:t>
            </w:r>
            <w:proofErr w:type="spellEnd"/>
            <w:r w:rsidRPr="00781C8A">
              <w:rPr>
                <w:rFonts w:ascii="Calibri" w:eastAsia="Times New Roman" w:hAnsi="Calibri" w:cs="Calibri"/>
                <w:color w:val="000000"/>
                <w:sz w:val="16"/>
                <w:szCs w:val="16"/>
                <w:lang w:eastAsia="en-GB"/>
              </w:rPr>
              <w:t xml:space="preserve"> </w:t>
            </w:r>
            <w:r>
              <w:rPr>
                <w:rFonts w:ascii="Calibri" w:eastAsia="Times New Roman" w:hAnsi="Calibri" w:cs="Calibri"/>
                <w:color w:val="000000"/>
                <w:sz w:val="16"/>
                <w:szCs w:val="16"/>
                <w:lang w:eastAsia="en-GB"/>
              </w:rPr>
              <w:t>South</w:t>
            </w:r>
            <w:r w:rsidRPr="00781C8A">
              <w:rPr>
                <w:rFonts w:ascii="Calibri" w:eastAsia="Times New Roman" w:hAnsi="Calibri" w:cs="Calibri"/>
                <w:color w:val="000000"/>
                <w:sz w:val="16"/>
                <w:szCs w:val="16"/>
                <w:lang w:eastAsia="en-GB"/>
              </w:rPr>
              <w:t xml:space="preserve"> to have an area of </w:t>
            </w:r>
            <w:r>
              <w:rPr>
                <w:rFonts w:ascii="Calibri" w:eastAsia="Times New Roman" w:hAnsi="Calibri" w:cs="Calibri"/>
                <w:color w:val="000000"/>
                <w:sz w:val="16"/>
                <w:szCs w:val="16"/>
                <w:lang w:eastAsia="en-GB"/>
              </w:rPr>
              <w:t>0.015</w:t>
            </w:r>
            <w:r w:rsidRPr="00781C8A">
              <w:rPr>
                <w:rFonts w:ascii="Calibri" w:eastAsia="Times New Roman" w:hAnsi="Calibri" w:cs="Calibri"/>
                <w:color w:val="000000"/>
                <w:sz w:val="16"/>
                <w:szCs w:val="16"/>
                <w:lang w:eastAsia="en-GB"/>
              </w:rPr>
              <w:t xml:space="preserve"> </w:t>
            </w:r>
            <w:r>
              <w:rPr>
                <w:rFonts w:ascii="Calibri" w:eastAsia="Times New Roman" w:hAnsi="Calibri" w:cs="Calibri"/>
                <w:color w:val="000000"/>
                <w:sz w:val="16"/>
                <w:szCs w:val="16"/>
                <w:lang w:eastAsia="en-GB"/>
              </w:rPr>
              <w:t>k</w:t>
            </w:r>
            <w:r w:rsidRPr="00781C8A">
              <w:rPr>
                <w:rFonts w:ascii="Calibri" w:eastAsia="Times New Roman" w:hAnsi="Calibri" w:cs="Calibri"/>
                <w:color w:val="000000"/>
                <w:sz w:val="16"/>
                <w:szCs w:val="16"/>
                <w:lang w:eastAsia="en-GB"/>
              </w:rPr>
              <w:t>m</w:t>
            </w:r>
            <w:r w:rsidRPr="00E67805">
              <w:rPr>
                <w:rFonts w:ascii="Calibri" w:eastAsia="Times New Roman" w:hAnsi="Calibri" w:cs="Calibri"/>
                <w:color w:val="000000"/>
                <w:sz w:val="16"/>
                <w:szCs w:val="16"/>
                <w:vertAlign w:val="superscript"/>
                <w:lang w:eastAsia="en-GB"/>
              </w:rPr>
              <w:t>2</w:t>
            </w:r>
            <w:r w:rsidRPr="00781C8A">
              <w:rPr>
                <w:rFonts w:ascii="Calibri" w:eastAsia="Times New Roman" w:hAnsi="Calibri" w:cs="Calibri"/>
                <w:color w:val="000000"/>
                <w:sz w:val="16"/>
                <w:szCs w:val="16"/>
                <w:lang w:eastAsia="en-GB"/>
              </w:rPr>
              <w:t>.</w:t>
            </w:r>
          </w:p>
          <w:p w14:paraId="051B6E8D" w14:textId="77777777" w:rsidR="00C71EAB" w:rsidRDefault="00C71EAB" w:rsidP="00C71EAB">
            <w:pPr>
              <w:spacing w:after="0" w:line="240" w:lineRule="auto"/>
              <w:rPr>
                <w:rFonts w:ascii="Calibri" w:eastAsia="Times New Roman" w:hAnsi="Calibri" w:cs="Calibri"/>
                <w:color w:val="000000"/>
                <w:sz w:val="16"/>
                <w:szCs w:val="16"/>
                <w:lang w:eastAsia="en-GB"/>
              </w:rPr>
            </w:pPr>
          </w:p>
          <w:p w14:paraId="086CCF76" w14:textId="77777777" w:rsidR="00C71EAB" w:rsidRPr="000421E1" w:rsidRDefault="00C71EAB" w:rsidP="00C71EAB">
            <w:pPr>
              <w:spacing w:after="0" w:line="240" w:lineRule="auto"/>
              <w:rPr>
                <w:color w:val="000000" w:themeColor="text1"/>
                <w:sz w:val="18"/>
                <w:szCs w:val="18"/>
              </w:rPr>
            </w:pPr>
            <w:r w:rsidRPr="009D42EA">
              <w:rPr>
                <w:rFonts w:ascii="Calibri" w:eastAsia="Times New Roman" w:hAnsi="Calibri" w:cs="Calibri"/>
                <w:b/>
                <w:bCs/>
                <w:color w:val="000000"/>
                <w:sz w:val="16"/>
                <w:szCs w:val="16"/>
                <w:lang w:eastAsia="en-GB"/>
              </w:rPr>
              <w:t>NE Package:</w:t>
            </w:r>
            <w:r>
              <w:rPr>
                <w:rFonts w:ascii="Calibri" w:eastAsia="Times New Roman" w:hAnsi="Calibri" w:cs="Calibri"/>
                <w:b/>
                <w:bCs/>
                <w:color w:val="000000"/>
                <w:sz w:val="16"/>
                <w:szCs w:val="16"/>
                <w:lang w:eastAsia="en-GB"/>
              </w:rPr>
              <w:t xml:space="preserve"> </w:t>
            </w:r>
            <w:r w:rsidRPr="0009031B">
              <w:rPr>
                <w:rFonts w:ascii="Calibri" w:eastAsia="Times New Roman" w:hAnsi="Calibri" w:cs="Calibri"/>
                <w:color w:val="000000"/>
                <w:sz w:val="16"/>
                <w:szCs w:val="16"/>
                <w:lang w:eastAsia="en-GB"/>
              </w:rPr>
              <w:t>The Bunker et al (2019) report estimated a decrease in seagrass area from 14,378 m</w:t>
            </w:r>
            <w:r w:rsidRPr="008D30E2">
              <w:rPr>
                <w:rFonts w:ascii="Calibri" w:eastAsia="Times New Roman" w:hAnsi="Calibri" w:cs="Calibri"/>
                <w:color w:val="000000"/>
                <w:sz w:val="16"/>
                <w:szCs w:val="16"/>
                <w:vertAlign w:val="superscript"/>
                <w:lang w:eastAsia="en-GB"/>
              </w:rPr>
              <w:t>2</w:t>
            </w:r>
            <w:r w:rsidRPr="0009031B">
              <w:rPr>
                <w:rFonts w:ascii="Calibri" w:eastAsia="Times New Roman" w:hAnsi="Calibri" w:cs="Calibri"/>
                <w:color w:val="000000"/>
                <w:sz w:val="16"/>
                <w:szCs w:val="16"/>
                <w:lang w:eastAsia="en-GB"/>
              </w:rPr>
              <w:t xml:space="preserve"> to 6,327 m</w:t>
            </w:r>
            <w:r w:rsidRPr="008D30E2">
              <w:rPr>
                <w:rFonts w:ascii="Calibri" w:eastAsia="Times New Roman" w:hAnsi="Calibri" w:cs="Calibri"/>
                <w:color w:val="000000"/>
                <w:sz w:val="16"/>
                <w:szCs w:val="16"/>
                <w:vertAlign w:val="superscript"/>
                <w:lang w:eastAsia="en-GB"/>
              </w:rPr>
              <w:t>2</w:t>
            </w:r>
            <w:r w:rsidRPr="0009031B">
              <w:rPr>
                <w:rFonts w:ascii="Calibri" w:eastAsia="Times New Roman" w:hAnsi="Calibri" w:cs="Calibri"/>
                <w:color w:val="000000"/>
                <w:sz w:val="16"/>
                <w:szCs w:val="16"/>
                <w:lang w:eastAsia="en-GB"/>
              </w:rPr>
              <w:t xml:space="preserve"> between 2012 and 2018 at </w:t>
            </w:r>
            <w:proofErr w:type="spellStart"/>
            <w:r>
              <w:rPr>
                <w:rFonts w:ascii="Calibri" w:eastAsia="Times New Roman" w:hAnsi="Calibri" w:cs="Calibri"/>
                <w:color w:val="000000"/>
                <w:sz w:val="16"/>
                <w:szCs w:val="16"/>
                <w:lang w:eastAsia="en-GB"/>
              </w:rPr>
              <w:t>Jennycliff</w:t>
            </w:r>
            <w:proofErr w:type="spellEnd"/>
            <w:r>
              <w:rPr>
                <w:rFonts w:ascii="Calibri" w:eastAsia="Times New Roman" w:hAnsi="Calibri" w:cs="Calibri"/>
                <w:color w:val="000000"/>
                <w:sz w:val="16"/>
                <w:szCs w:val="16"/>
                <w:lang w:eastAsia="en-GB"/>
              </w:rPr>
              <w:t xml:space="preserve"> South</w:t>
            </w:r>
            <w:r w:rsidRPr="0009031B">
              <w:rPr>
                <w:rFonts w:ascii="Calibri" w:eastAsia="Times New Roman" w:hAnsi="Calibri" w:cs="Calibri"/>
                <w:color w:val="000000"/>
                <w:sz w:val="16"/>
                <w:szCs w:val="16"/>
                <w:lang w:eastAsia="en-GB"/>
              </w:rPr>
              <w:t>. Equivalent to an 56% decrease in area.</w:t>
            </w:r>
          </w:p>
          <w:p w14:paraId="04A85513" w14:textId="77777777" w:rsidR="00E7649E" w:rsidRDefault="00E7649E" w:rsidP="00C71EAB">
            <w:pPr>
              <w:spacing w:after="0" w:line="240" w:lineRule="auto"/>
              <w:rPr>
                <w:rFonts w:ascii="Calibri" w:eastAsia="Times New Roman" w:hAnsi="Calibri" w:cs="Calibri"/>
                <w:color w:val="000000"/>
                <w:sz w:val="16"/>
                <w:szCs w:val="16"/>
                <w:lang w:eastAsia="en-GB"/>
              </w:rPr>
            </w:pPr>
          </w:p>
        </w:tc>
        <w:tc>
          <w:tcPr>
            <w:tcW w:w="2713" w:type="dxa"/>
            <w:tcBorders>
              <w:top w:val="single" w:sz="4" w:space="0" w:color="auto"/>
              <w:left w:val="nil"/>
              <w:bottom w:val="single" w:sz="4" w:space="0" w:color="auto"/>
              <w:right w:val="single" w:sz="4" w:space="0" w:color="auto"/>
            </w:tcBorders>
            <w:hideMark/>
          </w:tcPr>
          <w:p w14:paraId="48D47F23" w14:textId="77777777" w:rsidR="00E7649E" w:rsidRDefault="00E7649E"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As for extent. </w:t>
            </w:r>
          </w:p>
        </w:tc>
        <w:tc>
          <w:tcPr>
            <w:tcW w:w="1360" w:type="dxa"/>
            <w:tcBorders>
              <w:top w:val="single" w:sz="4" w:space="0" w:color="auto"/>
              <w:left w:val="nil"/>
              <w:bottom w:val="single" w:sz="4" w:space="0" w:color="auto"/>
              <w:right w:val="single" w:sz="4" w:space="0" w:color="auto"/>
            </w:tcBorders>
            <w:noWrap/>
            <w:hideMark/>
          </w:tcPr>
          <w:p w14:paraId="070311D0" w14:textId="77777777" w:rsidR="009D59F8" w:rsidRDefault="009D59F8" w:rsidP="009D59F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Declining </w:t>
            </w:r>
          </w:p>
          <w:p w14:paraId="1BCF0E24" w14:textId="77777777" w:rsidR="009D59F8" w:rsidRDefault="009D59F8" w:rsidP="009D59F8">
            <w:pPr>
              <w:spacing w:after="0" w:line="240" w:lineRule="auto"/>
              <w:rPr>
                <w:rFonts w:ascii="Calibri" w:eastAsia="Times New Roman" w:hAnsi="Calibri" w:cs="Calibri"/>
                <w:color w:val="000000"/>
                <w:sz w:val="16"/>
                <w:szCs w:val="16"/>
                <w:lang w:eastAsia="en-GB"/>
              </w:rPr>
            </w:pPr>
          </w:p>
          <w:p w14:paraId="1B1E3543" w14:textId="715E29AE" w:rsidR="00E7649E" w:rsidRDefault="009D59F8" w:rsidP="009D59F8">
            <w:pPr>
              <w:spacing w:after="0" w:line="240" w:lineRule="auto"/>
              <w:rPr>
                <w:rFonts w:ascii="Calibri" w:eastAsia="Times New Roman" w:hAnsi="Calibri" w:cs="Calibri"/>
                <w:color w:val="000000"/>
                <w:sz w:val="16"/>
                <w:szCs w:val="16"/>
                <w:lang w:eastAsia="en-GB"/>
              </w:rPr>
            </w:pPr>
            <w:r w:rsidRPr="00FB62F9">
              <w:rPr>
                <w:rFonts w:ascii="Calibri" w:eastAsia="Times New Roman" w:hAnsi="Calibri" w:cs="Calibri"/>
                <w:color w:val="000000"/>
                <w:sz w:val="16"/>
                <w:szCs w:val="16"/>
                <w:lang w:eastAsia="en-GB"/>
              </w:rPr>
              <w:t>Bunker et al. (2019) report suggests an 56% decrease in seagrass area between 2012 and 2018.</w:t>
            </w:r>
          </w:p>
        </w:tc>
        <w:tc>
          <w:tcPr>
            <w:tcW w:w="870" w:type="dxa"/>
            <w:tcBorders>
              <w:top w:val="single" w:sz="4" w:space="0" w:color="auto"/>
              <w:left w:val="single" w:sz="4" w:space="0" w:color="auto"/>
              <w:bottom w:val="single" w:sz="4" w:space="0" w:color="auto"/>
              <w:right w:val="single" w:sz="4" w:space="0" w:color="auto"/>
            </w:tcBorders>
            <w:shd w:val="clear" w:color="auto" w:fill="FFA3A3"/>
            <w:vAlign w:val="center"/>
            <w:hideMark/>
          </w:tcPr>
          <w:p w14:paraId="70EE131E" w14:textId="77777777" w:rsidR="00E7649E" w:rsidRDefault="00E7649E" w:rsidP="00500C88">
            <w:pPr>
              <w:spacing w:after="0" w:line="240" w:lineRule="auto"/>
              <w:jc w:val="center"/>
              <w:rPr>
                <w:rFonts w:ascii="Calibri" w:eastAsia="Times New Roman" w:hAnsi="Calibri" w:cs="Calibri"/>
                <w:b/>
                <w:bCs/>
                <w:color w:val="000000"/>
                <w:sz w:val="16"/>
                <w:szCs w:val="16"/>
                <w:lang w:eastAsia="en-GB"/>
              </w:rPr>
            </w:pPr>
            <w:r w:rsidRPr="00E34BAA">
              <w:rPr>
                <w:rFonts w:ascii="Calibri" w:eastAsia="Times New Roman" w:hAnsi="Calibri" w:cs="Calibri"/>
                <w:b/>
                <w:bCs/>
                <w:sz w:val="16"/>
                <w:szCs w:val="16"/>
                <w:lang w:eastAsia="en-GB"/>
              </w:rPr>
              <w:t>C           (4)</w:t>
            </w:r>
          </w:p>
        </w:tc>
      </w:tr>
      <w:tr w:rsidR="00E7649E" w14:paraId="762CBAA3" w14:textId="77777777" w:rsidTr="00500C88">
        <w:trPr>
          <w:trHeight w:val="300"/>
        </w:trPr>
        <w:tc>
          <w:tcPr>
            <w:tcW w:w="0" w:type="auto"/>
            <w:vMerge/>
            <w:tcBorders>
              <w:top w:val="nil"/>
              <w:left w:val="single" w:sz="8" w:space="0" w:color="auto"/>
              <w:bottom w:val="single" w:sz="8" w:space="0" w:color="000000"/>
              <w:right w:val="nil"/>
            </w:tcBorders>
            <w:vAlign w:val="center"/>
            <w:hideMark/>
          </w:tcPr>
          <w:p w14:paraId="254B046B" w14:textId="77777777" w:rsidR="00E7649E" w:rsidRDefault="00E7649E"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F54494" w14:textId="77777777" w:rsidR="00E7649E" w:rsidRDefault="00E7649E"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54B516" w14:textId="77777777" w:rsidR="00E7649E" w:rsidRDefault="00E7649E" w:rsidP="00500C88">
            <w:pPr>
              <w:spacing w:after="0"/>
              <w:rPr>
                <w:rFonts w:ascii="Calibri" w:eastAsia="Times New Roman" w:hAnsi="Calibri" w:cs="Calibri"/>
                <w:b/>
                <w:bCs/>
                <w:color w:val="000000"/>
                <w:sz w:val="16"/>
                <w:szCs w:val="16"/>
                <w:lang w:eastAsia="en-GB"/>
              </w:rPr>
            </w:pPr>
          </w:p>
        </w:tc>
        <w:tc>
          <w:tcPr>
            <w:tcW w:w="0" w:type="auto"/>
            <w:vMerge/>
            <w:tcBorders>
              <w:top w:val="single" w:sz="4" w:space="0" w:color="auto"/>
              <w:left w:val="single" w:sz="4" w:space="0" w:color="auto"/>
              <w:bottom w:val="single" w:sz="8" w:space="0" w:color="auto"/>
              <w:right w:val="single" w:sz="4" w:space="0" w:color="auto"/>
            </w:tcBorders>
            <w:vAlign w:val="center"/>
            <w:hideMark/>
          </w:tcPr>
          <w:p w14:paraId="09B3E63C" w14:textId="77777777" w:rsidR="00E7649E" w:rsidRDefault="00E7649E" w:rsidP="00500C88">
            <w:pPr>
              <w:spacing w:after="0"/>
              <w:rPr>
                <w:rFonts w:ascii="Calibri" w:eastAsia="Times New Roman" w:hAnsi="Calibri" w:cs="Calibri"/>
                <w:color w:val="000000"/>
                <w:sz w:val="16"/>
                <w:szCs w:val="16"/>
                <w:lang w:eastAsia="en-GB"/>
              </w:rPr>
            </w:pPr>
          </w:p>
        </w:tc>
        <w:tc>
          <w:tcPr>
            <w:tcW w:w="6300" w:type="dxa"/>
            <w:gridSpan w:val="2"/>
            <w:tcBorders>
              <w:top w:val="single" w:sz="4" w:space="0" w:color="auto"/>
              <w:left w:val="nil"/>
              <w:bottom w:val="single" w:sz="4" w:space="0" w:color="auto"/>
              <w:right w:val="single" w:sz="4" w:space="0" w:color="auto"/>
            </w:tcBorders>
            <w:vAlign w:val="center"/>
            <w:hideMark/>
          </w:tcPr>
          <w:p w14:paraId="55944C16" w14:textId="77777777" w:rsidR="00E7649E" w:rsidRDefault="00E7649E"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w:t>
            </w:r>
          </w:p>
        </w:tc>
        <w:tc>
          <w:tcPr>
            <w:tcW w:w="1360" w:type="dxa"/>
            <w:tcBorders>
              <w:top w:val="nil"/>
              <w:left w:val="nil"/>
              <w:bottom w:val="single" w:sz="4" w:space="0" w:color="auto"/>
              <w:right w:val="single" w:sz="4" w:space="0" w:color="auto"/>
            </w:tcBorders>
            <w:vAlign w:val="center"/>
            <w:hideMark/>
          </w:tcPr>
          <w:p w14:paraId="3537BBFD" w14:textId="77777777" w:rsidR="00E7649E" w:rsidRDefault="00E7649E"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w:t>
            </w:r>
          </w:p>
        </w:tc>
        <w:tc>
          <w:tcPr>
            <w:tcW w:w="870" w:type="dxa"/>
            <w:vMerge w:val="restart"/>
            <w:tcBorders>
              <w:top w:val="nil"/>
              <w:left w:val="single" w:sz="4" w:space="0" w:color="auto"/>
              <w:bottom w:val="single" w:sz="4" w:space="0" w:color="auto"/>
              <w:right w:val="single" w:sz="4" w:space="0" w:color="auto"/>
            </w:tcBorders>
            <w:vAlign w:val="center"/>
            <w:hideMark/>
          </w:tcPr>
          <w:p w14:paraId="3633A424" w14:textId="77777777" w:rsidR="00E7649E" w:rsidRDefault="00E7649E" w:rsidP="00500C88">
            <w:pPr>
              <w:rPr>
                <w:rFonts w:ascii="Calibri" w:eastAsia="Times New Roman" w:hAnsi="Calibri" w:cs="Calibri"/>
                <w:color w:val="000000"/>
                <w:sz w:val="16"/>
                <w:szCs w:val="16"/>
                <w:lang w:eastAsia="en-GB"/>
              </w:rPr>
            </w:pPr>
          </w:p>
        </w:tc>
      </w:tr>
      <w:tr w:rsidR="00E7649E" w14:paraId="7B7B5C07" w14:textId="77777777" w:rsidTr="00500C88">
        <w:trPr>
          <w:trHeight w:val="315"/>
        </w:trPr>
        <w:tc>
          <w:tcPr>
            <w:tcW w:w="0" w:type="auto"/>
            <w:vMerge/>
            <w:tcBorders>
              <w:top w:val="nil"/>
              <w:left w:val="single" w:sz="8" w:space="0" w:color="auto"/>
              <w:bottom w:val="single" w:sz="8" w:space="0" w:color="000000"/>
              <w:right w:val="nil"/>
            </w:tcBorders>
            <w:vAlign w:val="center"/>
            <w:hideMark/>
          </w:tcPr>
          <w:p w14:paraId="2D00FCF2" w14:textId="77777777" w:rsidR="00E7649E" w:rsidRDefault="00E7649E"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F4A1F7" w14:textId="77777777" w:rsidR="00E7649E" w:rsidRDefault="00E7649E"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F6303C" w14:textId="77777777" w:rsidR="00E7649E" w:rsidRDefault="00E7649E" w:rsidP="00500C88">
            <w:pPr>
              <w:spacing w:after="0"/>
              <w:rPr>
                <w:rFonts w:ascii="Calibri" w:eastAsia="Times New Roman" w:hAnsi="Calibri" w:cs="Calibri"/>
                <w:b/>
                <w:bCs/>
                <w:color w:val="000000"/>
                <w:sz w:val="16"/>
                <w:szCs w:val="16"/>
                <w:lang w:eastAsia="en-GB"/>
              </w:rPr>
            </w:pPr>
          </w:p>
        </w:tc>
        <w:tc>
          <w:tcPr>
            <w:tcW w:w="0" w:type="auto"/>
            <w:vMerge/>
            <w:tcBorders>
              <w:top w:val="single" w:sz="4" w:space="0" w:color="auto"/>
              <w:left w:val="single" w:sz="4" w:space="0" w:color="auto"/>
              <w:bottom w:val="single" w:sz="8" w:space="0" w:color="auto"/>
              <w:right w:val="single" w:sz="4" w:space="0" w:color="auto"/>
            </w:tcBorders>
            <w:vAlign w:val="center"/>
            <w:hideMark/>
          </w:tcPr>
          <w:p w14:paraId="77A54DC7" w14:textId="77777777" w:rsidR="00E7649E" w:rsidRDefault="00E7649E" w:rsidP="00500C88">
            <w:pPr>
              <w:spacing w:after="0"/>
              <w:rPr>
                <w:rFonts w:ascii="Calibri" w:eastAsia="Times New Roman" w:hAnsi="Calibri" w:cs="Calibri"/>
                <w:color w:val="000000"/>
                <w:sz w:val="16"/>
                <w:szCs w:val="16"/>
                <w:lang w:eastAsia="en-GB"/>
              </w:rPr>
            </w:pPr>
          </w:p>
        </w:tc>
        <w:tc>
          <w:tcPr>
            <w:tcW w:w="6300" w:type="dxa"/>
            <w:gridSpan w:val="2"/>
            <w:tcBorders>
              <w:top w:val="single" w:sz="4" w:space="0" w:color="auto"/>
              <w:left w:val="nil"/>
              <w:bottom w:val="single" w:sz="4" w:space="0" w:color="auto"/>
              <w:right w:val="single" w:sz="4" w:space="0" w:color="auto"/>
            </w:tcBorders>
            <w:vAlign w:val="center"/>
            <w:hideMark/>
          </w:tcPr>
          <w:p w14:paraId="1BA5BF49" w14:textId="77777777" w:rsidR="00E7649E" w:rsidRDefault="00E7649E"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1360" w:type="dxa"/>
            <w:tcBorders>
              <w:top w:val="nil"/>
              <w:left w:val="nil"/>
              <w:bottom w:val="single" w:sz="4" w:space="0" w:color="auto"/>
              <w:right w:val="single" w:sz="4" w:space="0" w:color="auto"/>
            </w:tcBorders>
            <w:vAlign w:val="center"/>
            <w:hideMark/>
          </w:tcPr>
          <w:p w14:paraId="40A80DE4" w14:textId="77777777" w:rsidR="00E7649E" w:rsidRDefault="00E7649E"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0" w:type="auto"/>
            <w:vMerge/>
            <w:tcBorders>
              <w:top w:val="nil"/>
              <w:left w:val="single" w:sz="4" w:space="0" w:color="auto"/>
              <w:bottom w:val="single" w:sz="4" w:space="0" w:color="auto"/>
              <w:right w:val="single" w:sz="4" w:space="0" w:color="auto"/>
            </w:tcBorders>
            <w:vAlign w:val="center"/>
            <w:hideMark/>
          </w:tcPr>
          <w:p w14:paraId="0A29AA6A" w14:textId="77777777" w:rsidR="00E7649E" w:rsidRDefault="00E7649E" w:rsidP="00500C88">
            <w:pPr>
              <w:spacing w:after="0"/>
              <w:rPr>
                <w:rFonts w:ascii="Calibri" w:eastAsia="Times New Roman" w:hAnsi="Calibri" w:cs="Calibri"/>
                <w:color w:val="000000"/>
                <w:sz w:val="16"/>
                <w:szCs w:val="16"/>
                <w:lang w:eastAsia="en-GB"/>
              </w:rPr>
            </w:pPr>
          </w:p>
        </w:tc>
      </w:tr>
    </w:tbl>
    <w:p w14:paraId="0B83027E" w14:textId="77777777" w:rsidR="00E7649E" w:rsidRDefault="00E7649E" w:rsidP="008E7806"/>
    <w:p w14:paraId="63370D8C" w14:textId="77777777" w:rsidR="009D59F8" w:rsidRDefault="009D59F8" w:rsidP="008E7806"/>
    <w:p w14:paraId="3B232D89" w14:textId="77777777" w:rsidR="009D59F8" w:rsidRDefault="009D59F8" w:rsidP="008E7806"/>
    <w:p w14:paraId="61FB0171" w14:textId="77777777" w:rsidR="009D59F8" w:rsidRDefault="009D59F8" w:rsidP="008E7806"/>
    <w:p w14:paraId="5E6A4306" w14:textId="77777777" w:rsidR="009D59F8" w:rsidRDefault="009D59F8" w:rsidP="008E7806"/>
    <w:p w14:paraId="0D1B595A" w14:textId="77777777" w:rsidR="009D59F8" w:rsidRDefault="009D59F8" w:rsidP="008E7806"/>
    <w:tbl>
      <w:tblPr>
        <w:tblW w:w="13580" w:type="dxa"/>
        <w:tblLook w:val="04A0" w:firstRow="1" w:lastRow="0" w:firstColumn="1" w:lastColumn="0" w:noHBand="0" w:noVBand="1"/>
      </w:tblPr>
      <w:tblGrid>
        <w:gridCol w:w="1130"/>
        <w:gridCol w:w="973"/>
        <w:gridCol w:w="1402"/>
        <w:gridCol w:w="1545"/>
        <w:gridCol w:w="3587"/>
        <w:gridCol w:w="2713"/>
        <w:gridCol w:w="1360"/>
        <w:gridCol w:w="870"/>
      </w:tblGrid>
      <w:tr w:rsidR="001E6049" w14:paraId="11921ACD" w14:textId="77777777" w:rsidTr="001E6049">
        <w:trPr>
          <w:trHeight w:val="780"/>
          <w:tblHeader/>
        </w:trPr>
        <w:tc>
          <w:tcPr>
            <w:tcW w:w="1130" w:type="dxa"/>
            <w:tcBorders>
              <w:top w:val="single" w:sz="8" w:space="0" w:color="auto"/>
              <w:left w:val="single" w:sz="8" w:space="0" w:color="auto"/>
              <w:bottom w:val="single" w:sz="8" w:space="0" w:color="auto"/>
              <w:right w:val="single" w:sz="8" w:space="0" w:color="auto"/>
            </w:tcBorders>
            <w:hideMark/>
          </w:tcPr>
          <w:p w14:paraId="044CB2F3" w14:textId="77777777" w:rsidR="009D59F8" w:rsidRDefault="009D59F8"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lastRenderedPageBreak/>
              <w:t>Broad Habitat type</w:t>
            </w:r>
          </w:p>
        </w:tc>
        <w:tc>
          <w:tcPr>
            <w:tcW w:w="973" w:type="dxa"/>
            <w:tcBorders>
              <w:top w:val="single" w:sz="8" w:space="0" w:color="auto"/>
              <w:left w:val="nil"/>
              <w:bottom w:val="nil"/>
              <w:right w:val="single" w:sz="8" w:space="0" w:color="auto"/>
            </w:tcBorders>
            <w:hideMark/>
          </w:tcPr>
          <w:p w14:paraId="0D79BD57" w14:textId="77777777" w:rsidR="009D59F8" w:rsidRDefault="009D59F8"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Habitat / Species Asset</w:t>
            </w:r>
          </w:p>
        </w:tc>
        <w:tc>
          <w:tcPr>
            <w:tcW w:w="1402" w:type="dxa"/>
            <w:tcBorders>
              <w:top w:val="single" w:sz="8" w:space="0" w:color="auto"/>
              <w:left w:val="nil"/>
              <w:bottom w:val="nil"/>
              <w:right w:val="single" w:sz="8" w:space="0" w:color="auto"/>
            </w:tcBorders>
            <w:hideMark/>
          </w:tcPr>
          <w:p w14:paraId="12617AC4" w14:textId="77777777" w:rsidR="009D59F8" w:rsidRDefault="009D59F8"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Benefit</w:t>
            </w:r>
          </w:p>
        </w:tc>
        <w:tc>
          <w:tcPr>
            <w:tcW w:w="1545" w:type="dxa"/>
            <w:tcBorders>
              <w:top w:val="single" w:sz="8" w:space="0" w:color="auto"/>
              <w:left w:val="nil"/>
              <w:bottom w:val="nil"/>
              <w:right w:val="single" w:sz="8" w:space="0" w:color="auto"/>
            </w:tcBorders>
            <w:noWrap/>
            <w:hideMark/>
          </w:tcPr>
          <w:p w14:paraId="40AF619B" w14:textId="77777777" w:rsidR="009D59F8" w:rsidRDefault="009D59F8"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Characteristic</w:t>
            </w:r>
          </w:p>
        </w:tc>
        <w:tc>
          <w:tcPr>
            <w:tcW w:w="3587" w:type="dxa"/>
            <w:tcBorders>
              <w:top w:val="single" w:sz="8" w:space="0" w:color="auto"/>
              <w:left w:val="nil"/>
              <w:bottom w:val="nil"/>
              <w:right w:val="single" w:sz="8" w:space="0" w:color="auto"/>
            </w:tcBorders>
            <w:noWrap/>
            <w:hideMark/>
          </w:tcPr>
          <w:p w14:paraId="23405E30" w14:textId="77777777" w:rsidR="009D59F8" w:rsidRDefault="009D59F8"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Current Status</w:t>
            </w:r>
          </w:p>
        </w:tc>
        <w:tc>
          <w:tcPr>
            <w:tcW w:w="2713" w:type="dxa"/>
            <w:tcBorders>
              <w:top w:val="single" w:sz="8" w:space="0" w:color="auto"/>
              <w:left w:val="nil"/>
              <w:bottom w:val="nil"/>
              <w:right w:val="single" w:sz="8" w:space="0" w:color="auto"/>
            </w:tcBorders>
            <w:noWrap/>
            <w:hideMark/>
          </w:tcPr>
          <w:p w14:paraId="776A19F9" w14:textId="77777777" w:rsidR="009D59F8" w:rsidRDefault="009D59F8"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Target</w:t>
            </w:r>
          </w:p>
        </w:tc>
        <w:tc>
          <w:tcPr>
            <w:tcW w:w="1360" w:type="dxa"/>
            <w:tcBorders>
              <w:top w:val="single" w:sz="8" w:space="0" w:color="auto"/>
              <w:left w:val="nil"/>
              <w:bottom w:val="nil"/>
              <w:right w:val="single" w:sz="8" w:space="0" w:color="auto"/>
            </w:tcBorders>
            <w:noWrap/>
            <w:hideMark/>
          </w:tcPr>
          <w:p w14:paraId="3C734AB0" w14:textId="77777777" w:rsidR="009D59F8" w:rsidRDefault="009D59F8"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Trend</w:t>
            </w:r>
          </w:p>
        </w:tc>
        <w:tc>
          <w:tcPr>
            <w:tcW w:w="870" w:type="dxa"/>
            <w:tcBorders>
              <w:top w:val="single" w:sz="8" w:space="0" w:color="auto"/>
              <w:left w:val="nil"/>
              <w:bottom w:val="single" w:sz="4" w:space="0" w:color="auto"/>
              <w:right w:val="single" w:sz="8" w:space="0" w:color="auto"/>
            </w:tcBorders>
            <w:noWrap/>
            <w:hideMark/>
          </w:tcPr>
          <w:p w14:paraId="2E0504B3" w14:textId="77777777" w:rsidR="009D59F8" w:rsidRDefault="009D59F8"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RAG</w:t>
            </w:r>
          </w:p>
        </w:tc>
      </w:tr>
      <w:tr w:rsidR="009D59F8" w14:paraId="46CDD006" w14:textId="77777777" w:rsidTr="00430FF2">
        <w:trPr>
          <w:trHeight w:val="2019"/>
        </w:trPr>
        <w:tc>
          <w:tcPr>
            <w:tcW w:w="1130" w:type="dxa"/>
            <w:vMerge w:val="restart"/>
            <w:tcBorders>
              <w:top w:val="nil"/>
              <w:left w:val="single" w:sz="8" w:space="0" w:color="auto"/>
              <w:bottom w:val="single" w:sz="8" w:space="0" w:color="000000"/>
              <w:right w:val="nil"/>
            </w:tcBorders>
            <w:shd w:val="clear" w:color="auto" w:fill="F2F2F2"/>
            <w:noWrap/>
            <w:hideMark/>
          </w:tcPr>
          <w:p w14:paraId="2D1AE0CC" w14:textId="77777777" w:rsidR="009D59F8" w:rsidRDefault="009D59F8"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Coastal Margin</w:t>
            </w:r>
          </w:p>
        </w:tc>
        <w:tc>
          <w:tcPr>
            <w:tcW w:w="973" w:type="dxa"/>
            <w:vMerge w:val="restart"/>
            <w:tcBorders>
              <w:top w:val="single" w:sz="4" w:space="0" w:color="auto"/>
              <w:left w:val="single" w:sz="4" w:space="0" w:color="auto"/>
              <w:bottom w:val="single" w:sz="4" w:space="0" w:color="auto"/>
              <w:right w:val="single" w:sz="4" w:space="0" w:color="auto"/>
            </w:tcBorders>
            <w:hideMark/>
          </w:tcPr>
          <w:p w14:paraId="7B2EC008" w14:textId="108959EA" w:rsidR="009D59F8" w:rsidRDefault="009D59F8"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Subtidal Seagrass – </w:t>
            </w:r>
            <w:proofErr w:type="spellStart"/>
            <w:r>
              <w:rPr>
                <w:rFonts w:ascii="Calibri" w:eastAsia="Times New Roman" w:hAnsi="Calibri" w:cs="Calibri"/>
                <w:color w:val="000000"/>
                <w:sz w:val="16"/>
                <w:szCs w:val="16"/>
                <w:lang w:eastAsia="en-GB"/>
              </w:rPr>
              <w:t>Cawsand</w:t>
            </w:r>
            <w:proofErr w:type="spellEnd"/>
            <w:r>
              <w:rPr>
                <w:rFonts w:ascii="Calibri" w:eastAsia="Times New Roman" w:hAnsi="Calibri" w:cs="Calibri"/>
                <w:color w:val="000000"/>
                <w:sz w:val="16"/>
                <w:szCs w:val="16"/>
                <w:lang w:eastAsia="en-GB"/>
              </w:rPr>
              <w:t xml:space="preserve"> </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4B89EF83" w14:textId="77777777" w:rsidR="009D59F8" w:rsidRDefault="009D59F8"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 Food (Wild Food - fish and shellfish).    </w:t>
            </w:r>
          </w:p>
          <w:p w14:paraId="05B65121" w14:textId="77777777" w:rsidR="009D59F8" w:rsidRDefault="009D59F8" w:rsidP="00500C88">
            <w:pPr>
              <w:spacing w:after="0" w:line="240" w:lineRule="auto"/>
              <w:ind w:hanging="52"/>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Healthy climate (carbon sequestration).         • Sea defence. (</w:t>
            </w:r>
            <w:proofErr w:type="gramStart"/>
            <w:r>
              <w:rPr>
                <w:rFonts w:ascii="Calibri" w:eastAsia="Times New Roman" w:hAnsi="Calibri" w:cs="Calibri"/>
                <w:b/>
                <w:bCs/>
                <w:color w:val="000000"/>
                <w:sz w:val="16"/>
                <w:szCs w:val="16"/>
                <w:lang w:eastAsia="en-GB"/>
              </w:rPr>
              <w:t>natural</w:t>
            </w:r>
            <w:proofErr w:type="gramEnd"/>
            <w:r>
              <w:rPr>
                <w:rFonts w:ascii="Calibri" w:eastAsia="Times New Roman" w:hAnsi="Calibri" w:cs="Calibri"/>
                <w:b/>
                <w:bCs/>
                <w:color w:val="000000"/>
                <w:sz w:val="16"/>
                <w:szCs w:val="16"/>
                <w:lang w:eastAsia="en-GB"/>
              </w:rPr>
              <w:t xml:space="preserve"> hazard regulation).               • Tourism/nature watching.                  • Clean water and sediments.</w:t>
            </w:r>
          </w:p>
        </w:tc>
        <w:tc>
          <w:tcPr>
            <w:tcW w:w="1545" w:type="dxa"/>
            <w:vMerge w:val="restart"/>
            <w:tcBorders>
              <w:top w:val="single" w:sz="4" w:space="0" w:color="auto"/>
              <w:left w:val="single" w:sz="4" w:space="0" w:color="auto"/>
              <w:bottom w:val="single" w:sz="4" w:space="0" w:color="auto"/>
              <w:right w:val="single" w:sz="4" w:space="0" w:color="auto"/>
            </w:tcBorders>
            <w:noWrap/>
            <w:hideMark/>
          </w:tcPr>
          <w:p w14:paraId="3E531EFA" w14:textId="77777777" w:rsidR="009D59F8" w:rsidRDefault="009D59F8"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Quantity/Extent</w:t>
            </w:r>
          </w:p>
        </w:tc>
        <w:tc>
          <w:tcPr>
            <w:tcW w:w="3587" w:type="dxa"/>
            <w:tcBorders>
              <w:top w:val="single" w:sz="4" w:space="0" w:color="auto"/>
              <w:left w:val="nil"/>
              <w:bottom w:val="single" w:sz="4" w:space="0" w:color="auto"/>
              <w:right w:val="single" w:sz="4" w:space="0" w:color="auto"/>
            </w:tcBorders>
            <w:hideMark/>
          </w:tcPr>
          <w:p w14:paraId="15D83B4F" w14:textId="093FCAB3" w:rsidR="009D59F8" w:rsidRPr="00D81799" w:rsidRDefault="009D59F8" w:rsidP="00500C88">
            <w:pPr>
              <w:spacing w:after="0" w:line="240" w:lineRule="auto"/>
              <w:rPr>
                <w:rFonts w:ascii="Calibri" w:eastAsia="Times New Roman" w:hAnsi="Calibri" w:cs="Calibri"/>
                <w:color w:val="000000"/>
                <w:sz w:val="16"/>
                <w:szCs w:val="16"/>
                <w:lang w:eastAsia="en-GB"/>
              </w:rPr>
            </w:pPr>
            <w:r w:rsidRPr="00BA66F3">
              <w:rPr>
                <w:rFonts w:ascii="Calibri" w:eastAsia="Times New Roman" w:hAnsi="Calibri" w:cs="Calibri"/>
                <w:b/>
                <w:bCs/>
                <w:color w:val="000000"/>
                <w:sz w:val="16"/>
                <w:szCs w:val="16"/>
                <w:lang w:eastAsia="en-GB"/>
              </w:rPr>
              <w:t>Composite mapping</w:t>
            </w:r>
            <w:r>
              <w:rPr>
                <w:rFonts w:ascii="Calibri" w:eastAsia="Times New Roman" w:hAnsi="Calibri" w:cs="Calibri"/>
                <w:color w:val="000000"/>
                <w:sz w:val="16"/>
                <w:szCs w:val="16"/>
                <w:lang w:eastAsia="en-GB"/>
              </w:rPr>
              <w:t xml:space="preserve">: </w:t>
            </w:r>
            <w:r w:rsidR="00C4790C" w:rsidRPr="00C4790C">
              <w:rPr>
                <w:rFonts w:ascii="Calibri" w:eastAsia="Times New Roman" w:hAnsi="Calibri" w:cs="Calibri"/>
                <w:color w:val="000000"/>
                <w:sz w:val="16"/>
                <w:szCs w:val="16"/>
                <w:lang w:eastAsia="en-GB"/>
              </w:rPr>
              <w:t xml:space="preserve">Composite mapping shows the seagrass bed at </w:t>
            </w:r>
            <w:proofErr w:type="spellStart"/>
            <w:r w:rsidR="00C4790C" w:rsidRPr="00C4790C">
              <w:rPr>
                <w:rFonts w:ascii="Calibri" w:eastAsia="Times New Roman" w:hAnsi="Calibri" w:cs="Calibri"/>
                <w:color w:val="000000"/>
                <w:sz w:val="16"/>
                <w:szCs w:val="16"/>
                <w:lang w:eastAsia="en-GB"/>
              </w:rPr>
              <w:t>Cawsand</w:t>
            </w:r>
            <w:proofErr w:type="spellEnd"/>
            <w:r w:rsidR="00C4790C" w:rsidRPr="00C4790C">
              <w:rPr>
                <w:rFonts w:ascii="Calibri" w:eastAsia="Times New Roman" w:hAnsi="Calibri" w:cs="Calibri"/>
                <w:color w:val="000000"/>
                <w:sz w:val="16"/>
                <w:szCs w:val="16"/>
                <w:lang w:eastAsia="en-GB"/>
              </w:rPr>
              <w:t xml:space="preserve"> Bay to have an area of 0.25 Km2</w:t>
            </w:r>
            <w:r w:rsidRPr="00781C8A">
              <w:rPr>
                <w:rFonts w:ascii="Calibri" w:eastAsia="Times New Roman" w:hAnsi="Calibri" w:cs="Calibri"/>
                <w:color w:val="000000"/>
                <w:sz w:val="16"/>
                <w:szCs w:val="16"/>
                <w:lang w:eastAsia="en-GB"/>
              </w:rPr>
              <w:t>.</w:t>
            </w:r>
          </w:p>
          <w:p w14:paraId="2367FB0D" w14:textId="77777777" w:rsidR="009D59F8" w:rsidRDefault="009D59F8" w:rsidP="00500C88">
            <w:pPr>
              <w:spacing w:after="0" w:line="240" w:lineRule="auto"/>
              <w:rPr>
                <w:rFonts w:ascii="Calibri" w:eastAsia="Times New Roman" w:hAnsi="Calibri" w:cs="Calibri"/>
                <w:color w:val="000000"/>
                <w:sz w:val="16"/>
                <w:szCs w:val="16"/>
                <w:lang w:eastAsia="en-GB"/>
              </w:rPr>
            </w:pPr>
          </w:p>
          <w:p w14:paraId="6716E1C9" w14:textId="6BD6D03D" w:rsidR="009D59F8" w:rsidRPr="000421E1" w:rsidRDefault="009D59F8" w:rsidP="00500C88">
            <w:pPr>
              <w:spacing w:after="0" w:line="240" w:lineRule="auto"/>
              <w:rPr>
                <w:color w:val="000000" w:themeColor="text1"/>
                <w:sz w:val="18"/>
                <w:szCs w:val="18"/>
              </w:rPr>
            </w:pPr>
            <w:r w:rsidRPr="009D42EA">
              <w:rPr>
                <w:rFonts w:ascii="Calibri" w:eastAsia="Times New Roman" w:hAnsi="Calibri" w:cs="Calibri"/>
                <w:b/>
                <w:bCs/>
                <w:color w:val="000000"/>
                <w:sz w:val="16"/>
                <w:szCs w:val="16"/>
                <w:lang w:eastAsia="en-GB"/>
              </w:rPr>
              <w:t>NE Package:</w:t>
            </w:r>
            <w:r>
              <w:rPr>
                <w:rFonts w:ascii="Calibri" w:eastAsia="Times New Roman" w:hAnsi="Calibri" w:cs="Calibri"/>
                <w:b/>
                <w:bCs/>
                <w:color w:val="000000"/>
                <w:sz w:val="16"/>
                <w:szCs w:val="16"/>
                <w:lang w:eastAsia="en-GB"/>
              </w:rPr>
              <w:t xml:space="preserve"> </w:t>
            </w:r>
            <w:r w:rsidR="00D50E6A" w:rsidRPr="00D50E6A">
              <w:rPr>
                <w:rFonts w:ascii="Calibri" w:eastAsia="Times New Roman" w:hAnsi="Calibri" w:cs="Calibri"/>
                <w:color w:val="000000"/>
                <w:sz w:val="16"/>
                <w:szCs w:val="16"/>
                <w:lang w:eastAsia="en-GB"/>
              </w:rPr>
              <w:t>The Bunker et al (2019) report estimated an increase in seagrass area from 119,739 m</w:t>
            </w:r>
            <w:r w:rsidR="00D50E6A" w:rsidRPr="00D50E6A">
              <w:rPr>
                <w:rFonts w:ascii="Calibri" w:eastAsia="Times New Roman" w:hAnsi="Calibri" w:cs="Calibri"/>
                <w:color w:val="000000"/>
                <w:sz w:val="16"/>
                <w:szCs w:val="16"/>
                <w:vertAlign w:val="superscript"/>
                <w:lang w:eastAsia="en-GB"/>
              </w:rPr>
              <w:t>2</w:t>
            </w:r>
            <w:r w:rsidR="00D50E6A" w:rsidRPr="00D50E6A">
              <w:rPr>
                <w:rFonts w:ascii="Calibri" w:eastAsia="Times New Roman" w:hAnsi="Calibri" w:cs="Calibri"/>
                <w:color w:val="000000"/>
                <w:sz w:val="16"/>
                <w:szCs w:val="16"/>
                <w:lang w:eastAsia="en-GB"/>
              </w:rPr>
              <w:t xml:space="preserve"> to 186,214 m</w:t>
            </w:r>
            <w:r w:rsidR="00D50E6A" w:rsidRPr="00D50E6A">
              <w:rPr>
                <w:rFonts w:ascii="Calibri" w:eastAsia="Times New Roman" w:hAnsi="Calibri" w:cs="Calibri"/>
                <w:color w:val="000000"/>
                <w:sz w:val="16"/>
                <w:szCs w:val="16"/>
                <w:vertAlign w:val="superscript"/>
                <w:lang w:eastAsia="en-GB"/>
              </w:rPr>
              <w:t>2</w:t>
            </w:r>
            <w:r w:rsidR="00D50E6A" w:rsidRPr="00D50E6A">
              <w:rPr>
                <w:rFonts w:ascii="Calibri" w:eastAsia="Times New Roman" w:hAnsi="Calibri" w:cs="Calibri"/>
                <w:color w:val="000000"/>
                <w:sz w:val="16"/>
                <w:szCs w:val="16"/>
                <w:lang w:eastAsia="en-GB"/>
              </w:rPr>
              <w:t xml:space="preserve"> between 2012 and 2018 at </w:t>
            </w:r>
            <w:proofErr w:type="spellStart"/>
            <w:r w:rsidR="00D50E6A" w:rsidRPr="00D50E6A">
              <w:rPr>
                <w:rFonts w:ascii="Calibri" w:eastAsia="Times New Roman" w:hAnsi="Calibri" w:cs="Calibri"/>
                <w:color w:val="000000"/>
                <w:sz w:val="16"/>
                <w:szCs w:val="16"/>
                <w:lang w:eastAsia="en-GB"/>
              </w:rPr>
              <w:t>Cawsand</w:t>
            </w:r>
            <w:proofErr w:type="spellEnd"/>
            <w:r w:rsidR="00D50E6A" w:rsidRPr="00D50E6A">
              <w:rPr>
                <w:rFonts w:ascii="Calibri" w:eastAsia="Times New Roman" w:hAnsi="Calibri" w:cs="Calibri"/>
                <w:color w:val="000000"/>
                <w:sz w:val="16"/>
                <w:szCs w:val="16"/>
                <w:lang w:eastAsia="en-GB"/>
              </w:rPr>
              <w:t xml:space="preserve"> Bay. Equivalent to an 56% increase in area.  </w:t>
            </w:r>
          </w:p>
          <w:p w14:paraId="73E0C178" w14:textId="77777777" w:rsidR="009D59F8" w:rsidRDefault="009D59F8" w:rsidP="00500C88">
            <w:pPr>
              <w:spacing w:after="0" w:line="240" w:lineRule="auto"/>
              <w:rPr>
                <w:rFonts w:ascii="Calibri" w:eastAsia="Times New Roman" w:hAnsi="Calibri" w:cs="Calibri"/>
                <w:color w:val="000000"/>
                <w:sz w:val="16"/>
                <w:szCs w:val="16"/>
                <w:lang w:eastAsia="en-GB"/>
              </w:rPr>
            </w:pPr>
          </w:p>
          <w:p w14:paraId="106B168D" w14:textId="77777777" w:rsidR="009D59F8" w:rsidRDefault="009D59F8" w:rsidP="00500C88">
            <w:pPr>
              <w:spacing w:after="0" w:line="240" w:lineRule="auto"/>
              <w:rPr>
                <w:rFonts w:ascii="Calibri" w:eastAsia="Times New Roman" w:hAnsi="Calibri" w:cs="Calibri"/>
                <w:b/>
                <w:bCs/>
                <w:color w:val="000000"/>
                <w:sz w:val="16"/>
                <w:szCs w:val="16"/>
                <w:lang w:eastAsia="en-GB"/>
              </w:rPr>
            </w:pPr>
          </w:p>
          <w:p w14:paraId="774CDFBC" w14:textId="77777777" w:rsidR="009D59F8" w:rsidRDefault="009D59F8" w:rsidP="00500C88">
            <w:pPr>
              <w:spacing w:after="0" w:line="240" w:lineRule="auto"/>
              <w:rPr>
                <w:rFonts w:ascii="Calibri" w:eastAsia="Times New Roman" w:hAnsi="Calibri" w:cs="Calibri"/>
                <w:b/>
                <w:bCs/>
                <w:color w:val="000000"/>
                <w:sz w:val="16"/>
                <w:szCs w:val="16"/>
                <w:lang w:eastAsia="en-GB"/>
              </w:rPr>
            </w:pPr>
          </w:p>
          <w:p w14:paraId="5B301832" w14:textId="77777777" w:rsidR="009D59F8" w:rsidRPr="009D42EA" w:rsidRDefault="009D59F8" w:rsidP="00500C88">
            <w:pPr>
              <w:spacing w:after="0" w:line="240" w:lineRule="auto"/>
              <w:rPr>
                <w:rFonts w:ascii="Calibri" w:eastAsia="Times New Roman" w:hAnsi="Calibri" w:cs="Calibri"/>
                <w:b/>
                <w:bCs/>
                <w:color w:val="000000"/>
                <w:sz w:val="16"/>
                <w:szCs w:val="16"/>
                <w:lang w:eastAsia="en-GB"/>
              </w:rPr>
            </w:pPr>
          </w:p>
        </w:tc>
        <w:tc>
          <w:tcPr>
            <w:tcW w:w="2713" w:type="dxa"/>
            <w:tcBorders>
              <w:top w:val="single" w:sz="4" w:space="0" w:color="auto"/>
              <w:left w:val="nil"/>
              <w:bottom w:val="single" w:sz="4" w:space="0" w:color="auto"/>
              <w:right w:val="single" w:sz="4" w:space="0" w:color="auto"/>
            </w:tcBorders>
            <w:hideMark/>
          </w:tcPr>
          <w:p w14:paraId="5F1D1B64" w14:textId="77777777" w:rsidR="009D59F8" w:rsidRDefault="009D59F8" w:rsidP="00500C88">
            <w:pP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MSFD: As above.</w:t>
            </w:r>
          </w:p>
          <w:p w14:paraId="7AB0B460" w14:textId="77777777" w:rsidR="009D59F8" w:rsidRPr="004B486F" w:rsidRDefault="009D59F8" w:rsidP="00500C88">
            <w:pP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UK Marine Strategy: As above. </w:t>
            </w:r>
          </w:p>
        </w:tc>
        <w:tc>
          <w:tcPr>
            <w:tcW w:w="1360" w:type="dxa"/>
            <w:tcBorders>
              <w:top w:val="single" w:sz="4" w:space="0" w:color="auto"/>
              <w:left w:val="nil"/>
              <w:bottom w:val="single" w:sz="4" w:space="0" w:color="auto"/>
              <w:right w:val="single" w:sz="4" w:space="0" w:color="auto"/>
            </w:tcBorders>
            <w:hideMark/>
          </w:tcPr>
          <w:p w14:paraId="6113ED94" w14:textId="77777777" w:rsidR="009D59F8" w:rsidRDefault="00D50E6A"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Increasing </w:t>
            </w:r>
          </w:p>
          <w:p w14:paraId="70D26EF0" w14:textId="77777777" w:rsidR="00D50E6A" w:rsidRDefault="00D50E6A" w:rsidP="00500C88">
            <w:pPr>
              <w:spacing w:after="0" w:line="240" w:lineRule="auto"/>
              <w:rPr>
                <w:rFonts w:ascii="Calibri" w:eastAsia="Times New Roman" w:hAnsi="Calibri" w:cs="Calibri"/>
                <w:color w:val="000000"/>
                <w:sz w:val="16"/>
                <w:szCs w:val="16"/>
                <w:lang w:eastAsia="en-GB"/>
              </w:rPr>
            </w:pPr>
          </w:p>
          <w:p w14:paraId="00A1867A" w14:textId="07FC6E45" w:rsidR="00D50E6A" w:rsidRDefault="004731B2" w:rsidP="00500C88">
            <w:pPr>
              <w:spacing w:after="0" w:line="240" w:lineRule="auto"/>
              <w:rPr>
                <w:rFonts w:ascii="Calibri" w:eastAsia="Times New Roman" w:hAnsi="Calibri" w:cs="Calibri"/>
                <w:color w:val="000000"/>
                <w:sz w:val="16"/>
                <w:szCs w:val="16"/>
                <w:lang w:eastAsia="en-GB"/>
              </w:rPr>
            </w:pPr>
            <w:r w:rsidRPr="004731B2">
              <w:rPr>
                <w:rFonts w:ascii="Calibri" w:eastAsia="Times New Roman" w:hAnsi="Calibri" w:cs="Calibri"/>
                <w:color w:val="000000"/>
                <w:sz w:val="16"/>
                <w:szCs w:val="16"/>
                <w:lang w:eastAsia="en-GB"/>
              </w:rPr>
              <w:t>Bunker et al. (2019) report suggests a 56% increase in seagrass area between 2012 and 2018.</w:t>
            </w:r>
          </w:p>
        </w:tc>
        <w:tc>
          <w:tcPr>
            <w:tcW w:w="870" w:type="dxa"/>
            <w:tcBorders>
              <w:top w:val="single" w:sz="4" w:space="0" w:color="auto"/>
              <w:left w:val="single" w:sz="4" w:space="0" w:color="auto"/>
              <w:bottom w:val="single" w:sz="4" w:space="0" w:color="auto"/>
              <w:right w:val="single" w:sz="4" w:space="0" w:color="auto"/>
            </w:tcBorders>
            <w:shd w:val="clear" w:color="auto" w:fill="FFE9A3"/>
            <w:vAlign w:val="center"/>
            <w:hideMark/>
          </w:tcPr>
          <w:p w14:paraId="4FB0A599" w14:textId="1033696A" w:rsidR="009D59F8" w:rsidRDefault="001E6049" w:rsidP="00500C88">
            <w:pPr>
              <w:spacing w:after="0" w:line="240" w:lineRule="auto"/>
              <w:jc w:val="center"/>
              <w:rPr>
                <w:rFonts w:ascii="Calibri" w:eastAsia="Times New Roman" w:hAnsi="Calibri" w:cs="Calibri"/>
                <w:b/>
                <w:bCs/>
                <w:color w:val="000000"/>
                <w:sz w:val="16"/>
                <w:szCs w:val="16"/>
                <w:lang w:eastAsia="en-GB"/>
              </w:rPr>
            </w:pPr>
            <w:r w:rsidRPr="001E6049">
              <w:rPr>
                <w:rFonts w:ascii="Calibri" w:eastAsia="Times New Roman" w:hAnsi="Calibri" w:cs="Calibri"/>
                <w:b/>
                <w:bCs/>
                <w:sz w:val="16"/>
                <w:szCs w:val="16"/>
                <w:lang w:eastAsia="en-GB"/>
              </w:rPr>
              <w:t>B</w:t>
            </w:r>
            <w:r w:rsidR="009D59F8" w:rsidRPr="001E6049">
              <w:rPr>
                <w:rFonts w:ascii="Calibri" w:eastAsia="Times New Roman" w:hAnsi="Calibri" w:cs="Calibri"/>
                <w:b/>
                <w:bCs/>
                <w:sz w:val="16"/>
                <w:szCs w:val="16"/>
                <w:lang w:eastAsia="en-GB"/>
              </w:rPr>
              <w:t xml:space="preserve">           (4)</w:t>
            </w:r>
          </w:p>
        </w:tc>
      </w:tr>
      <w:tr w:rsidR="009D59F8" w14:paraId="148C4C1A" w14:textId="77777777" w:rsidTr="00500C88">
        <w:trPr>
          <w:trHeight w:val="300"/>
        </w:trPr>
        <w:tc>
          <w:tcPr>
            <w:tcW w:w="0" w:type="auto"/>
            <w:vMerge/>
            <w:tcBorders>
              <w:top w:val="nil"/>
              <w:left w:val="single" w:sz="8" w:space="0" w:color="auto"/>
              <w:bottom w:val="single" w:sz="8" w:space="0" w:color="000000"/>
              <w:right w:val="nil"/>
            </w:tcBorders>
            <w:vAlign w:val="center"/>
            <w:hideMark/>
          </w:tcPr>
          <w:p w14:paraId="60B25BA2" w14:textId="77777777" w:rsidR="009D59F8" w:rsidRDefault="009D59F8"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22D72" w14:textId="77777777" w:rsidR="009D59F8" w:rsidRDefault="009D59F8"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462ED9" w14:textId="77777777" w:rsidR="009D59F8" w:rsidRDefault="009D59F8" w:rsidP="00500C88">
            <w:pPr>
              <w:spacing w:after="0"/>
              <w:rPr>
                <w:rFonts w:ascii="Calibri" w:eastAsia="Times New Roman" w:hAnsi="Calibri" w:cs="Calibri"/>
                <w:b/>
                <w:bCs/>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804321" w14:textId="77777777" w:rsidR="009D59F8" w:rsidRDefault="009D59F8" w:rsidP="00500C88">
            <w:pPr>
              <w:spacing w:after="0"/>
              <w:rPr>
                <w:rFonts w:ascii="Calibri" w:eastAsia="Times New Roman" w:hAnsi="Calibri" w:cs="Calibri"/>
                <w:color w:val="000000"/>
                <w:sz w:val="16"/>
                <w:szCs w:val="16"/>
                <w:lang w:eastAsia="en-GB"/>
              </w:rPr>
            </w:pPr>
          </w:p>
        </w:tc>
        <w:tc>
          <w:tcPr>
            <w:tcW w:w="6300" w:type="dxa"/>
            <w:gridSpan w:val="2"/>
            <w:tcBorders>
              <w:top w:val="single" w:sz="4" w:space="0" w:color="auto"/>
              <w:left w:val="nil"/>
              <w:bottom w:val="single" w:sz="4" w:space="0" w:color="auto"/>
              <w:right w:val="single" w:sz="4" w:space="0" w:color="auto"/>
            </w:tcBorders>
            <w:vAlign w:val="center"/>
            <w:hideMark/>
          </w:tcPr>
          <w:p w14:paraId="4E9C0C0C" w14:textId="0E6B5AAB" w:rsidR="009D59F8" w:rsidRDefault="001E6049"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B </w:t>
            </w:r>
            <w:r w:rsidR="009D59F8">
              <w:rPr>
                <w:rFonts w:ascii="Calibri" w:eastAsia="Times New Roman" w:hAnsi="Calibri" w:cs="Calibri"/>
                <w:color w:val="000000"/>
                <w:sz w:val="16"/>
                <w:szCs w:val="16"/>
                <w:lang w:eastAsia="en-GB"/>
              </w:rPr>
              <w:t>– last condition assessment 2018</w:t>
            </w:r>
          </w:p>
        </w:tc>
        <w:tc>
          <w:tcPr>
            <w:tcW w:w="1360" w:type="dxa"/>
            <w:tcBorders>
              <w:top w:val="nil"/>
              <w:left w:val="nil"/>
              <w:bottom w:val="single" w:sz="4" w:space="0" w:color="auto"/>
              <w:right w:val="single" w:sz="4" w:space="0" w:color="auto"/>
            </w:tcBorders>
            <w:vAlign w:val="center"/>
            <w:hideMark/>
          </w:tcPr>
          <w:p w14:paraId="53871800" w14:textId="615A190C" w:rsidR="009D59F8" w:rsidRDefault="001E6049"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A</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00B0AA92" w14:textId="77777777" w:rsidR="009D59F8" w:rsidRDefault="009D59F8" w:rsidP="00500C88">
            <w:pPr>
              <w:rPr>
                <w:rFonts w:ascii="Calibri" w:eastAsia="Times New Roman" w:hAnsi="Calibri" w:cs="Calibri"/>
                <w:color w:val="000000"/>
                <w:sz w:val="16"/>
                <w:szCs w:val="16"/>
                <w:lang w:eastAsia="en-GB"/>
              </w:rPr>
            </w:pPr>
          </w:p>
        </w:tc>
      </w:tr>
      <w:tr w:rsidR="009D59F8" w14:paraId="4180BDAB" w14:textId="77777777" w:rsidTr="001E6049">
        <w:trPr>
          <w:trHeight w:val="315"/>
        </w:trPr>
        <w:tc>
          <w:tcPr>
            <w:tcW w:w="0" w:type="auto"/>
            <w:vMerge/>
            <w:tcBorders>
              <w:top w:val="nil"/>
              <w:left w:val="single" w:sz="8" w:space="0" w:color="auto"/>
              <w:bottom w:val="single" w:sz="8" w:space="0" w:color="000000"/>
              <w:right w:val="nil"/>
            </w:tcBorders>
            <w:vAlign w:val="center"/>
            <w:hideMark/>
          </w:tcPr>
          <w:p w14:paraId="6550499A" w14:textId="77777777" w:rsidR="009D59F8" w:rsidRDefault="009D59F8"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247B36" w14:textId="77777777" w:rsidR="009D59F8" w:rsidRDefault="009D59F8"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97BC1C" w14:textId="77777777" w:rsidR="009D59F8" w:rsidRDefault="009D59F8" w:rsidP="00500C88">
            <w:pPr>
              <w:spacing w:after="0"/>
              <w:rPr>
                <w:rFonts w:ascii="Calibri" w:eastAsia="Times New Roman" w:hAnsi="Calibri" w:cs="Calibri"/>
                <w:b/>
                <w:bCs/>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82A74" w14:textId="77777777" w:rsidR="009D59F8" w:rsidRDefault="009D59F8" w:rsidP="00500C88">
            <w:pPr>
              <w:spacing w:after="0"/>
              <w:rPr>
                <w:rFonts w:ascii="Calibri" w:eastAsia="Times New Roman" w:hAnsi="Calibri" w:cs="Calibri"/>
                <w:color w:val="000000"/>
                <w:sz w:val="16"/>
                <w:szCs w:val="16"/>
                <w:lang w:eastAsia="en-GB"/>
              </w:rPr>
            </w:pPr>
          </w:p>
        </w:tc>
        <w:tc>
          <w:tcPr>
            <w:tcW w:w="6300" w:type="dxa"/>
            <w:gridSpan w:val="2"/>
            <w:tcBorders>
              <w:top w:val="single" w:sz="4" w:space="0" w:color="auto"/>
              <w:left w:val="nil"/>
              <w:bottom w:val="single" w:sz="4" w:space="0" w:color="auto"/>
              <w:right w:val="single" w:sz="4" w:space="0" w:color="auto"/>
            </w:tcBorders>
            <w:hideMark/>
          </w:tcPr>
          <w:p w14:paraId="78218B64" w14:textId="77777777" w:rsidR="009D59F8" w:rsidRDefault="009D59F8"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1360" w:type="dxa"/>
            <w:tcBorders>
              <w:top w:val="nil"/>
              <w:left w:val="nil"/>
              <w:bottom w:val="single" w:sz="4" w:space="0" w:color="auto"/>
              <w:right w:val="single" w:sz="4" w:space="0" w:color="auto"/>
            </w:tcBorders>
            <w:vAlign w:val="center"/>
            <w:hideMark/>
          </w:tcPr>
          <w:p w14:paraId="39ED60B5" w14:textId="77777777" w:rsidR="009D59F8" w:rsidRDefault="009D59F8"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A3D073" w14:textId="77777777" w:rsidR="009D59F8" w:rsidRDefault="009D59F8" w:rsidP="00500C88">
            <w:pPr>
              <w:spacing w:after="0"/>
              <w:rPr>
                <w:rFonts w:ascii="Calibri" w:eastAsia="Times New Roman" w:hAnsi="Calibri" w:cs="Calibri"/>
                <w:color w:val="000000"/>
                <w:sz w:val="16"/>
                <w:szCs w:val="16"/>
                <w:lang w:eastAsia="en-GB"/>
              </w:rPr>
            </w:pPr>
          </w:p>
        </w:tc>
      </w:tr>
      <w:tr w:rsidR="009D59F8" w14:paraId="294CE29B" w14:textId="77777777" w:rsidTr="001E6049">
        <w:trPr>
          <w:trHeight w:val="406"/>
        </w:trPr>
        <w:tc>
          <w:tcPr>
            <w:tcW w:w="0" w:type="auto"/>
            <w:vMerge/>
            <w:tcBorders>
              <w:top w:val="nil"/>
              <w:left w:val="single" w:sz="8" w:space="0" w:color="auto"/>
              <w:bottom w:val="single" w:sz="8" w:space="0" w:color="000000"/>
              <w:right w:val="nil"/>
            </w:tcBorders>
            <w:vAlign w:val="center"/>
            <w:hideMark/>
          </w:tcPr>
          <w:p w14:paraId="02F92690" w14:textId="77777777" w:rsidR="009D59F8" w:rsidRDefault="009D59F8" w:rsidP="00500C88">
            <w:pPr>
              <w:spacing w:after="0"/>
              <w:rPr>
                <w:rFonts w:ascii="Calibri" w:eastAsia="Times New Roman" w:hAnsi="Calibri" w:cs="Calibri"/>
                <w:color w:val="000000"/>
                <w:sz w:val="16"/>
                <w:szCs w:val="16"/>
                <w:lang w:eastAsia="en-GB"/>
              </w:rPr>
            </w:pPr>
          </w:p>
        </w:tc>
        <w:tc>
          <w:tcPr>
            <w:tcW w:w="973" w:type="dxa"/>
            <w:vMerge w:val="restart"/>
            <w:tcBorders>
              <w:top w:val="single" w:sz="4" w:space="0" w:color="auto"/>
              <w:left w:val="single" w:sz="4" w:space="0" w:color="auto"/>
              <w:bottom w:val="single" w:sz="4" w:space="0" w:color="auto"/>
              <w:right w:val="single" w:sz="4" w:space="0" w:color="auto"/>
            </w:tcBorders>
            <w:hideMark/>
          </w:tcPr>
          <w:p w14:paraId="2B4902D5" w14:textId="60A4BF56" w:rsidR="009D59F8" w:rsidRDefault="009D59F8"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Subtidal Seagrass – </w:t>
            </w:r>
            <w:proofErr w:type="spellStart"/>
            <w:r>
              <w:rPr>
                <w:rFonts w:ascii="Calibri" w:eastAsia="Times New Roman" w:hAnsi="Calibri" w:cs="Calibri"/>
                <w:color w:val="000000"/>
                <w:sz w:val="16"/>
                <w:szCs w:val="16"/>
                <w:lang w:eastAsia="en-GB"/>
              </w:rPr>
              <w:t>Cawsand</w:t>
            </w:r>
            <w:proofErr w:type="spellEnd"/>
          </w:p>
        </w:tc>
        <w:tc>
          <w:tcPr>
            <w:tcW w:w="1402" w:type="dxa"/>
            <w:vMerge w:val="restart"/>
            <w:tcBorders>
              <w:top w:val="single" w:sz="4" w:space="0" w:color="auto"/>
              <w:left w:val="single" w:sz="4" w:space="0" w:color="auto"/>
              <w:bottom w:val="single" w:sz="4" w:space="0" w:color="auto"/>
              <w:right w:val="single" w:sz="4" w:space="0" w:color="auto"/>
            </w:tcBorders>
            <w:hideMark/>
          </w:tcPr>
          <w:p w14:paraId="2AFE78C7" w14:textId="77777777" w:rsidR="009D59F8" w:rsidRDefault="009D59F8"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 Food (Wild Food - fish and shellfish).    </w:t>
            </w:r>
          </w:p>
          <w:p w14:paraId="7F6C3B23" w14:textId="77777777" w:rsidR="009D59F8" w:rsidRDefault="009D59F8"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Healthy climate (carbon sequestration).         • Sea defence. (</w:t>
            </w:r>
            <w:proofErr w:type="gramStart"/>
            <w:r>
              <w:rPr>
                <w:rFonts w:ascii="Calibri" w:eastAsia="Times New Roman" w:hAnsi="Calibri" w:cs="Calibri"/>
                <w:b/>
                <w:bCs/>
                <w:color w:val="000000"/>
                <w:sz w:val="16"/>
                <w:szCs w:val="16"/>
                <w:lang w:eastAsia="en-GB"/>
              </w:rPr>
              <w:t>natural</w:t>
            </w:r>
            <w:proofErr w:type="gramEnd"/>
            <w:r>
              <w:rPr>
                <w:rFonts w:ascii="Calibri" w:eastAsia="Times New Roman" w:hAnsi="Calibri" w:cs="Calibri"/>
                <w:b/>
                <w:bCs/>
                <w:color w:val="000000"/>
                <w:sz w:val="16"/>
                <w:szCs w:val="16"/>
                <w:lang w:eastAsia="en-GB"/>
              </w:rPr>
              <w:t xml:space="preserve"> hazard regulation).               • Tourism/nature watching.                  • Clean water and sediments.</w:t>
            </w:r>
          </w:p>
        </w:tc>
        <w:tc>
          <w:tcPr>
            <w:tcW w:w="1545" w:type="dxa"/>
            <w:tcBorders>
              <w:top w:val="nil"/>
              <w:left w:val="nil"/>
              <w:bottom w:val="single" w:sz="4" w:space="0" w:color="auto"/>
              <w:right w:val="single" w:sz="4" w:space="0" w:color="auto"/>
            </w:tcBorders>
            <w:noWrap/>
            <w:hideMark/>
          </w:tcPr>
          <w:p w14:paraId="7625AD8A" w14:textId="77777777" w:rsidR="009D59F8" w:rsidRDefault="009D59F8"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Quality/Condition</w:t>
            </w:r>
          </w:p>
        </w:tc>
        <w:tc>
          <w:tcPr>
            <w:tcW w:w="3587" w:type="dxa"/>
            <w:tcBorders>
              <w:top w:val="nil"/>
              <w:left w:val="nil"/>
              <w:bottom w:val="single" w:sz="4" w:space="0" w:color="auto"/>
              <w:right w:val="single" w:sz="4" w:space="0" w:color="auto"/>
            </w:tcBorders>
            <w:hideMark/>
          </w:tcPr>
          <w:p w14:paraId="1E7F82D8" w14:textId="19EE984B" w:rsidR="009D59F8" w:rsidRDefault="009D59F8" w:rsidP="00D9226E">
            <w:pPr>
              <w:spacing w:after="0" w:line="240" w:lineRule="auto"/>
              <w:rPr>
                <w:rFonts w:ascii="Calibri" w:eastAsia="Times New Roman" w:hAnsi="Calibri" w:cs="Calibri"/>
                <w:color w:val="000000"/>
                <w:sz w:val="16"/>
                <w:szCs w:val="16"/>
                <w:lang w:eastAsia="en-GB"/>
              </w:rPr>
            </w:pPr>
            <w:r w:rsidRPr="00AB4B8D">
              <w:rPr>
                <w:rFonts w:ascii="Calibri" w:eastAsia="Times New Roman" w:hAnsi="Calibri" w:cs="Calibri"/>
                <w:b/>
                <w:bCs/>
                <w:color w:val="000000"/>
                <w:sz w:val="16"/>
                <w:szCs w:val="16"/>
                <w:lang w:eastAsia="en-GB"/>
              </w:rPr>
              <w:t>NE Package</w:t>
            </w:r>
            <w:r>
              <w:rPr>
                <w:rFonts w:ascii="Calibri" w:eastAsia="Times New Roman" w:hAnsi="Calibri" w:cs="Calibri"/>
                <w:color w:val="000000"/>
                <w:sz w:val="16"/>
                <w:szCs w:val="16"/>
                <w:lang w:eastAsia="en-GB"/>
              </w:rPr>
              <w:t xml:space="preserve">: </w:t>
            </w:r>
            <w:r w:rsidR="00D9226E" w:rsidRPr="00D9226E">
              <w:rPr>
                <w:rFonts w:ascii="Calibri" w:eastAsia="Times New Roman" w:hAnsi="Calibri" w:cs="Calibri"/>
                <w:color w:val="000000"/>
                <w:sz w:val="16"/>
                <w:szCs w:val="16"/>
                <w:lang w:eastAsia="en-GB"/>
              </w:rPr>
              <w:t>Average % Seagrass Cover DDV, 2018  – 59</w:t>
            </w:r>
            <w:r w:rsidR="00D9226E">
              <w:rPr>
                <w:rFonts w:ascii="Calibri" w:eastAsia="Times New Roman" w:hAnsi="Calibri" w:cs="Calibri"/>
                <w:color w:val="000000"/>
                <w:sz w:val="16"/>
                <w:szCs w:val="16"/>
                <w:lang w:eastAsia="en-GB"/>
              </w:rPr>
              <w:t xml:space="preserve">. </w:t>
            </w:r>
            <w:r w:rsidR="00D9226E" w:rsidRPr="00D9226E">
              <w:rPr>
                <w:rFonts w:ascii="Calibri" w:eastAsia="Times New Roman" w:hAnsi="Calibri" w:cs="Calibri"/>
                <w:color w:val="000000"/>
                <w:sz w:val="16"/>
                <w:szCs w:val="16"/>
                <w:lang w:eastAsia="en-GB"/>
              </w:rPr>
              <w:t>Average Shoot Density m</w:t>
            </w:r>
            <w:r w:rsidR="00D9226E" w:rsidRPr="008D30E2">
              <w:rPr>
                <w:rFonts w:ascii="Calibri" w:eastAsia="Times New Roman" w:hAnsi="Calibri" w:cs="Calibri"/>
                <w:color w:val="000000"/>
                <w:sz w:val="16"/>
                <w:szCs w:val="16"/>
                <w:vertAlign w:val="superscript"/>
                <w:lang w:eastAsia="en-GB"/>
              </w:rPr>
              <w:t>2</w:t>
            </w:r>
            <w:r w:rsidR="00D9226E" w:rsidRPr="00D9226E">
              <w:rPr>
                <w:rFonts w:ascii="Calibri" w:eastAsia="Times New Roman" w:hAnsi="Calibri" w:cs="Calibri"/>
                <w:color w:val="000000"/>
                <w:sz w:val="16"/>
                <w:szCs w:val="16"/>
                <w:lang w:eastAsia="en-GB"/>
              </w:rPr>
              <w:t>, 2018 – 86</w:t>
            </w:r>
            <w:r w:rsidR="00D9226E">
              <w:rPr>
                <w:rFonts w:ascii="Calibri" w:eastAsia="Times New Roman" w:hAnsi="Calibri" w:cs="Calibri"/>
                <w:color w:val="000000"/>
                <w:sz w:val="16"/>
                <w:szCs w:val="16"/>
                <w:lang w:eastAsia="en-GB"/>
              </w:rPr>
              <w:t xml:space="preserve">. </w:t>
            </w:r>
            <w:r w:rsidR="00D9226E" w:rsidRPr="00D9226E">
              <w:rPr>
                <w:rFonts w:ascii="Calibri" w:eastAsia="Times New Roman" w:hAnsi="Calibri" w:cs="Calibri"/>
                <w:color w:val="000000"/>
                <w:sz w:val="16"/>
                <w:szCs w:val="16"/>
                <w:lang w:eastAsia="en-GB"/>
              </w:rPr>
              <w:t>Average Plant Length cm, 2018 – 54</w:t>
            </w:r>
            <w:r w:rsidR="00D9226E">
              <w:rPr>
                <w:rFonts w:ascii="Calibri" w:eastAsia="Times New Roman" w:hAnsi="Calibri" w:cs="Calibri"/>
                <w:color w:val="000000"/>
                <w:sz w:val="16"/>
                <w:szCs w:val="16"/>
                <w:lang w:eastAsia="en-GB"/>
              </w:rPr>
              <w:t xml:space="preserve">. </w:t>
            </w:r>
            <w:r w:rsidR="00D9226E" w:rsidRPr="00D9226E">
              <w:rPr>
                <w:rFonts w:ascii="Calibri" w:eastAsia="Times New Roman" w:hAnsi="Calibri" w:cs="Calibri"/>
                <w:color w:val="000000"/>
                <w:sz w:val="16"/>
                <w:szCs w:val="16"/>
                <w:lang w:eastAsia="en-GB"/>
              </w:rPr>
              <w:t>% Infected Leaves, 2018 – 41</w:t>
            </w:r>
          </w:p>
          <w:p w14:paraId="1CCB47C0" w14:textId="77777777" w:rsidR="009D59F8" w:rsidRDefault="009D59F8" w:rsidP="00500C88">
            <w:pPr>
              <w:spacing w:after="0" w:line="240" w:lineRule="auto"/>
              <w:rPr>
                <w:rFonts w:ascii="Calibri" w:eastAsia="Times New Roman" w:hAnsi="Calibri" w:cs="Calibri"/>
                <w:color w:val="000000"/>
                <w:sz w:val="16"/>
                <w:szCs w:val="16"/>
                <w:lang w:eastAsia="en-GB"/>
              </w:rPr>
            </w:pPr>
          </w:p>
          <w:p w14:paraId="4CABAE01" w14:textId="6E4781F2" w:rsidR="009D59F8" w:rsidRDefault="009D59F8" w:rsidP="00500C88">
            <w:pPr>
              <w:spacing w:after="0" w:line="240" w:lineRule="auto"/>
              <w:rPr>
                <w:rFonts w:ascii="Calibri" w:eastAsia="Times New Roman" w:hAnsi="Calibri" w:cs="Calibri"/>
                <w:color w:val="000000"/>
                <w:sz w:val="16"/>
                <w:szCs w:val="16"/>
                <w:lang w:eastAsia="en-GB"/>
              </w:rPr>
            </w:pPr>
            <w:r w:rsidRPr="007A71B9">
              <w:rPr>
                <w:rFonts w:ascii="Calibri" w:eastAsia="Times New Roman" w:hAnsi="Calibri" w:cs="Calibri"/>
                <w:b/>
                <w:bCs/>
                <w:color w:val="000000"/>
                <w:sz w:val="16"/>
                <w:szCs w:val="16"/>
                <w:lang w:eastAsia="en-GB"/>
              </w:rPr>
              <w:t xml:space="preserve">LRC: </w:t>
            </w:r>
            <w:r w:rsidR="00F16550" w:rsidRPr="00F16550">
              <w:rPr>
                <w:rFonts w:ascii="Calibri" w:eastAsia="Times New Roman" w:hAnsi="Calibri" w:cs="Calibri"/>
                <w:color w:val="000000"/>
                <w:sz w:val="16"/>
                <w:szCs w:val="16"/>
                <w:lang w:eastAsia="en-GB"/>
              </w:rPr>
              <w:t xml:space="preserve">Moderate due to anchor and mooring pressures. </w:t>
            </w:r>
          </w:p>
          <w:p w14:paraId="66CA432F" w14:textId="77777777" w:rsidR="00F16550" w:rsidRDefault="00F16550" w:rsidP="00500C88">
            <w:pPr>
              <w:spacing w:after="0" w:line="240" w:lineRule="auto"/>
              <w:rPr>
                <w:rFonts w:ascii="Calibri" w:eastAsia="Times New Roman" w:hAnsi="Calibri" w:cs="Calibri"/>
                <w:color w:val="000000"/>
                <w:sz w:val="16"/>
                <w:szCs w:val="16"/>
                <w:lang w:eastAsia="en-GB"/>
              </w:rPr>
            </w:pPr>
          </w:p>
          <w:p w14:paraId="713F3BF8" w14:textId="77777777" w:rsidR="009D59F8" w:rsidRPr="001009AB" w:rsidRDefault="009D59F8" w:rsidP="00500C88">
            <w:pPr>
              <w:spacing w:after="0" w:line="240" w:lineRule="auto"/>
              <w:rPr>
                <w:rFonts w:ascii="Calibri" w:eastAsia="Times New Roman" w:hAnsi="Calibri" w:cs="Calibri"/>
                <w:b/>
                <w:bCs/>
                <w:color w:val="000000"/>
                <w:sz w:val="16"/>
                <w:szCs w:val="16"/>
                <w:lang w:eastAsia="en-GB"/>
              </w:rPr>
            </w:pPr>
            <w:r w:rsidRPr="001009AB">
              <w:rPr>
                <w:rFonts w:ascii="Calibri" w:eastAsia="Times New Roman" w:hAnsi="Calibri" w:cs="Calibri"/>
                <w:b/>
                <w:bCs/>
                <w:color w:val="000000"/>
                <w:sz w:val="16"/>
                <w:szCs w:val="16"/>
                <w:lang w:eastAsia="en-GB"/>
              </w:rPr>
              <w:t xml:space="preserve">Water Quality: </w:t>
            </w:r>
            <w:r w:rsidRPr="007D3203">
              <w:rPr>
                <w:rFonts w:ascii="Calibri" w:eastAsia="Times New Roman" w:hAnsi="Calibri" w:cs="Calibri"/>
                <w:color w:val="000000"/>
                <w:sz w:val="16"/>
                <w:szCs w:val="16"/>
                <w:lang w:eastAsia="en-GB"/>
              </w:rPr>
              <w:t>This seagrass bed is within the Plymouth Sound water body area. Water body fails to achieve good status due to levels of chemical contaminants and levels of DIN. Risk of eutrophication is supposedly low due to good-high status of phytoplankton and macroalgae.</w:t>
            </w:r>
          </w:p>
          <w:p w14:paraId="21EC909B" w14:textId="77777777" w:rsidR="009D59F8" w:rsidRDefault="009D59F8" w:rsidP="00500C88">
            <w:pPr>
              <w:spacing w:after="0" w:line="240" w:lineRule="auto"/>
              <w:rPr>
                <w:rFonts w:ascii="Calibri" w:eastAsia="Times New Roman" w:hAnsi="Calibri" w:cs="Calibri"/>
                <w:color w:val="000000"/>
                <w:sz w:val="16"/>
                <w:szCs w:val="16"/>
                <w:lang w:eastAsia="en-GB"/>
              </w:rPr>
            </w:pPr>
          </w:p>
          <w:p w14:paraId="0B74595D" w14:textId="77777777" w:rsidR="009D59F8" w:rsidRDefault="009D59F8" w:rsidP="00500C88">
            <w:pPr>
              <w:spacing w:after="0" w:line="240" w:lineRule="auto"/>
              <w:rPr>
                <w:rFonts w:ascii="Calibri" w:eastAsia="Times New Roman" w:hAnsi="Calibri" w:cs="Calibri"/>
                <w:color w:val="000000"/>
                <w:sz w:val="16"/>
                <w:szCs w:val="16"/>
                <w:lang w:eastAsia="en-GB"/>
              </w:rPr>
            </w:pPr>
          </w:p>
          <w:p w14:paraId="0994EA1A" w14:textId="77777777" w:rsidR="009D59F8" w:rsidRDefault="009D59F8" w:rsidP="00500C88">
            <w:pPr>
              <w:spacing w:after="0" w:line="240" w:lineRule="auto"/>
              <w:rPr>
                <w:rFonts w:ascii="Calibri" w:eastAsia="Times New Roman" w:hAnsi="Calibri" w:cs="Calibri"/>
                <w:color w:val="000000"/>
                <w:sz w:val="16"/>
                <w:szCs w:val="16"/>
                <w:lang w:eastAsia="en-GB"/>
              </w:rPr>
            </w:pPr>
          </w:p>
          <w:p w14:paraId="30E5AC75" w14:textId="77777777" w:rsidR="009D59F8" w:rsidRDefault="009D59F8" w:rsidP="00500C88">
            <w:pPr>
              <w:spacing w:after="0" w:line="240" w:lineRule="auto"/>
              <w:rPr>
                <w:rFonts w:ascii="Calibri" w:eastAsia="Times New Roman" w:hAnsi="Calibri" w:cs="Calibri"/>
                <w:color w:val="000000"/>
                <w:sz w:val="16"/>
                <w:szCs w:val="16"/>
                <w:lang w:eastAsia="en-GB"/>
              </w:rPr>
            </w:pPr>
          </w:p>
          <w:p w14:paraId="7615C324" w14:textId="77777777" w:rsidR="009D59F8" w:rsidRDefault="009D59F8" w:rsidP="00500C88">
            <w:pPr>
              <w:spacing w:after="0" w:line="240" w:lineRule="auto"/>
              <w:rPr>
                <w:rFonts w:ascii="Calibri" w:eastAsia="Times New Roman" w:hAnsi="Calibri" w:cs="Calibri"/>
                <w:color w:val="000000"/>
                <w:sz w:val="16"/>
                <w:szCs w:val="16"/>
                <w:lang w:eastAsia="en-GB"/>
              </w:rPr>
            </w:pPr>
          </w:p>
          <w:p w14:paraId="3BEC3696" w14:textId="77777777" w:rsidR="009D59F8" w:rsidRDefault="009D59F8" w:rsidP="00500C88">
            <w:pPr>
              <w:spacing w:after="0" w:line="240" w:lineRule="auto"/>
              <w:rPr>
                <w:rFonts w:ascii="Calibri" w:eastAsia="Times New Roman" w:hAnsi="Calibri" w:cs="Calibri"/>
                <w:color w:val="000000"/>
                <w:sz w:val="16"/>
                <w:szCs w:val="16"/>
                <w:lang w:eastAsia="en-GB"/>
              </w:rPr>
            </w:pPr>
          </w:p>
        </w:tc>
        <w:tc>
          <w:tcPr>
            <w:tcW w:w="2713" w:type="dxa"/>
            <w:tcBorders>
              <w:top w:val="nil"/>
              <w:left w:val="nil"/>
              <w:bottom w:val="single" w:sz="4" w:space="0" w:color="auto"/>
              <w:right w:val="single" w:sz="4" w:space="0" w:color="auto"/>
            </w:tcBorders>
            <w:hideMark/>
          </w:tcPr>
          <w:p w14:paraId="6FF6F1BB" w14:textId="77777777" w:rsidR="009D59F8" w:rsidRDefault="009D59F8" w:rsidP="00500C88">
            <w:pP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MSFD: As above.</w:t>
            </w:r>
          </w:p>
          <w:p w14:paraId="6FA47995" w14:textId="77777777" w:rsidR="009D59F8" w:rsidRDefault="009D59F8"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UK Marine Strategy: As above.</w:t>
            </w:r>
          </w:p>
          <w:p w14:paraId="13D943A4" w14:textId="77777777" w:rsidR="009D59F8" w:rsidRDefault="009D59F8" w:rsidP="00500C88">
            <w:pPr>
              <w:spacing w:after="0" w:line="240" w:lineRule="auto"/>
              <w:rPr>
                <w:rFonts w:ascii="Calibri" w:eastAsia="Times New Roman" w:hAnsi="Calibri" w:cs="Calibri"/>
                <w:b/>
                <w:bCs/>
                <w:color w:val="000000"/>
                <w:sz w:val="16"/>
                <w:szCs w:val="16"/>
                <w:lang w:eastAsia="en-GB"/>
              </w:rPr>
            </w:pPr>
          </w:p>
          <w:p w14:paraId="11049D75" w14:textId="77777777" w:rsidR="009D59F8" w:rsidRPr="00264AE0" w:rsidRDefault="009D59F8"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WFD: As above.</w:t>
            </w:r>
          </w:p>
        </w:tc>
        <w:tc>
          <w:tcPr>
            <w:tcW w:w="1360" w:type="dxa"/>
            <w:tcBorders>
              <w:top w:val="nil"/>
              <w:left w:val="nil"/>
              <w:bottom w:val="single" w:sz="4" w:space="0" w:color="auto"/>
              <w:right w:val="single" w:sz="4" w:space="0" w:color="auto"/>
            </w:tcBorders>
            <w:hideMark/>
          </w:tcPr>
          <w:p w14:paraId="791951CA" w14:textId="77777777" w:rsidR="009D59F8" w:rsidRDefault="009D59F8"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Declining </w:t>
            </w:r>
          </w:p>
          <w:p w14:paraId="5B63ACBD" w14:textId="77777777" w:rsidR="009D59F8" w:rsidRDefault="009D59F8" w:rsidP="00500C88">
            <w:pPr>
              <w:spacing w:after="0" w:line="240" w:lineRule="auto"/>
              <w:rPr>
                <w:rFonts w:ascii="Calibri" w:eastAsia="Times New Roman" w:hAnsi="Calibri" w:cs="Calibri"/>
                <w:color w:val="000000"/>
                <w:sz w:val="16"/>
                <w:szCs w:val="16"/>
                <w:lang w:eastAsia="en-GB"/>
              </w:rPr>
            </w:pPr>
          </w:p>
          <w:p w14:paraId="4D8CB592" w14:textId="77777777" w:rsidR="00706E5D" w:rsidRPr="00706E5D" w:rsidRDefault="00706E5D" w:rsidP="00706E5D">
            <w:pPr>
              <w:spacing w:after="0" w:line="240" w:lineRule="auto"/>
              <w:rPr>
                <w:rFonts w:ascii="Calibri" w:eastAsia="Times New Roman" w:hAnsi="Calibri" w:cs="Calibri"/>
                <w:color w:val="000000"/>
                <w:sz w:val="16"/>
                <w:szCs w:val="16"/>
                <w:lang w:eastAsia="en-GB"/>
              </w:rPr>
            </w:pPr>
            <w:r w:rsidRPr="00706E5D">
              <w:rPr>
                <w:rFonts w:ascii="Calibri" w:eastAsia="Times New Roman" w:hAnsi="Calibri" w:cs="Calibri"/>
                <w:color w:val="000000"/>
                <w:sz w:val="16"/>
                <w:szCs w:val="16"/>
                <w:lang w:eastAsia="en-GB"/>
              </w:rPr>
              <w:t>Average % Seagrass Cover DDV increased from 30 in 2012 to 59 in 2018.</w:t>
            </w:r>
          </w:p>
          <w:p w14:paraId="2A1E8552" w14:textId="77777777" w:rsidR="00706E5D" w:rsidRPr="00706E5D" w:rsidRDefault="00706E5D" w:rsidP="00706E5D">
            <w:pPr>
              <w:spacing w:after="0" w:line="240" w:lineRule="auto"/>
              <w:rPr>
                <w:rFonts w:ascii="Calibri" w:eastAsia="Times New Roman" w:hAnsi="Calibri" w:cs="Calibri"/>
                <w:color w:val="000000"/>
                <w:sz w:val="16"/>
                <w:szCs w:val="16"/>
                <w:lang w:eastAsia="en-GB"/>
              </w:rPr>
            </w:pPr>
          </w:p>
          <w:p w14:paraId="6FED681D" w14:textId="77777777" w:rsidR="00706E5D" w:rsidRPr="00706E5D" w:rsidRDefault="00706E5D" w:rsidP="00706E5D">
            <w:pPr>
              <w:spacing w:after="0" w:line="240" w:lineRule="auto"/>
              <w:rPr>
                <w:rFonts w:ascii="Calibri" w:eastAsia="Times New Roman" w:hAnsi="Calibri" w:cs="Calibri"/>
                <w:color w:val="000000"/>
                <w:sz w:val="16"/>
                <w:szCs w:val="16"/>
                <w:lang w:eastAsia="en-GB"/>
              </w:rPr>
            </w:pPr>
            <w:r w:rsidRPr="00706E5D">
              <w:rPr>
                <w:rFonts w:ascii="Calibri" w:eastAsia="Times New Roman" w:hAnsi="Calibri" w:cs="Calibri"/>
                <w:color w:val="000000"/>
                <w:sz w:val="16"/>
                <w:szCs w:val="16"/>
                <w:lang w:eastAsia="en-GB"/>
              </w:rPr>
              <w:t xml:space="preserve">Average Shoot Density m2 increased from 34 in 2012 to 86 in 2018. </w:t>
            </w:r>
          </w:p>
          <w:p w14:paraId="01C00BC3" w14:textId="77777777" w:rsidR="00706E5D" w:rsidRPr="00706E5D" w:rsidRDefault="00706E5D" w:rsidP="00706E5D">
            <w:pPr>
              <w:spacing w:after="0" w:line="240" w:lineRule="auto"/>
              <w:rPr>
                <w:rFonts w:ascii="Calibri" w:eastAsia="Times New Roman" w:hAnsi="Calibri" w:cs="Calibri"/>
                <w:color w:val="000000"/>
                <w:sz w:val="16"/>
                <w:szCs w:val="16"/>
                <w:lang w:eastAsia="en-GB"/>
              </w:rPr>
            </w:pPr>
          </w:p>
          <w:p w14:paraId="3F8FE89E" w14:textId="77777777" w:rsidR="00706E5D" w:rsidRPr="00706E5D" w:rsidRDefault="00706E5D" w:rsidP="00706E5D">
            <w:pPr>
              <w:spacing w:after="0" w:line="240" w:lineRule="auto"/>
              <w:rPr>
                <w:rFonts w:ascii="Calibri" w:eastAsia="Times New Roman" w:hAnsi="Calibri" w:cs="Calibri"/>
                <w:color w:val="000000"/>
                <w:sz w:val="16"/>
                <w:szCs w:val="16"/>
                <w:lang w:eastAsia="en-GB"/>
              </w:rPr>
            </w:pPr>
            <w:r w:rsidRPr="00706E5D">
              <w:rPr>
                <w:rFonts w:ascii="Calibri" w:eastAsia="Times New Roman" w:hAnsi="Calibri" w:cs="Calibri"/>
                <w:color w:val="000000"/>
                <w:sz w:val="16"/>
                <w:szCs w:val="16"/>
                <w:lang w:eastAsia="en-GB"/>
              </w:rPr>
              <w:t>Average Plant Length cm increased from 34 in 2012 to 54 in 2018.</w:t>
            </w:r>
          </w:p>
          <w:p w14:paraId="0EDBD8C2" w14:textId="77777777" w:rsidR="00706E5D" w:rsidRPr="00706E5D" w:rsidRDefault="00706E5D" w:rsidP="00706E5D">
            <w:pPr>
              <w:spacing w:after="0" w:line="240" w:lineRule="auto"/>
              <w:rPr>
                <w:rFonts w:ascii="Calibri" w:eastAsia="Times New Roman" w:hAnsi="Calibri" w:cs="Calibri"/>
                <w:color w:val="000000"/>
                <w:sz w:val="16"/>
                <w:szCs w:val="16"/>
                <w:lang w:eastAsia="en-GB"/>
              </w:rPr>
            </w:pPr>
          </w:p>
          <w:p w14:paraId="19E6C054" w14:textId="23174F6A" w:rsidR="009D59F8" w:rsidRDefault="00706E5D" w:rsidP="00706E5D">
            <w:pPr>
              <w:spacing w:after="0" w:line="240" w:lineRule="auto"/>
              <w:rPr>
                <w:rFonts w:ascii="Calibri" w:eastAsia="Times New Roman" w:hAnsi="Calibri" w:cs="Calibri"/>
                <w:color w:val="000000"/>
                <w:sz w:val="16"/>
                <w:szCs w:val="16"/>
                <w:lang w:eastAsia="en-GB"/>
              </w:rPr>
            </w:pPr>
            <w:r w:rsidRPr="00706E5D">
              <w:rPr>
                <w:rFonts w:ascii="Calibri" w:eastAsia="Times New Roman" w:hAnsi="Calibri" w:cs="Calibri"/>
                <w:color w:val="000000"/>
                <w:sz w:val="16"/>
                <w:szCs w:val="16"/>
                <w:lang w:eastAsia="en-GB"/>
              </w:rPr>
              <w:t>% Infected Leaves decreased from 42 in 2012 to 41 in 2018.</w:t>
            </w:r>
          </w:p>
        </w:tc>
        <w:tc>
          <w:tcPr>
            <w:tcW w:w="870" w:type="dxa"/>
            <w:tcBorders>
              <w:top w:val="single" w:sz="4" w:space="0" w:color="auto"/>
              <w:left w:val="single" w:sz="4" w:space="0" w:color="auto"/>
              <w:bottom w:val="single" w:sz="4" w:space="0" w:color="auto"/>
              <w:right w:val="single" w:sz="4" w:space="0" w:color="auto"/>
            </w:tcBorders>
            <w:shd w:val="clear" w:color="auto" w:fill="FFA3A3"/>
            <w:vAlign w:val="center"/>
            <w:hideMark/>
          </w:tcPr>
          <w:p w14:paraId="446D1F0C" w14:textId="35D1B004" w:rsidR="009D59F8" w:rsidRDefault="001E6049" w:rsidP="00500C88">
            <w:pPr>
              <w:spacing w:after="0" w:line="240" w:lineRule="auto"/>
              <w:jc w:val="center"/>
              <w:rPr>
                <w:rFonts w:ascii="Calibri" w:eastAsia="Times New Roman" w:hAnsi="Calibri" w:cs="Calibri"/>
                <w:b/>
                <w:bCs/>
                <w:color w:val="000000"/>
                <w:sz w:val="16"/>
                <w:szCs w:val="16"/>
                <w:lang w:eastAsia="en-GB"/>
              </w:rPr>
            </w:pPr>
            <w:r w:rsidRPr="00430FF2">
              <w:rPr>
                <w:rFonts w:ascii="Calibri" w:eastAsia="Times New Roman" w:hAnsi="Calibri" w:cs="Calibri"/>
                <w:b/>
                <w:bCs/>
                <w:sz w:val="16"/>
                <w:szCs w:val="16"/>
                <w:lang w:eastAsia="en-GB"/>
              </w:rPr>
              <w:t>C</w:t>
            </w:r>
            <w:r w:rsidR="009D59F8" w:rsidRPr="00430FF2">
              <w:rPr>
                <w:rFonts w:ascii="Calibri" w:eastAsia="Times New Roman" w:hAnsi="Calibri" w:cs="Calibri"/>
                <w:b/>
                <w:bCs/>
                <w:sz w:val="16"/>
                <w:szCs w:val="16"/>
                <w:lang w:eastAsia="en-GB"/>
              </w:rPr>
              <w:t xml:space="preserve">             (4)</w:t>
            </w:r>
          </w:p>
        </w:tc>
      </w:tr>
      <w:tr w:rsidR="009D59F8" w14:paraId="2BF8774B" w14:textId="77777777" w:rsidTr="00500C88">
        <w:trPr>
          <w:trHeight w:val="210"/>
        </w:trPr>
        <w:tc>
          <w:tcPr>
            <w:tcW w:w="0" w:type="auto"/>
            <w:vMerge/>
            <w:tcBorders>
              <w:top w:val="nil"/>
              <w:left w:val="single" w:sz="8" w:space="0" w:color="auto"/>
              <w:bottom w:val="single" w:sz="8" w:space="0" w:color="000000"/>
              <w:right w:val="nil"/>
            </w:tcBorders>
            <w:vAlign w:val="center"/>
            <w:hideMark/>
          </w:tcPr>
          <w:p w14:paraId="059E2695" w14:textId="77777777" w:rsidR="009D59F8" w:rsidRDefault="009D59F8"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3AE68A" w14:textId="77777777" w:rsidR="009D59F8" w:rsidRDefault="009D59F8"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AB0FC1" w14:textId="77777777" w:rsidR="009D59F8" w:rsidRDefault="009D59F8" w:rsidP="00500C88">
            <w:pPr>
              <w:spacing w:after="0"/>
              <w:rPr>
                <w:rFonts w:ascii="Calibri" w:eastAsia="Times New Roman" w:hAnsi="Calibri" w:cs="Calibri"/>
                <w:b/>
                <w:bCs/>
                <w:color w:val="000000"/>
                <w:sz w:val="16"/>
                <w:szCs w:val="16"/>
                <w:lang w:eastAsia="en-GB"/>
              </w:rPr>
            </w:pPr>
          </w:p>
        </w:tc>
        <w:tc>
          <w:tcPr>
            <w:tcW w:w="1545" w:type="dxa"/>
            <w:tcBorders>
              <w:top w:val="nil"/>
              <w:left w:val="nil"/>
              <w:bottom w:val="single" w:sz="4" w:space="0" w:color="auto"/>
              <w:right w:val="single" w:sz="4" w:space="0" w:color="auto"/>
            </w:tcBorders>
            <w:noWrap/>
            <w:hideMark/>
          </w:tcPr>
          <w:p w14:paraId="0A882DDE" w14:textId="77777777" w:rsidR="009D59F8" w:rsidRDefault="009D59F8"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6300" w:type="dxa"/>
            <w:gridSpan w:val="2"/>
            <w:tcBorders>
              <w:top w:val="single" w:sz="4" w:space="0" w:color="auto"/>
              <w:left w:val="nil"/>
              <w:bottom w:val="single" w:sz="4" w:space="0" w:color="auto"/>
              <w:right w:val="single" w:sz="4" w:space="0" w:color="auto"/>
            </w:tcBorders>
            <w:vAlign w:val="center"/>
            <w:hideMark/>
          </w:tcPr>
          <w:p w14:paraId="25544D74" w14:textId="38EC91CD" w:rsidR="009D59F8" w:rsidRDefault="001E6049"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w:t>
            </w:r>
            <w:r w:rsidR="009D59F8">
              <w:rPr>
                <w:rFonts w:ascii="Calibri" w:eastAsia="Times New Roman" w:hAnsi="Calibri" w:cs="Calibri"/>
                <w:color w:val="000000"/>
                <w:sz w:val="16"/>
                <w:szCs w:val="16"/>
                <w:lang w:eastAsia="en-GB"/>
              </w:rPr>
              <w:t xml:space="preserve"> – last condition assessment 2018</w:t>
            </w:r>
          </w:p>
        </w:tc>
        <w:tc>
          <w:tcPr>
            <w:tcW w:w="1360" w:type="dxa"/>
            <w:tcBorders>
              <w:top w:val="nil"/>
              <w:left w:val="nil"/>
              <w:bottom w:val="single" w:sz="4" w:space="0" w:color="auto"/>
              <w:right w:val="single" w:sz="4" w:space="0" w:color="auto"/>
            </w:tcBorders>
            <w:vAlign w:val="center"/>
            <w:hideMark/>
          </w:tcPr>
          <w:p w14:paraId="2E2C30A3" w14:textId="78ABBA02" w:rsidR="009D59F8" w:rsidRDefault="001E6049"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w:t>
            </w:r>
          </w:p>
        </w:tc>
        <w:tc>
          <w:tcPr>
            <w:tcW w:w="870" w:type="dxa"/>
            <w:vMerge w:val="restart"/>
            <w:tcBorders>
              <w:top w:val="nil"/>
              <w:left w:val="single" w:sz="4" w:space="0" w:color="auto"/>
              <w:bottom w:val="single" w:sz="4" w:space="0" w:color="auto"/>
              <w:right w:val="single" w:sz="4" w:space="0" w:color="auto"/>
            </w:tcBorders>
            <w:vAlign w:val="center"/>
            <w:hideMark/>
          </w:tcPr>
          <w:p w14:paraId="70529A5B" w14:textId="77777777" w:rsidR="009D59F8" w:rsidRDefault="009D59F8" w:rsidP="00500C88">
            <w:pPr>
              <w:rPr>
                <w:rFonts w:ascii="Calibri" w:eastAsia="Times New Roman" w:hAnsi="Calibri" w:cs="Calibri"/>
                <w:color w:val="000000"/>
                <w:sz w:val="16"/>
                <w:szCs w:val="16"/>
                <w:lang w:eastAsia="en-GB"/>
              </w:rPr>
            </w:pPr>
          </w:p>
        </w:tc>
      </w:tr>
      <w:tr w:rsidR="009D59F8" w14:paraId="1F514F2B" w14:textId="77777777" w:rsidTr="001E6049">
        <w:trPr>
          <w:trHeight w:val="270"/>
        </w:trPr>
        <w:tc>
          <w:tcPr>
            <w:tcW w:w="0" w:type="auto"/>
            <w:vMerge/>
            <w:tcBorders>
              <w:top w:val="nil"/>
              <w:left w:val="single" w:sz="8" w:space="0" w:color="auto"/>
              <w:bottom w:val="single" w:sz="8" w:space="0" w:color="000000"/>
              <w:right w:val="nil"/>
            </w:tcBorders>
            <w:vAlign w:val="center"/>
            <w:hideMark/>
          </w:tcPr>
          <w:p w14:paraId="760530D0" w14:textId="77777777" w:rsidR="009D59F8" w:rsidRDefault="009D59F8"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2EA116" w14:textId="77777777" w:rsidR="009D59F8" w:rsidRDefault="009D59F8"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E696D7" w14:textId="77777777" w:rsidR="009D59F8" w:rsidRDefault="009D59F8" w:rsidP="00500C88">
            <w:pPr>
              <w:spacing w:after="0"/>
              <w:rPr>
                <w:rFonts w:ascii="Calibri" w:eastAsia="Times New Roman" w:hAnsi="Calibri" w:cs="Calibri"/>
                <w:b/>
                <w:bCs/>
                <w:color w:val="000000"/>
                <w:sz w:val="16"/>
                <w:szCs w:val="16"/>
                <w:lang w:eastAsia="en-GB"/>
              </w:rPr>
            </w:pPr>
          </w:p>
        </w:tc>
        <w:tc>
          <w:tcPr>
            <w:tcW w:w="1545" w:type="dxa"/>
            <w:tcBorders>
              <w:top w:val="nil"/>
              <w:left w:val="nil"/>
              <w:bottom w:val="single" w:sz="4" w:space="0" w:color="auto"/>
              <w:right w:val="single" w:sz="4" w:space="0" w:color="auto"/>
            </w:tcBorders>
            <w:noWrap/>
            <w:hideMark/>
          </w:tcPr>
          <w:p w14:paraId="4435ABBE" w14:textId="77777777" w:rsidR="009D59F8" w:rsidRDefault="009D59F8"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6300" w:type="dxa"/>
            <w:gridSpan w:val="2"/>
            <w:tcBorders>
              <w:top w:val="single" w:sz="4" w:space="0" w:color="auto"/>
              <w:left w:val="nil"/>
              <w:bottom w:val="single" w:sz="4" w:space="0" w:color="auto"/>
              <w:right w:val="single" w:sz="4" w:space="0" w:color="auto"/>
            </w:tcBorders>
            <w:vAlign w:val="center"/>
            <w:hideMark/>
          </w:tcPr>
          <w:p w14:paraId="5A0A789B" w14:textId="77777777" w:rsidR="009D59F8" w:rsidRDefault="009D59F8"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1360" w:type="dxa"/>
            <w:tcBorders>
              <w:top w:val="nil"/>
              <w:left w:val="nil"/>
              <w:bottom w:val="single" w:sz="4" w:space="0" w:color="auto"/>
              <w:right w:val="single" w:sz="4" w:space="0" w:color="auto"/>
            </w:tcBorders>
            <w:vAlign w:val="center"/>
            <w:hideMark/>
          </w:tcPr>
          <w:p w14:paraId="5EC1B151" w14:textId="77777777" w:rsidR="009D59F8" w:rsidRDefault="009D59F8"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0" w:type="auto"/>
            <w:vMerge/>
            <w:tcBorders>
              <w:top w:val="nil"/>
              <w:left w:val="single" w:sz="4" w:space="0" w:color="auto"/>
              <w:bottom w:val="single" w:sz="4" w:space="0" w:color="auto"/>
              <w:right w:val="single" w:sz="4" w:space="0" w:color="auto"/>
            </w:tcBorders>
            <w:vAlign w:val="center"/>
            <w:hideMark/>
          </w:tcPr>
          <w:p w14:paraId="47BC568E" w14:textId="77777777" w:rsidR="009D59F8" w:rsidRDefault="009D59F8" w:rsidP="00500C88">
            <w:pPr>
              <w:spacing w:after="0"/>
              <w:rPr>
                <w:rFonts w:ascii="Calibri" w:eastAsia="Times New Roman" w:hAnsi="Calibri" w:cs="Calibri"/>
                <w:color w:val="000000"/>
                <w:sz w:val="16"/>
                <w:szCs w:val="16"/>
                <w:lang w:eastAsia="en-GB"/>
              </w:rPr>
            </w:pPr>
          </w:p>
        </w:tc>
      </w:tr>
      <w:tr w:rsidR="009D59F8" w14:paraId="55B1762F" w14:textId="77777777" w:rsidTr="00430FF2">
        <w:trPr>
          <w:trHeight w:val="2018"/>
        </w:trPr>
        <w:tc>
          <w:tcPr>
            <w:tcW w:w="0" w:type="auto"/>
            <w:vMerge/>
            <w:tcBorders>
              <w:top w:val="nil"/>
              <w:left w:val="single" w:sz="8" w:space="0" w:color="auto"/>
              <w:bottom w:val="single" w:sz="8" w:space="0" w:color="000000"/>
              <w:right w:val="nil"/>
            </w:tcBorders>
            <w:vAlign w:val="center"/>
            <w:hideMark/>
          </w:tcPr>
          <w:p w14:paraId="0D56E656" w14:textId="77777777" w:rsidR="009D59F8" w:rsidRDefault="009D59F8" w:rsidP="00500C88">
            <w:pPr>
              <w:spacing w:after="0"/>
              <w:rPr>
                <w:rFonts w:ascii="Calibri" w:eastAsia="Times New Roman" w:hAnsi="Calibri" w:cs="Calibri"/>
                <w:color w:val="000000"/>
                <w:sz w:val="16"/>
                <w:szCs w:val="16"/>
                <w:lang w:eastAsia="en-GB"/>
              </w:rPr>
            </w:pPr>
          </w:p>
        </w:tc>
        <w:tc>
          <w:tcPr>
            <w:tcW w:w="973" w:type="dxa"/>
            <w:vMerge w:val="restart"/>
            <w:tcBorders>
              <w:top w:val="single" w:sz="4" w:space="0" w:color="auto"/>
              <w:left w:val="single" w:sz="4" w:space="0" w:color="auto"/>
              <w:bottom w:val="single" w:sz="4" w:space="0" w:color="auto"/>
              <w:right w:val="single" w:sz="4" w:space="0" w:color="auto"/>
            </w:tcBorders>
            <w:hideMark/>
          </w:tcPr>
          <w:p w14:paraId="59CF302E" w14:textId="4D806180" w:rsidR="009D59F8" w:rsidRDefault="009D59F8"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Subtidal Seagrass – </w:t>
            </w:r>
            <w:proofErr w:type="spellStart"/>
            <w:r>
              <w:rPr>
                <w:rFonts w:ascii="Calibri" w:eastAsia="Times New Roman" w:hAnsi="Calibri" w:cs="Calibri"/>
                <w:color w:val="000000"/>
                <w:sz w:val="16"/>
                <w:szCs w:val="16"/>
                <w:lang w:eastAsia="en-GB"/>
              </w:rPr>
              <w:t>Cawsand</w:t>
            </w:r>
            <w:proofErr w:type="spellEnd"/>
          </w:p>
        </w:tc>
        <w:tc>
          <w:tcPr>
            <w:tcW w:w="1402" w:type="dxa"/>
            <w:vMerge w:val="restart"/>
            <w:tcBorders>
              <w:top w:val="single" w:sz="4" w:space="0" w:color="auto"/>
              <w:left w:val="single" w:sz="4" w:space="0" w:color="auto"/>
              <w:bottom w:val="single" w:sz="4" w:space="0" w:color="auto"/>
              <w:right w:val="single" w:sz="4" w:space="0" w:color="auto"/>
            </w:tcBorders>
            <w:hideMark/>
          </w:tcPr>
          <w:p w14:paraId="7C7844BA" w14:textId="77777777" w:rsidR="009D59F8" w:rsidRDefault="009D59F8"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 Food (Wild Food - fish and shellfish).    </w:t>
            </w:r>
          </w:p>
          <w:p w14:paraId="2CF1829E" w14:textId="77777777" w:rsidR="009D59F8" w:rsidRDefault="009D59F8"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Healthy climate (carbon sequestration).         • Sea defence. (</w:t>
            </w:r>
            <w:proofErr w:type="gramStart"/>
            <w:r>
              <w:rPr>
                <w:rFonts w:ascii="Calibri" w:eastAsia="Times New Roman" w:hAnsi="Calibri" w:cs="Calibri"/>
                <w:b/>
                <w:bCs/>
                <w:color w:val="000000"/>
                <w:sz w:val="16"/>
                <w:szCs w:val="16"/>
                <w:lang w:eastAsia="en-GB"/>
              </w:rPr>
              <w:t>natural</w:t>
            </w:r>
            <w:proofErr w:type="gramEnd"/>
            <w:r>
              <w:rPr>
                <w:rFonts w:ascii="Calibri" w:eastAsia="Times New Roman" w:hAnsi="Calibri" w:cs="Calibri"/>
                <w:b/>
                <w:bCs/>
                <w:color w:val="000000"/>
                <w:sz w:val="16"/>
                <w:szCs w:val="16"/>
                <w:lang w:eastAsia="en-GB"/>
              </w:rPr>
              <w:t xml:space="preserve"> hazard regulation).               • Tourism/nature watching.                  • Clean water and sediments.</w:t>
            </w:r>
          </w:p>
        </w:tc>
        <w:tc>
          <w:tcPr>
            <w:tcW w:w="1545" w:type="dxa"/>
            <w:vMerge w:val="restart"/>
            <w:tcBorders>
              <w:top w:val="single" w:sz="4" w:space="0" w:color="auto"/>
              <w:left w:val="single" w:sz="4" w:space="0" w:color="auto"/>
              <w:bottom w:val="single" w:sz="8" w:space="0" w:color="auto"/>
              <w:right w:val="single" w:sz="4" w:space="0" w:color="auto"/>
            </w:tcBorders>
            <w:noWrap/>
            <w:hideMark/>
          </w:tcPr>
          <w:p w14:paraId="482CA25E" w14:textId="77777777" w:rsidR="009D59F8" w:rsidRDefault="009D59F8"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Spatial configuration</w:t>
            </w:r>
          </w:p>
        </w:tc>
        <w:tc>
          <w:tcPr>
            <w:tcW w:w="3587" w:type="dxa"/>
            <w:tcBorders>
              <w:top w:val="single" w:sz="4" w:space="0" w:color="auto"/>
              <w:left w:val="nil"/>
              <w:bottom w:val="single" w:sz="4" w:space="0" w:color="auto"/>
              <w:right w:val="single" w:sz="4" w:space="0" w:color="auto"/>
            </w:tcBorders>
            <w:hideMark/>
          </w:tcPr>
          <w:p w14:paraId="4D542867" w14:textId="77777777" w:rsidR="001E6049" w:rsidRPr="00D81799" w:rsidRDefault="001E6049" w:rsidP="001E6049">
            <w:pPr>
              <w:spacing w:after="0" w:line="240" w:lineRule="auto"/>
              <w:rPr>
                <w:rFonts w:ascii="Calibri" w:eastAsia="Times New Roman" w:hAnsi="Calibri" w:cs="Calibri"/>
                <w:color w:val="000000"/>
                <w:sz w:val="16"/>
                <w:szCs w:val="16"/>
                <w:lang w:eastAsia="en-GB"/>
              </w:rPr>
            </w:pPr>
            <w:r w:rsidRPr="00BA66F3">
              <w:rPr>
                <w:rFonts w:ascii="Calibri" w:eastAsia="Times New Roman" w:hAnsi="Calibri" w:cs="Calibri"/>
                <w:b/>
                <w:bCs/>
                <w:color w:val="000000"/>
                <w:sz w:val="16"/>
                <w:szCs w:val="16"/>
                <w:lang w:eastAsia="en-GB"/>
              </w:rPr>
              <w:t>Composite mapping</w:t>
            </w:r>
            <w:r>
              <w:rPr>
                <w:rFonts w:ascii="Calibri" w:eastAsia="Times New Roman" w:hAnsi="Calibri" w:cs="Calibri"/>
                <w:color w:val="000000"/>
                <w:sz w:val="16"/>
                <w:szCs w:val="16"/>
                <w:lang w:eastAsia="en-GB"/>
              </w:rPr>
              <w:t xml:space="preserve">: </w:t>
            </w:r>
            <w:r w:rsidRPr="00C4790C">
              <w:rPr>
                <w:rFonts w:ascii="Calibri" w:eastAsia="Times New Roman" w:hAnsi="Calibri" w:cs="Calibri"/>
                <w:color w:val="000000"/>
                <w:sz w:val="16"/>
                <w:szCs w:val="16"/>
                <w:lang w:eastAsia="en-GB"/>
              </w:rPr>
              <w:t xml:space="preserve">Composite mapping shows the seagrass bed at </w:t>
            </w:r>
            <w:proofErr w:type="spellStart"/>
            <w:r w:rsidRPr="00C4790C">
              <w:rPr>
                <w:rFonts w:ascii="Calibri" w:eastAsia="Times New Roman" w:hAnsi="Calibri" w:cs="Calibri"/>
                <w:color w:val="000000"/>
                <w:sz w:val="16"/>
                <w:szCs w:val="16"/>
                <w:lang w:eastAsia="en-GB"/>
              </w:rPr>
              <w:t>Cawsand</w:t>
            </w:r>
            <w:proofErr w:type="spellEnd"/>
            <w:r w:rsidRPr="00C4790C">
              <w:rPr>
                <w:rFonts w:ascii="Calibri" w:eastAsia="Times New Roman" w:hAnsi="Calibri" w:cs="Calibri"/>
                <w:color w:val="000000"/>
                <w:sz w:val="16"/>
                <w:szCs w:val="16"/>
                <w:lang w:eastAsia="en-GB"/>
              </w:rPr>
              <w:t xml:space="preserve"> Bay to have an area of 0.25 Km2</w:t>
            </w:r>
            <w:r w:rsidRPr="00781C8A">
              <w:rPr>
                <w:rFonts w:ascii="Calibri" w:eastAsia="Times New Roman" w:hAnsi="Calibri" w:cs="Calibri"/>
                <w:color w:val="000000"/>
                <w:sz w:val="16"/>
                <w:szCs w:val="16"/>
                <w:lang w:eastAsia="en-GB"/>
              </w:rPr>
              <w:t>.</w:t>
            </w:r>
          </w:p>
          <w:p w14:paraId="309EE02B" w14:textId="77777777" w:rsidR="001E6049" w:rsidRDefault="001E6049" w:rsidP="001E6049">
            <w:pPr>
              <w:spacing w:after="0" w:line="240" w:lineRule="auto"/>
              <w:rPr>
                <w:rFonts w:ascii="Calibri" w:eastAsia="Times New Roman" w:hAnsi="Calibri" w:cs="Calibri"/>
                <w:color w:val="000000"/>
                <w:sz w:val="16"/>
                <w:szCs w:val="16"/>
                <w:lang w:eastAsia="en-GB"/>
              </w:rPr>
            </w:pPr>
          </w:p>
          <w:p w14:paraId="5A0AA8E9" w14:textId="77777777" w:rsidR="001E6049" w:rsidRPr="000421E1" w:rsidRDefault="001E6049" w:rsidP="001E6049">
            <w:pPr>
              <w:spacing w:after="0" w:line="240" w:lineRule="auto"/>
              <w:rPr>
                <w:color w:val="000000" w:themeColor="text1"/>
                <w:sz w:val="18"/>
                <w:szCs w:val="18"/>
              </w:rPr>
            </w:pPr>
            <w:r w:rsidRPr="009D42EA">
              <w:rPr>
                <w:rFonts w:ascii="Calibri" w:eastAsia="Times New Roman" w:hAnsi="Calibri" w:cs="Calibri"/>
                <w:b/>
                <w:bCs/>
                <w:color w:val="000000"/>
                <w:sz w:val="16"/>
                <w:szCs w:val="16"/>
                <w:lang w:eastAsia="en-GB"/>
              </w:rPr>
              <w:t>NE Package:</w:t>
            </w:r>
            <w:r>
              <w:rPr>
                <w:rFonts w:ascii="Calibri" w:eastAsia="Times New Roman" w:hAnsi="Calibri" w:cs="Calibri"/>
                <w:b/>
                <w:bCs/>
                <w:color w:val="000000"/>
                <w:sz w:val="16"/>
                <w:szCs w:val="16"/>
                <w:lang w:eastAsia="en-GB"/>
              </w:rPr>
              <w:t xml:space="preserve"> </w:t>
            </w:r>
            <w:r w:rsidRPr="00D50E6A">
              <w:rPr>
                <w:rFonts w:ascii="Calibri" w:eastAsia="Times New Roman" w:hAnsi="Calibri" w:cs="Calibri"/>
                <w:color w:val="000000"/>
                <w:sz w:val="16"/>
                <w:szCs w:val="16"/>
                <w:lang w:eastAsia="en-GB"/>
              </w:rPr>
              <w:t>The Bunker et al (2019) report estimated an increase in seagrass area from 119,739 m</w:t>
            </w:r>
            <w:r w:rsidRPr="00D50E6A">
              <w:rPr>
                <w:rFonts w:ascii="Calibri" w:eastAsia="Times New Roman" w:hAnsi="Calibri" w:cs="Calibri"/>
                <w:color w:val="000000"/>
                <w:sz w:val="16"/>
                <w:szCs w:val="16"/>
                <w:vertAlign w:val="superscript"/>
                <w:lang w:eastAsia="en-GB"/>
              </w:rPr>
              <w:t>2</w:t>
            </w:r>
            <w:r w:rsidRPr="00D50E6A">
              <w:rPr>
                <w:rFonts w:ascii="Calibri" w:eastAsia="Times New Roman" w:hAnsi="Calibri" w:cs="Calibri"/>
                <w:color w:val="000000"/>
                <w:sz w:val="16"/>
                <w:szCs w:val="16"/>
                <w:lang w:eastAsia="en-GB"/>
              </w:rPr>
              <w:t xml:space="preserve"> to 186,214 m</w:t>
            </w:r>
            <w:r w:rsidRPr="00D50E6A">
              <w:rPr>
                <w:rFonts w:ascii="Calibri" w:eastAsia="Times New Roman" w:hAnsi="Calibri" w:cs="Calibri"/>
                <w:color w:val="000000"/>
                <w:sz w:val="16"/>
                <w:szCs w:val="16"/>
                <w:vertAlign w:val="superscript"/>
                <w:lang w:eastAsia="en-GB"/>
              </w:rPr>
              <w:t>2</w:t>
            </w:r>
            <w:r w:rsidRPr="00D50E6A">
              <w:rPr>
                <w:rFonts w:ascii="Calibri" w:eastAsia="Times New Roman" w:hAnsi="Calibri" w:cs="Calibri"/>
                <w:color w:val="000000"/>
                <w:sz w:val="16"/>
                <w:szCs w:val="16"/>
                <w:lang w:eastAsia="en-GB"/>
              </w:rPr>
              <w:t xml:space="preserve"> between 2012 and 2018 at </w:t>
            </w:r>
            <w:proofErr w:type="spellStart"/>
            <w:r w:rsidRPr="00D50E6A">
              <w:rPr>
                <w:rFonts w:ascii="Calibri" w:eastAsia="Times New Roman" w:hAnsi="Calibri" w:cs="Calibri"/>
                <w:color w:val="000000"/>
                <w:sz w:val="16"/>
                <w:szCs w:val="16"/>
                <w:lang w:eastAsia="en-GB"/>
              </w:rPr>
              <w:t>Cawsand</w:t>
            </w:r>
            <w:proofErr w:type="spellEnd"/>
            <w:r w:rsidRPr="00D50E6A">
              <w:rPr>
                <w:rFonts w:ascii="Calibri" w:eastAsia="Times New Roman" w:hAnsi="Calibri" w:cs="Calibri"/>
                <w:color w:val="000000"/>
                <w:sz w:val="16"/>
                <w:szCs w:val="16"/>
                <w:lang w:eastAsia="en-GB"/>
              </w:rPr>
              <w:t xml:space="preserve"> Bay. Equivalent to an 56% increase in area.  </w:t>
            </w:r>
          </w:p>
          <w:p w14:paraId="61E5E06B" w14:textId="77777777" w:rsidR="009D59F8" w:rsidRDefault="009D59F8" w:rsidP="00500C88">
            <w:pPr>
              <w:spacing w:after="0" w:line="240" w:lineRule="auto"/>
              <w:rPr>
                <w:rFonts w:ascii="Calibri" w:eastAsia="Times New Roman" w:hAnsi="Calibri" w:cs="Calibri"/>
                <w:color w:val="000000"/>
                <w:sz w:val="16"/>
                <w:szCs w:val="16"/>
                <w:lang w:eastAsia="en-GB"/>
              </w:rPr>
            </w:pPr>
          </w:p>
        </w:tc>
        <w:tc>
          <w:tcPr>
            <w:tcW w:w="2713" w:type="dxa"/>
            <w:tcBorders>
              <w:top w:val="single" w:sz="4" w:space="0" w:color="auto"/>
              <w:left w:val="nil"/>
              <w:bottom w:val="single" w:sz="4" w:space="0" w:color="auto"/>
              <w:right w:val="single" w:sz="4" w:space="0" w:color="auto"/>
            </w:tcBorders>
            <w:hideMark/>
          </w:tcPr>
          <w:p w14:paraId="4ADF42C9" w14:textId="77777777" w:rsidR="009D59F8" w:rsidRDefault="009D59F8"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As for extent. </w:t>
            </w:r>
          </w:p>
        </w:tc>
        <w:tc>
          <w:tcPr>
            <w:tcW w:w="1360" w:type="dxa"/>
            <w:tcBorders>
              <w:top w:val="single" w:sz="4" w:space="0" w:color="auto"/>
              <w:left w:val="nil"/>
              <w:bottom w:val="single" w:sz="4" w:space="0" w:color="auto"/>
              <w:right w:val="single" w:sz="4" w:space="0" w:color="auto"/>
            </w:tcBorders>
            <w:noWrap/>
            <w:hideMark/>
          </w:tcPr>
          <w:p w14:paraId="7395E4D4" w14:textId="77777777" w:rsidR="001E6049" w:rsidRDefault="001E6049" w:rsidP="001E6049">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Increasing </w:t>
            </w:r>
          </w:p>
          <w:p w14:paraId="58789E89" w14:textId="77777777" w:rsidR="001E6049" w:rsidRDefault="001E6049" w:rsidP="001E6049">
            <w:pPr>
              <w:spacing w:after="0" w:line="240" w:lineRule="auto"/>
              <w:rPr>
                <w:rFonts w:ascii="Calibri" w:eastAsia="Times New Roman" w:hAnsi="Calibri" w:cs="Calibri"/>
                <w:color w:val="000000"/>
                <w:sz w:val="16"/>
                <w:szCs w:val="16"/>
                <w:lang w:eastAsia="en-GB"/>
              </w:rPr>
            </w:pPr>
          </w:p>
          <w:p w14:paraId="3FF60982" w14:textId="2666E1FC" w:rsidR="009D59F8" w:rsidRDefault="001E6049" w:rsidP="001E6049">
            <w:pPr>
              <w:spacing w:after="0" w:line="240" w:lineRule="auto"/>
              <w:rPr>
                <w:rFonts w:ascii="Calibri" w:eastAsia="Times New Roman" w:hAnsi="Calibri" w:cs="Calibri"/>
                <w:color w:val="000000"/>
                <w:sz w:val="16"/>
                <w:szCs w:val="16"/>
                <w:lang w:eastAsia="en-GB"/>
              </w:rPr>
            </w:pPr>
            <w:r w:rsidRPr="004731B2">
              <w:rPr>
                <w:rFonts w:ascii="Calibri" w:eastAsia="Times New Roman" w:hAnsi="Calibri" w:cs="Calibri"/>
                <w:color w:val="000000"/>
                <w:sz w:val="16"/>
                <w:szCs w:val="16"/>
                <w:lang w:eastAsia="en-GB"/>
              </w:rPr>
              <w:t>Bunker et al. (2019) report suggests a 56% increase in seagrass area between 2012 and 2018.</w:t>
            </w:r>
          </w:p>
        </w:tc>
        <w:tc>
          <w:tcPr>
            <w:tcW w:w="870" w:type="dxa"/>
            <w:tcBorders>
              <w:top w:val="single" w:sz="4" w:space="0" w:color="auto"/>
              <w:left w:val="single" w:sz="4" w:space="0" w:color="auto"/>
              <w:bottom w:val="single" w:sz="4" w:space="0" w:color="auto"/>
              <w:right w:val="single" w:sz="4" w:space="0" w:color="auto"/>
            </w:tcBorders>
            <w:shd w:val="clear" w:color="auto" w:fill="FFE9A3"/>
            <w:vAlign w:val="center"/>
            <w:hideMark/>
          </w:tcPr>
          <w:p w14:paraId="4A071BC0" w14:textId="77777777" w:rsidR="001E6049" w:rsidRDefault="001E6049" w:rsidP="00500C88">
            <w:pPr>
              <w:spacing w:after="0" w:line="240" w:lineRule="auto"/>
              <w:jc w:val="center"/>
              <w:rPr>
                <w:rFonts w:ascii="Calibri" w:eastAsia="Times New Roman" w:hAnsi="Calibri" w:cs="Calibri"/>
                <w:b/>
                <w:bCs/>
                <w:sz w:val="16"/>
                <w:szCs w:val="16"/>
                <w:lang w:eastAsia="en-GB"/>
              </w:rPr>
            </w:pPr>
            <w:r w:rsidRPr="001E6049">
              <w:rPr>
                <w:rFonts w:ascii="Calibri" w:eastAsia="Times New Roman" w:hAnsi="Calibri" w:cs="Calibri"/>
                <w:b/>
                <w:bCs/>
                <w:sz w:val="16"/>
                <w:szCs w:val="16"/>
                <w:lang w:eastAsia="en-GB"/>
              </w:rPr>
              <w:t>B</w:t>
            </w:r>
            <w:r w:rsidR="009D59F8" w:rsidRPr="001E6049">
              <w:rPr>
                <w:rFonts w:ascii="Calibri" w:eastAsia="Times New Roman" w:hAnsi="Calibri" w:cs="Calibri"/>
                <w:b/>
                <w:bCs/>
                <w:sz w:val="16"/>
                <w:szCs w:val="16"/>
                <w:lang w:eastAsia="en-GB"/>
              </w:rPr>
              <w:t xml:space="preserve"> </w:t>
            </w:r>
          </w:p>
          <w:p w14:paraId="5CD79665" w14:textId="7E6D8152" w:rsidR="009D59F8" w:rsidRPr="001E6049" w:rsidRDefault="009D59F8" w:rsidP="00500C88">
            <w:pPr>
              <w:spacing w:after="0" w:line="240" w:lineRule="auto"/>
              <w:jc w:val="center"/>
              <w:rPr>
                <w:rFonts w:ascii="Calibri" w:eastAsia="Times New Roman" w:hAnsi="Calibri" w:cs="Calibri"/>
                <w:b/>
                <w:bCs/>
                <w:sz w:val="16"/>
                <w:szCs w:val="16"/>
                <w:lang w:eastAsia="en-GB"/>
              </w:rPr>
            </w:pPr>
            <w:r w:rsidRPr="001E6049">
              <w:rPr>
                <w:rFonts w:ascii="Calibri" w:eastAsia="Times New Roman" w:hAnsi="Calibri" w:cs="Calibri"/>
                <w:b/>
                <w:bCs/>
                <w:sz w:val="16"/>
                <w:szCs w:val="16"/>
                <w:lang w:eastAsia="en-GB"/>
              </w:rPr>
              <w:t>(4)</w:t>
            </w:r>
          </w:p>
        </w:tc>
      </w:tr>
      <w:tr w:rsidR="009D59F8" w14:paraId="1E4A638E" w14:textId="77777777" w:rsidTr="00500C88">
        <w:trPr>
          <w:trHeight w:val="300"/>
        </w:trPr>
        <w:tc>
          <w:tcPr>
            <w:tcW w:w="0" w:type="auto"/>
            <w:vMerge/>
            <w:tcBorders>
              <w:top w:val="nil"/>
              <w:left w:val="single" w:sz="8" w:space="0" w:color="auto"/>
              <w:bottom w:val="single" w:sz="8" w:space="0" w:color="000000"/>
              <w:right w:val="nil"/>
            </w:tcBorders>
            <w:vAlign w:val="center"/>
            <w:hideMark/>
          </w:tcPr>
          <w:p w14:paraId="140FCC95" w14:textId="77777777" w:rsidR="009D59F8" w:rsidRDefault="009D59F8"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282BFF" w14:textId="77777777" w:rsidR="009D59F8" w:rsidRDefault="009D59F8"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2CB47F" w14:textId="77777777" w:rsidR="009D59F8" w:rsidRDefault="009D59F8" w:rsidP="00500C88">
            <w:pPr>
              <w:spacing w:after="0"/>
              <w:rPr>
                <w:rFonts w:ascii="Calibri" w:eastAsia="Times New Roman" w:hAnsi="Calibri" w:cs="Calibri"/>
                <w:b/>
                <w:bCs/>
                <w:color w:val="000000"/>
                <w:sz w:val="16"/>
                <w:szCs w:val="16"/>
                <w:lang w:eastAsia="en-GB"/>
              </w:rPr>
            </w:pPr>
          </w:p>
        </w:tc>
        <w:tc>
          <w:tcPr>
            <w:tcW w:w="0" w:type="auto"/>
            <w:vMerge/>
            <w:tcBorders>
              <w:top w:val="single" w:sz="4" w:space="0" w:color="auto"/>
              <w:left w:val="single" w:sz="4" w:space="0" w:color="auto"/>
              <w:bottom w:val="single" w:sz="8" w:space="0" w:color="auto"/>
              <w:right w:val="single" w:sz="4" w:space="0" w:color="auto"/>
            </w:tcBorders>
            <w:vAlign w:val="center"/>
            <w:hideMark/>
          </w:tcPr>
          <w:p w14:paraId="53154454" w14:textId="77777777" w:rsidR="009D59F8" w:rsidRDefault="009D59F8" w:rsidP="00500C88">
            <w:pPr>
              <w:spacing w:after="0"/>
              <w:rPr>
                <w:rFonts w:ascii="Calibri" w:eastAsia="Times New Roman" w:hAnsi="Calibri" w:cs="Calibri"/>
                <w:color w:val="000000"/>
                <w:sz w:val="16"/>
                <w:szCs w:val="16"/>
                <w:lang w:eastAsia="en-GB"/>
              </w:rPr>
            </w:pPr>
          </w:p>
        </w:tc>
        <w:tc>
          <w:tcPr>
            <w:tcW w:w="6300" w:type="dxa"/>
            <w:gridSpan w:val="2"/>
            <w:tcBorders>
              <w:top w:val="single" w:sz="4" w:space="0" w:color="auto"/>
              <w:left w:val="nil"/>
              <w:bottom w:val="single" w:sz="4" w:space="0" w:color="auto"/>
              <w:right w:val="single" w:sz="4" w:space="0" w:color="auto"/>
            </w:tcBorders>
            <w:vAlign w:val="center"/>
            <w:hideMark/>
          </w:tcPr>
          <w:p w14:paraId="71EB1C56" w14:textId="2D7E8494" w:rsidR="009D59F8" w:rsidRDefault="001E6049"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B</w:t>
            </w:r>
          </w:p>
        </w:tc>
        <w:tc>
          <w:tcPr>
            <w:tcW w:w="1360" w:type="dxa"/>
            <w:tcBorders>
              <w:top w:val="nil"/>
              <w:left w:val="nil"/>
              <w:bottom w:val="single" w:sz="4" w:space="0" w:color="auto"/>
              <w:right w:val="single" w:sz="4" w:space="0" w:color="auto"/>
            </w:tcBorders>
            <w:vAlign w:val="center"/>
            <w:hideMark/>
          </w:tcPr>
          <w:p w14:paraId="63AAF691" w14:textId="40A974EB" w:rsidR="009D59F8" w:rsidRDefault="001E6049"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A</w:t>
            </w:r>
          </w:p>
        </w:tc>
        <w:tc>
          <w:tcPr>
            <w:tcW w:w="870" w:type="dxa"/>
            <w:vMerge w:val="restart"/>
            <w:tcBorders>
              <w:top w:val="nil"/>
              <w:left w:val="single" w:sz="4" w:space="0" w:color="auto"/>
              <w:bottom w:val="single" w:sz="4" w:space="0" w:color="auto"/>
              <w:right w:val="single" w:sz="4" w:space="0" w:color="auto"/>
            </w:tcBorders>
            <w:vAlign w:val="center"/>
            <w:hideMark/>
          </w:tcPr>
          <w:p w14:paraId="30C20519" w14:textId="77777777" w:rsidR="009D59F8" w:rsidRDefault="009D59F8" w:rsidP="00500C88">
            <w:pPr>
              <w:rPr>
                <w:rFonts w:ascii="Calibri" w:eastAsia="Times New Roman" w:hAnsi="Calibri" w:cs="Calibri"/>
                <w:color w:val="000000"/>
                <w:sz w:val="16"/>
                <w:szCs w:val="16"/>
                <w:lang w:eastAsia="en-GB"/>
              </w:rPr>
            </w:pPr>
          </w:p>
        </w:tc>
      </w:tr>
      <w:tr w:rsidR="009D59F8" w14:paraId="02B37ECC" w14:textId="77777777" w:rsidTr="00500C88">
        <w:trPr>
          <w:trHeight w:val="315"/>
        </w:trPr>
        <w:tc>
          <w:tcPr>
            <w:tcW w:w="0" w:type="auto"/>
            <w:vMerge/>
            <w:tcBorders>
              <w:top w:val="nil"/>
              <w:left w:val="single" w:sz="8" w:space="0" w:color="auto"/>
              <w:bottom w:val="single" w:sz="8" w:space="0" w:color="000000"/>
              <w:right w:val="nil"/>
            </w:tcBorders>
            <w:vAlign w:val="center"/>
            <w:hideMark/>
          </w:tcPr>
          <w:p w14:paraId="26D9FF67" w14:textId="77777777" w:rsidR="009D59F8" w:rsidRDefault="009D59F8"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7CA78" w14:textId="77777777" w:rsidR="009D59F8" w:rsidRDefault="009D59F8"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8F0BF9" w14:textId="77777777" w:rsidR="009D59F8" w:rsidRDefault="009D59F8" w:rsidP="00500C88">
            <w:pPr>
              <w:spacing w:after="0"/>
              <w:rPr>
                <w:rFonts w:ascii="Calibri" w:eastAsia="Times New Roman" w:hAnsi="Calibri" w:cs="Calibri"/>
                <w:b/>
                <w:bCs/>
                <w:color w:val="000000"/>
                <w:sz w:val="16"/>
                <w:szCs w:val="16"/>
                <w:lang w:eastAsia="en-GB"/>
              </w:rPr>
            </w:pPr>
          </w:p>
        </w:tc>
        <w:tc>
          <w:tcPr>
            <w:tcW w:w="0" w:type="auto"/>
            <w:vMerge/>
            <w:tcBorders>
              <w:top w:val="single" w:sz="4" w:space="0" w:color="auto"/>
              <w:left w:val="single" w:sz="4" w:space="0" w:color="auto"/>
              <w:bottom w:val="single" w:sz="8" w:space="0" w:color="auto"/>
              <w:right w:val="single" w:sz="4" w:space="0" w:color="auto"/>
            </w:tcBorders>
            <w:vAlign w:val="center"/>
            <w:hideMark/>
          </w:tcPr>
          <w:p w14:paraId="6BCB3A01" w14:textId="77777777" w:rsidR="009D59F8" w:rsidRDefault="009D59F8" w:rsidP="00500C88">
            <w:pPr>
              <w:spacing w:after="0"/>
              <w:rPr>
                <w:rFonts w:ascii="Calibri" w:eastAsia="Times New Roman" w:hAnsi="Calibri" w:cs="Calibri"/>
                <w:color w:val="000000"/>
                <w:sz w:val="16"/>
                <w:szCs w:val="16"/>
                <w:lang w:eastAsia="en-GB"/>
              </w:rPr>
            </w:pPr>
          </w:p>
        </w:tc>
        <w:tc>
          <w:tcPr>
            <w:tcW w:w="6300" w:type="dxa"/>
            <w:gridSpan w:val="2"/>
            <w:tcBorders>
              <w:top w:val="single" w:sz="4" w:space="0" w:color="auto"/>
              <w:left w:val="nil"/>
              <w:bottom w:val="single" w:sz="4" w:space="0" w:color="auto"/>
              <w:right w:val="single" w:sz="4" w:space="0" w:color="auto"/>
            </w:tcBorders>
            <w:vAlign w:val="center"/>
            <w:hideMark/>
          </w:tcPr>
          <w:p w14:paraId="6E7D1D70" w14:textId="77777777" w:rsidR="009D59F8" w:rsidRDefault="009D59F8"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1360" w:type="dxa"/>
            <w:tcBorders>
              <w:top w:val="nil"/>
              <w:left w:val="nil"/>
              <w:bottom w:val="single" w:sz="4" w:space="0" w:color="auto"/>
              <w:right w:val="single" w:sz="4" w:space="0" w:color="auto"/>
            </w:tcBorders>
            <w:vAlign w:val="center"/>
            <w:hideMark/>
          </w:tcPr>
          <w:p w14:paraId="50DF533D" w14:textId="77777777" w:rsidR="009D59F8" w:rsidRDefault="009D59F8"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0" w:type="auto"/>
            <w:vMerge/>
            <w:tcBorders>
              <w:top w:val="nil"/>
              <w:left w:val="single" w:sz="4" w:space="0" w:color="auto"/>
              <w:bottom w:val="single" w:sz="4" w:space="0" w:color="auto"/>
              <w:right w:val="single" w:sz="4" w:space="0" w:color="auto"/>
            </w:tcBorders>
            <w:vAlign w:val="center"/>
            <w:hideMark/>
          </w:tcPr>
          <w:p w14:paraId="22892740" w14:textId="77777777" w:rsidR="009D59F8" w:rsidRDefault="009D59F8" w:rsidP="00500C88">
            <w:pPr>
              <w:spacing w:after="0"/>
              <w:rPr>
                <w:rFonts w:ascii="Calibri" w:eastAsia="Times New Roman" w:hAnsi="Calibri" w:cs="Calibri"/>
                <w:color w:val="000000"/>
                <w:sz w:val="16"/>
                <w:szCs w:val="16"/>
                <w:lang w:eastAsia="en-GB"/>
              </w:rPr>
            </w:pPr>
          </w:p>
        </w:tc>
      </w:tr>
    </w:tbl>
    <w:p w14:paraId="3968F4B5" w14:textId="77777777" w:rsidR="009D59F8" w:rsidRDefault="009D59F8" w:rsidP="008E7806"/>
    <w:p w14:paraId="0A67E2CB" w14:textId="77777777" w:rsidR="001E6049" w:rsidRDefault="001E6049" w:rsidP="008E7806"/>
    <w:tbl>
      <w:tblPr>
        <w:tblW w:w="13580" w:type="dxa"/>
        <w:tblLook w:val="04A0" w:firstRow="1" w:lastRow="0" w:firstColumn="1" w:lastColumn="0" w:noHBand="0" w:noVBand="1"/>
      </w:tblPr>
      <w:tblGrid>
        <w:gridCol w:w="1130"/>
        <w:gridCol w:w="973"/>
        <w:gridCol w:w="1402"/>
        <w:gridCol w:w="1545"/>
        <w:gridCol w:w="3587"/>
        <w:gridCol w:w="2713"/>
        <w:gridCol w:w="1360"/>
        <w:gridCol w:w="870"/>
      </w:tblGrid>
      <w:tr w:rsidR="001E6049" w14:paraId="6D32A4B0" w14:textId="77777777" w:rsidTr="007B15D1">
        <w:trPr>
          <w:trHeight w:val="780"/>
          <w:tblHeader/>
        </w:trPr>
        <w:tc>
          <w:tcPr>
            <w:tcW w:w="1130" w:type="dxa"/>
            <w:tcBorders>
              <w:top w:val="single" w:sz="8" w:space="0" w:color="auto"/>
              <w:left w:val="single" w:sz="8" w:space="0" w:color="auto"/>
              <w:bottom w:val="single" w:sz="8" w:space="0" w:color="auto"/>
              <w:right w:val="single" w:sz="8" w:space="0" w:color="auto"/>
            </w:tcBorders>
            <w:hideMark/>
          </w:tcPr>
          <w:p w14:paraId="43D4FA91" w14:textId="77777777" w:rsidR="001E6049" w:rsidRDefault="001E6049"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Broad Habitat type</w:t>
            </w:r>
          </w:p>
        </w:tc>
        <w:tc>
          <w:tcPr>
            <w:tcW w:w="973" w:type="dxa"/>
            <w:tcBorders>
              <w:top w:val="single" w:sz="8" w:space="0" w:color="auto"/>
              <w:left w:val="nil"/>
              <w:bottom w:val="nil"/>
              <w:right w:val="single" w:sz="8" w:space="0" w:color="auto"/>
            </w:tcBorders>
            <w:hideMark/>
          </w:tcPr>
          <w:p w14:paraId="5C9D5295" w14:textId="77777777" w:rsidR="001E6049" w:rsidRDefault="001E6049"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Habitat / Species Asset</w:t>
            </w:r>
          </w:p>
        </w:tc>
        <w:tc>
          <w:tcPr>
            <w:tcW w:w="1402" w:type="dxa"/>
            <w:tcBorders>
              <w:top w:val="single" w:sz="8" w:space="0" w:color="auto"/>
              <w:left w:val="nil"/>
              <w:bottom w:val="nil"/>
              <w:right w:val="single" w:sz="8" w:space="0" w:color="auto"/>
            </w:tcBorders>
            <w:hideMark/>
          </w:tcPr>
          <w:p w14:paraId="1A760A07" w14:textId="77777777" w:rsidR="001E6049" w:rsidRDefault="001E6049"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Benefit</w:t>
            </w:r>
          </w:p>
        </w:tc>
        <w:tc>
          <w:tcPr>
            <w:tcW w:w="1545" w:type="dxa"/>
            <w:tcBorders>
              <w:top w:val="single" w:sz="8" w:space="0" w:color="auto"/>
              <w:left w:val="nil"/>
              <w:bottom w:val="nil"/>
              <w:right w:val="single" w:sz="8" w:space="0" w:color="auto"/>
            </w:tcBorders>
            <w:noWrap/>
            <w:hideMark/>
          </w:tcPr>
          <w:p w14:paraId="3D6B7799" w14:textId="77777777" w:rsidR="001E6049" w:rsidRDefault="001E6049"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Characteristic</w:t>
            </w:r>
          </w:p>
        </w:tc>
        <w:tc>
          <w:tcPr>
            <w:tcW w:w="3587" w:type="dxa"/>
            <w:tcBorders>
              <w:top w:val="single" w:sz="8" w:space="0" w:color="auto"/>
              <w:left w:val="nil"/>
              <w:bottom w:val="nil"/>
              <w:right w:val="single" w:sz="8" w:space="0" w:color="auto"/>
            </w:tcBorders>
            <w:noWrap/>
            <w:hideMark/>
          </w:tcPr>
          <w:p w14:paraId="5ED8063E" w14:textId="77777777" w:rsidR="001E6049" w:rsidRDefault="001E6049"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Current Status</w:t>
            </w:r>
          </w:p>
        </w:tc>
        <w:tc>
          <w:tcPr>
            <w:tcW w:w="2713" w:type="dxa"/>
            <w:tcBorders>
              <w:top w:val="single" w:sz="8" w:space="0" w:color="auto"/>
              <w:left w:val="nil"/>
              <w:bottom w:val="nil"/>
              <w:right w:val="single" w:sz="8" w:space="0" w:color="auto"/>
            </w:tcBorders>
            <w:noWrap/>
            <w:hideMark/>
          </w:tcPr>
          <w:p w14:paraId="20745450" w14:textId="77777777" w:rsidR="001E6049" w:rsidRDefault="001E6049"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Target</w:t>
            </w:r>
          </w:p>
        </w:tc>
        <w:tc>
          <w:tcPr>
            <w:tcW w:w="1360" w:type="dxa"/>
            <w:tcBorders>
              <w:top w:val="single" w:sz="8" w:space="0" w:color="auto"/>
              <w:left w:val="nil"/>
              <w:bottom w:val="nil"/>
              <w:right w:val="single" w:sz="8" w:space="0" w:color="auto"/>
            </w:tcBorders>
            <w:noWrap/>
            <w:hideMark/>
          </w:tcPr>
          <w:p w14:paraId="29D34819" w14:textId="77777777" w:rsidR="001E6049" w:rsidRDefault="001E6049"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Trend</w:t>
            </w:r>
          </w:p>
        </w:tc>
        <w:tc>
          <w:tcPr>
            <w:tcW w:w="870" w:type="dxa"/>
            <w:tcBorders>
              <w:top w:val="single" w:sz="8" w:space="0" w:color="auto"/>
              <w:left w:val="nil"/>
              <w:bottom w:val="single" w:sz="4" w:space="0" w:color="auto"/>
              <w:right w:val="single" w:sz="8" w:space="0" w:color="auto"/>
            </w:tcBorders>
            <w:noWrap/>
            <w:hideMark/>
          </w:tcPr>
          <w:p w14:paraId="2981A20D" w14:textId="77777777" w:rsidR="001E6049" w:rsidRDefault="001E6049" w:rsidP="00500C88">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RAG</w:t>
            </w:r>
          </w:p>
        </w:tc>
      </w:tr>
      <w:tr w:rsidR="001E6049" w14:paraId="49951698" w14:textId="77777777" w:rsidTr="007B15D1">
        <w:trPr>
          <w:trHeight w:val="2019"/>
        </w:trPr>
        <w:tc>
          <w:tcPr>
            <w:tcW w:w="1130" w:type="dxa"/>
            <w:vMerge w:val="restart"/>
            <w:tcBorders>
              <w:top w:val="nil"/>
              <w:left w:val="single" w:sz="8" w:space="0" w:color="auto"/>
              <w:bottom w:val="single" w:sz="8" w:space="0" w:color="000000"/>
              <w:right w:val="nil"/>
            </w:tcBorders>
            <w:shd w:val="clear" w:color="auto" w:fill="F2F2F2"/>
            <w:noWrap/>
            <w:hideMark/>
          </w:tcPr>
          <w:p w14:paraId="4AE4D738" w14:textId="77777777" w:rsidR="001E6049" w:rsidRDefault="001E6049"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Coastal Margin</w:t>
            </w:r>
          </w:p>
        </w:tc>
        <w:tc>
          <w:tcPr>
            <w:tcW w:w="973" w:type="dxa"/>
            <w:vMerge w:val="restart"/>
            <w:tcBorders>
              <w:top w:val="single" w:sz="4" w:space="0" w:color="auto"/>
              <w:left w:val="single" w:sz="4" w:space="0" w:color="auto"/>
              <w:bottom w:val="single" w:sz="4" w:space="0" w:color="auto"/>
              <w:right w:val="single" w:sz="4" w:space="0" w:color="auto"/>
            </w:tcBorders>
            <w:hideMark/>
          </w:tcPr>
          <w:p w14:paraId="48214CBF" w14:textId="6FE80281" w:rsidR="001E6049" w:rsidRDefault="001E6049"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Subtidal Seagrass – </w:t>
            </w:r>
            <w:proofErr w:type="spellStart"/>
            <w:r>
              <w:rPr>
                <w:rFonts w:ascii="Calibri" w:eastAsia="Times New Roman" w:hAnsi="Calibri" w:cs="Calibri"/>
                <w:color w:val="000000"/>
                <w:sz w:val="16"/>
                <w:szCs w:val="16"/>
                <w:lang w:eastAsia="en-GB"/>
              </w:rPr>
              <w:t>Yealm</w:t>
            </w:r>
            <w:proofErr w:type="spellEnd"/>
          </w:p>
        </w:tc>
        <w:tc>
          <w:tcPr>
            <w:tcW w:w="1402" w:type="dxa"/>
            <w:vMerge w:val="restart"/>
            <w:tcBorders>
              <w:top w:val="single" w:sz="4" w:space="0" w:color="auto"/>
              <w:left w:val="single" w:sz="4" w:space="0" w:color="auto"/>
              <w:bottom w:val="single" w:sz="4" w:space="0" w:color="auto"/>
              <w:right w:val="single" w:sz="4" w:space="0" w:color="auto"/>
            </w:tcBorders>
            <w:hideMark/>
          </w:tcPr>
          <w:p w14:paraId="408A0737" w14:textId="77777777" w:rsidR="001E6049" w:rsidRDefault="001E6049"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 Food (Wild Food - fish and shellfish).    </w:t>
            </w:r>
          </w:p>
          <w:p w14:paraId="0A439BEE" w14:textId="77777777" w:rsidR="001E6049" w:rsidRDefault="001E6049" w:rsidP="00500C88">
            <w:pPr>
              <w:spacing w:after="0" w:line="240" w:lineRule="auto"/>
              <w:ind w:hanging="52"/>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Healthy climate (carbon sequestration).         • Sea defence. (</w:t>
            </w:r>
            <w:proofErr w:type="gramStart"/>
            <w:r>
              <w:rPr>
                <w:rFonts w:ascii="Calibri" w:eastAsia="Times New Roman" w:hAnsi="Calibri" w:cs="Calibri"/>
                <w:b/>
                <w:bCs/>
                <w:color w:val="000000"/>
                <w:sz w:val="16"/>
                <w:szCs w:val="16"/>
                <w:lang w:eastAsia="en-GB"/>
              </w:rPr>
              <w:t>natural</w:t>
            </w:r>
            <w:proofErr w:type="gramEnd"/>
            <w:r>
              <w:rPr>
                <w:rFonts w:ascii="Calibri" w:eastAsia="Times New Roman" w:hAnsi="Calibri" w:cs="Calibri"/>
                <w:b/>
                <w:bCs/>
                <w:color w:val="000000"/>
                <w:sz w:val="16"/>
                <w:szCs w:val="16"/>
                <w:lang w:eastAsia="en-GB"/>
              </w:rPr>
              <w:t xml:space="preserve"> hazard regulation).               • Tourism/nature watching.                  • Clean water and sediments.</w:t>
            </w:r>
          </w:p>
        </w:tc>
        <w:tc>
          <w:tcPr>
            <w:tcW w:w="1545" w:type="dxa"/>
            <w:vMerge w:val="restart"/>
            <w:tcBorders>
              <w:top w:val="single" w:sz="4" w:space="0" w:color="auto"/>
              <w:left w:val="single" w:sz="4" w:space="0" w:color="auto"/>
              <w:bottom w:val="single" w:sz="4" w:space="0" w:color="auto"/>
              <w:right w:val="single" w:sz="4" w:space="0" w:color="auto"/>
            </w:tcBorders>
            <w:noWrap/>
            <w:hideMark/>
          </w:tcPr>
          <w:p w14:paraId="5EC1AFDB" w14:textId="77777777" w:rsidR="001E6049" w:rsidRDefault="001E6049"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Quantity/Extent</w:t>
            </w:r>
          </w:p>
        </w:tc>
        <w:tc>
          <w:tcPr>
            <w:tcW w:w="3587" w:type="dxa"/>
            <w:tcBorders>
              <w:top w:val="single" w:sz="4" w:space="0" w:color="auto"/>
              <w:left w:val="nil"/>
              <w:bottom w:val="single" w:sz="4" w:space="0" w:color="auto"/>
              <w:right w:val="single" w:sz="4" w:space="0" w:color="auto"/>
            </w:tcBorders>
            <w:hideMark/>
          </w:tcPr>
          <w:p w14:paraId="47845FD1" w14:textId="3950C00F" w:rsidR="001E6049" w:rsidRPr="00D81799" w:rsidRDefault="001E6049" w:rsidP="00500C88">
            <w:pPr>
              <w:spacing w:after="0" w:line="240" w:lineRule="auto"/>
              <w:rPr>
                <w:rFonts w:ascii="Calibri" w:eastAsia="Times New Roman" w:hAnsi="Calibri" w:cs="Calibri"/>
                <w:color w:val="000000"/>
                <w:sz w:val="16"/>
                <w:szCs w:val="16"/>
                <w:lang w:eastAsia="en-GB"/>
              </w:rPr>
            </w:pPr>
            <w:r w:rsidRPr="00BA66F3">
              <w:rPr>
                <w:rFonts w:ascii="Calibri" w:eastAsia="Times New Roman" w:hAnsi="Calibri" w:cs="Calibri"/>
                <w:b/>
                <w:bCs/>
                <w:color w:val="000000"/>
                <w:sz w:val="16"/>
                <w:szCs w:val="16"/>
                <w:lang w:eastAsia="en-GB"/>
              </w:rPr>
              <w:t>Composite mapping</w:t>
            </w:r>
            <w:r>
              <w:rPr>
                <w:rFonts w:ascii="Calibri" w:eastAsia="Times New Roman" w:hAnsi="Calibri" w:cs="Calibri"/>
                <w:color w:val="000000"/>
                <w:sz w:val="16"/>
                <w:szCs w:val="16"/>
                <w:lang w:eastAsia="en-GB"/>
              </w:rPr>
              <w:t xml:space="preserve">: </w:t>
            </w:r>
            <w:r w:rsidR="003B1106" w:rsidRPr="003B1106">
              <w:rPr>
                <w:rFonts w:ascii="Calibri" w:eastAsia="Times New Roman" w:hAnsi="Calibri" w:cs="Calibri"/>
                <w:color w:val="000000"/>
                <w:sz w:val="16"/>
                <w:szCs w:val="16"/>
                <w:lang w:eastAsia="en-GB"/>
              </w:rPr>
              <w:t xml:space="preserve">Composite mapping shows the seagrass beds at </w:t>
            </w:r>
            <w:proofErr w:type="spellStart"/>
            <w:r w:rsidR="003B1106" w:rsidRPr="003B1106">
              <w:rPr>
                <w:rFonts w:ascii="Calibri" w:eastAsia="Times New Roman" w:hAnsi="Calibri" w:cs="Calibri"/>
                <w:color w:val="000000"/>
                <w:sz w:val="16"/>
                <w:szCs w:val="16"/>
                <w:lang w:eastAsia="en-GB"/>
              </w:rPr>
              <w:t>Yealm</w:t>
            </w:r>
            <w:proofErr w:type="spellEnd"/>
            <w:r w:rsidR="003B1106" w:rsidRPr="003B1106">
              <w:rPr>
                <w:rFonts w:ascii="Calibri" w:eastAsia="Times New Roman" w:hAnsi="Calibri" w:cs="Calibri"/>
                <w:color w:val="000000"/>
                <w:sz w:val="16"/>
                <w:szCs w:val="16"/>
                <w:lang w:eastAsia="en-GB"/>
              </w:rPr>
              <w:t xml:space="preserve"> to have a total area of 0.19 Km</w:t>
            </w:r>
            <w:r w:rsidR="003B1106" w:rsidRPr="003B1106">
              <w:rPr>
                <w:rFonts w:ascii="Calibri" w:eastAsia="Times New Roman" w:hAnsi="Calibri" w:cs="Calibri"/>
                <w:color w:val="000000"/>
                <w:sz w:val="16"/>
                <w:szCs w:val="16"/>
                <w:vertAlign w:val="superscript"/>
                <w:lang w:eastAsia="en-GB"/>
              </w:rPr>
              <w:t>2</w:t>
            </w:r>
          </w:p>
          <w:p w14:paraId="3C5CA70C" w14:textId="77777777" w:rsidR="001E6049" w:rsidRDefault="001E6049" w:rsidP="00500C88">
            <w:pPr>
              <w:spacing w:after="0" w:line="240" w:lineRule="auto"/>
              <w:rPr>
                <w:rFonts w:ascii="Calibri" w:eastAsia="Times New Roman" w:hAnsi="Calibri" w:cs="Calibri"/>
                <w:color w:val="000000"/>
                <w:sz w:val="16"/>
                <w:szCs w:val="16"/>
                <w:lang w:eastAsia="en-GB"/>
              </w:rPr>
            </w:pPr>
          </w:p>
          <w:p w14:paraId="0A1B4322" w14:textId="77777777" w:rsidR="004765B1" w:rsidRPr="004765B1" w:rsidRDefault="001E6049" w:rsidP="004765B1">
            <w:pPr>
              <w:spacing w:after="0" w:line="240" w:lineRule="auto"/>
              <w:rPr>
                <w:rFonts w:ascii="Calibri" w:eastAsia="Times New Roman" w:hAnsi="Calibri" w:cs="Calibri"/>
                <w:color w:val="000000"/>
                <w:sz w:val="16"/>
                <w:szCs w:val="16"/>
                <w:lang w:eastAsia="en-GB"/>
              </w:rPr>
            </w:pPr>
            <w:r w:rsidRPr="009D42EA">
              <w:rPr>
                <w:rFonts w:ascii="Calibri" w:eastAsia="Times New Roman" w:hAnsi="Calibri" w:cs="Calibri"/>
                <w:b/>
                <w:bCs/>
                <w:color w:val="000000"/>
                <w:sz w:val="16"/>
                <w:szCs w:val="16"/>
                <w:lang w:eastAsia="en-GB"/>
              </w:rPr>
              <w:t>NE Package:</w:t>
            </w:r>
            <w:r>
              <w:rPr>
                <w:rFonts w:ascii="Calibri" w:eastAsia="Times New Roman" w:hAnsi="Calibri" w:cs="Calibri"/>
                <w:b/>
                <w:bCs/>
                <w:color w:val="000000"/>
                <w:sz w:val="16"/>
                <w:szCs w:val="16"/>
                <w:lang w:eastAsia="en-GB"/>
              </w:rPr>
              <w:t xml:space="preserve"> </w:t>
            </w:r>
            <w:r w:rsidR="004765B1" w:rsidRPr="004765B1">
              <w:rPr>
                <w:rFonts w:ascii="Calibri" w:eastAsia="Times New Roman" w:hAnsi="Calibri" w:cs="Calibri"/>
                <w:color w:val="000000"/>
                <w:sz w:val="16"/>
                <w:szCs w:val="16"/>
                <w:lang w:eastAsia="en-GB"/>
              </w:rPr>
              <w:t>The Bunker et al (2019) report estimated a decrease in seagrass area from 57,009 m</w:t>
            </w:r>
            <w:r w:rsidR="004765B1" w:rsidRPr="008D30E2">
              <w:rPr>
                <w:rFonts w:ascii="Calibri" w:eastAsia="Times New Roman" w:hAnsi="Calibri" w:cs="Calibri"/>
                <w:color w:val="000000"/>
                <w:sz w:val="16"/>
                <w:szCs w:val="16"/>
                <w:vertAlign w:val="superscript"/>
                <w:lang w:eastAsia="en-GB"/>
              </w:rPr>
              <w:t>2</w:t>
            </w:r>
            <w:r w:rsidR="004765B1" w:rsidRPr="004765B1">
              <w:rPr>
                <w:rFonts w:ascii="Calibri" w:eastAsia="Times New Roman" w:hAnsi="Calibri" w:cs="Calibri"/>
                <w:color w:val="000000"/>
                <w:sz w:val="16"/>
                <w:szCs w:val="16"/>
                <w:lang w:eastAsia="en-GB"/>
              </w:rPr>
              <w:t xml:space="preserve"> to  47,346 m</w:t>
            </w:r>
            <w:r w:rsidR="004765B1" w:rsidRPr="008D30E2">
              <w:rPr>
                <w:rFonts w:ascii="Calibri" w:eastAsia="Times New Roman" w:hAnsi="Calibri" w:cs="Calibri"/>
                <w:color w:val="000000"/>
                <w:sz w:val="16"/>
                <w:szCs w:val="16"/>
                <w:vertAlign w:val="superscript"/>
                <w:lang w:eastAsia="en-GB"/>
              </w:rPr>
              <w:t>2</w:t>
            </w:r>
            <w:r w:rsidR="004765B1" w:rsidRPr="004765B1">
              <w:rPr>
                <w:rFonts w:ascii="Calibri" w:eastAsia="Times New Roman" w:hAnsi="Calibri" w:cs="Calibri"/>
                <w:color w:val="000000"/>
                <w:sz w:val="16"/>
                <w:szCs w:val="16"/>
                <w:lang w:eastAsia="en-GB"/>
              </w:rPr>
              <w:t xml:space="preserve"> between 2012 and 2018 at Cellar’s Cove (</w:t>
            </w:r>
            <w:proofErr w:type="spellStart"/>
            <w:r w:rsidR="004765B1" w:rsidRPr="004765B1">
              <w:rPr>
                <w:rFonts w:ascii="Calibri" w:eastAsia="Times New Roman" w:hAnsi="Calibri" w:cs="Calibri"/>
                <w:color w:val="000000"/>
                <w:sz w:val="16"/>
                <w:szCs w:val="16"/>
                <w:lang w:eastAsia="en-GB"/>
              </w:rPr>
              <w:t>Yealm</w:t>
            </w:r>
            <w:proofErr w:type="spellEnd"/>
            <w:r w:rsidR="004765B1" w:rsidRPr="004765B1">
              <w:rPr>
                <w:rFonts w:ascii="Calibri" w:eastAsia="Times New Roman" w:hAnsi="Calibri" w:cs="Calibri"/>
                <w:color w:val="000000"/>
                <w:sz w:val="16"/>
                <w:szCs w:val="16"/>
                <w:lang w:eastAsia="en-GB"/>
              </w:rPr>
              <w:t xml:space="preserve">). Equivalent to a 17% decrease in area. </w:t>
            </w:r>
          </w:p>
          <w:p w14:paraId="52EB2A8B" w14:textId="77777777" w:rsidR="004765B1" w:rsidRPr="004765B1" w:rsidRDefault="004765B1" w:rsidP="004765B1">
            <w:pPr>
              <w:spacing w:after="0" w:line="240" w:lineRule="auto"/>
              <w:rPr>
                <w:rFonts w:ascii="Calibri" w:eastAsia="Times New Roman" w:hAnsi="Calibri" w:cs="Calibri"/>
                <w:color w:val="000000"/>
                <w:sz w:val="16"/>
                <w:szCs w:val="16"/>
                <w:lang w:eastAsia="en-GB"/>
              </w:rPr>
            </w:pPr>
          </w:p>
          <w:p w14:paraId="49815432" w14:textId="22CC035E" w:rsidR="001E6049" w:rsidRPr="000421E1" w:rsidRDefault="004765B1" w:rsidP="004765B1">
            <w:pPr>
              <w:spacing w:after="0" w:line="240" w:lineRule="auto"/>
              <w:rPr>
                <w:color w:val="000000" w:themeColor="text1"/>
                <w:sz w:val="18"/>
                <w:szCs w:val="18"/>
              </w:rPr>
            </w:pPr>
            <w:r w:rsidRPr="004765B1">
              <w:rPr>
                <w:rFonts w:ascii="Calibri" w:eastAsia="Times New Roman" w:hAnsi="Calibri" w:cs="Calibri"/>
                <w:color w:val="000000"/>
                <w:sz w:val="16"/>
                <w:szCs w:val="16"/>
                <w:lang w:eastAsia="en-GB"/>
              </w:rPr>
              <w:t>The Bunker et al (2019) report also estimated an increase in seagrass area from 11,447 m</w:t>
            </w:r>
            <w:r w:rsidRPr="008D30E2">
              <w:rPr>
                <w:rFonts w:ascii="Calibri" w:eastAsia="Times New Roman" w:hAnsi="Calibri" w:cs="Calibri"/>
                <w:color w:val="000000"/>
                <w:sz w:val="16"/>
                <w:szCs w:val="16"/>
                <w:vertAlign w:val="superscript"/>
                <w:lang w:eastAsia="en-GB"/>
              </w:rPr>
              <w:t>2</w:t>
            </w:r>
            <w:r w:rsidRPr="004765B1">
              <w:rPr>
                <w:rFonts w:ascii="Calibri" w:eastAsia="Times New Roman" w:hAnsi="Calibri" w:cs="Calibri"/>
                <w:color w:val="000000"/>
                <w:sz w:val="16"/>
                <w:szCs w:val="16"/>
                <w:lang w:eastAsia="en-GB"/>
              </w:rPr>
              <w:t xml:space="preserve"> to 11,572 m</w:t>
            </w:r>
            <w:r w:rsidRPr="008D30E2">
              <w:rPr>
                <w:rFonts w:ascii="Calibri" w:eastAsia="Times New Roman" w:hAnsi="Calibri" w:cs="Calibri"/>
                <w:color w:val="000000"/>
                <w:sz w:val="16"/>
                <w:szCs w:val="16"/>
                <w:vertAlign w:val="superscript"/>
                <w:lang w:eastAsia="en-GB"/>
              </w:rPr>
              <w:t>2</w:t>
            </w:r>
            <w:r w:rsidRPr="004765B1">
              <w:rPr>
                <w:rFonts w:ascii="Calibri" w:eastAsia="Times New Roman" w:hAnsi="Calibri" w:cs="Calibri"/>
                <w:color w:val="000000"/>
                <w:sz w:val="16"/>
                <w:szCs w:val="16"/>
                <w:lang w:eastAsia="en-GB"/>
              </w:rPr>
              <w:t xml:space="preserve"> between 2012 and 2018 at Red Cove South (</w:t>
            </w:r>
            <w:proofErr w:type="spellStart"/>
            <w:r w:rsidRPr="004765B1">
              <w:rPr>
                <w:rFonts w:ascii="Calibri" w:eastAsia="Times New Roman" w:hAnsi="Calibri" w:cs="Calibri"/>
                <w:color w:val="000000"/>
                <w:sz w:val="16"/>
                <w:szCs w:val="16"/>
                <w:lang w:eastAsia="en-GB"/>
              </w:rPr>
              <w:t>Yealm</w:t>
            </w:r>
            <w:proofErr w:type="spellEnd"/>
            <w:r w:rsidRPr="004765B1">
              <w:rPr>
                <w:rFonts w:ascii="Calibri" w:eastAsia="Times New Roman" w:hAnsi="Calibri" w:cs="Calibri"/>
                <w:color w:val="000000"/>
                <w:sz w:val="16"/>
                <w:szCs w:val="16"/>
                <w:lang w:eastAsia="en-GB"/>
              </w:rPr>
              <w:t>). Equivalent to a 1% increase in area.</w:t>
            </w:r>
          </w:p>
          <w:p w14:paraId="0187DE08" w14:textId="77777777" w:rsidR="001E6049" w:rsidRDefault="001E6049" w:rsidP="00500C88">
            <w:pPr>
              <w:spacing w:after="0" w:line="240" w:lineRule="auto"/>
              <w:rPr>
                <w:rFonts w:ascii="Calibri" w:eastAsia="Times New Roman" w:hAnsi="Calibri" w:cs="Calibri"/>
                <w:color w:val="000000"/>
                <w:sz w:val="16"/>
                <w:szCs w:val="16"/>
                <w:lang w:eastAsia="en-GB"/>
              </w:rPr>
            </w:pPr>
          </w:p>
          <w:p w14:paraId="545D808B" w14:textId="77777777" w:rsidR="001E6049" w:rsidRDefault="001E6049" w:rsidP="00500C88">
            <w:pPr>
              <w:spacing w:after="0" w:line="240" w:lineRule="auto"/>
              <w:rPr>
                <w:rFonts w:ascii="Calibri" w:eastAsia="Times New Roman" w:hAnsi="Calibri" w:cs="Calibri"/>
                <w:b/>
                <w:bCs/>
                <w:color w:val="000000"/>
                <w:sz w:val="16"/>
                <w:szCs w:val="16"/>
                <w:lang w:eastAsia="en-GB"/>
              </w:rPr>
            </w:pPr>
          </w:p>
          <w:p w14:paraId="221931B6" w14:textId="77777777" w:rsidR="001E6049" w:rsidRDefault="001E6049" w:rsidP="00500C88">
            <w:pPr>
              <w:spacing w:after="0" w:line="240" w:lineRule="auto"/>
              <w:rPr>
                <w:rFonts w:ascii="Calibri" w:eastAsia="Times New Roman" w:hAnsi="Calibri" w:cs="Calibri"/>
                <w:b/>
                <w:bCs/>
                <w:color w:val="000000"/>
                <w:sz w:val="16"/>
                <w:szCs w:val="16"/>
                <w:lang w:eastAsia="en-GB"/>
              </w:rPr>
            </w:pPr>
          </w:p>
          <w:p w14:paraId="3B94D08F" w14:textId="77777777" w:rsidR="001E6049" w:rsidRPr="009D42EA" w:rsidRDefault="001E6049" w:rsidP="00500C88">
            <w:pPr>
              <w:spacing w:after="0" w:line="240" w:lineRule="auto"/>
              <w:rPr>
                <w:rFonts w:ascii="Calibri" w:eastAsia="Times New Roman" w:hAnsi="Calibri" w:cs="Calibri"/>
                <w:b/>
                <w:bCs/>
                <w:color w:val="000000"/>
                <w:sz w:val="16"/>
                <w:szCs w:val="16"/>
                <w:lang w:eastAsia="en-GB"/>
              </w:rPr>
            </w:pPr>
          </w:p>
        </w:tc>
        <w:tc>
          <w:tcPr>
            <w:tcW w:w="2713" w:type="dxa"/>
            <w:tcBorders>
              <w:top w:val="single" w:sz="4" w:space="0" w:color="auto"/>
              <w:left w:val="nil"/>
              <w:bottom w:val="single" w:sz="4" w:space="0" w:color="auto"/>
              <w:right w:val="single" w:sz="4" w:space="0" w:color="auto"/>
            </w:tcBorders>
            <w:hideMark/>
          </w:tcPr>
          <w:p w14:paraId="5711D5B0" w14:textId="77777777" w:rsidR="001E6049" w:rsidRDefault="001E6049" w:rsidP="00500C88">
            <w:pP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lastRenderedPageBreak/>
              <w:t>MSFD: As above.</w:t>
            </w:r>
          </w:p>
          <w:p w14:paraId="623FB5AD" w14:textId="77777777" w:rsidR="001E6049" w:rsidRPr="004B486F" w:rsidRDefault="001E6049" w:rsidP="00500C88">
            <w:pP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UK Marine Strategy: As above. </w:t>
            </w:r>
          </w:p>
        </w:tc>
        <w:tc>
          <w:tcPr>
            <w:tcW w:w="1360" w:type="dxa"/>
            <w:tcBorders>
              <w:top w:val="single" w:sz="4" w:space="0" w:color="auto"/>
              <w:left w:val="nil"/>
              <w:bottom w:val="single" w:sz="4" w:space="0" w:color="auto"/>
              <w:right w:val="single" w:sz="4" w:space="0" w:color="auto"/>
            </w:tcBorders>
            <w:hideMark/>
          </w:tcPr>
          <w:p w14:paraId="41298789" w14:textId="2CED07A5" w:rsidR="001E6049" w:rsidRDefault="007B15D1"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Declining</w:t>
            </w:r>
            <w:r w:rsidR="001E6049">
              <w:rPr>
                <w:rFonts w:ascii="Calibri" w:eastAsia="Times New Roman" w:hAnsi="Calibri" w:cs="Calibri"/>
                <w:color w:val="000000"/>
                <w:sz w:val="16"/>
                <w:szCs w:val="16"/>
                <w:lang w:eastAsia="en-GB"/>
              </w:rPr>
              <w:t xml:space="preserve"> </w:t>
            </w:r>
          </w:p>
          <w:p w14:paraId="71417CDE" w14:textId="77777777" w:rsidR="001E6049" w:rsidRDefault="001E6049" w:rsidP="00500C88">
            <w:pPr>
              <w:spacing w:after="0" w:line="240" w:lineRule="auto"/>
              <w:rPr>
                <w:rFonts w:ascii="Calibri" w:eastAsia="Times New Roman" w:hAnsi="Calibri" w:cs="Calibri"/>
                <w:color w:val="000000"/>
                <w:sz w:val="16"/>
                <w:szCs w:val="16"/>
                <w:lang w:eastAsia="en-GB"/>
              </w:rPr>
            </w:pPr>
          </w:p>
          <w:p w14:paraId="78603247" w14:textId="37D88C11" w:rsidR="001E6049" w:rsidRDefault="007B15D1" w:rsidP="00500C88">
            <w:pPr>
              <w:spacing w:after="0" w:line="240" w:lineRule="auto"/>
              <w:rPr>
                <w:rFonts w:ascii="Calibri" w:eastAsia="Times New Roman" w:hAnsi="Calibri" w:cs="Calibri"/>
                <w:color w:val="000000"/>
                <w:sz w:val="16"/>
                <w:szCs w:val="16"/>
                <w:lang w:eastAsia="en-GB"/>
              </w:rPr>
            </w:pPr>
            <w:r w:rsidRPr="007B15D1">
              <w:rPr>
                <w:rFonts w:ascii="Calibri" w:eastAsia="Times New Roman" w:hAnsi="Calibri" w:cs="Calibri"/>
                <w:color w:val="000000"/>
                <w:sz w:val="16"/>
                <w:szCs w:val="16"/>
                <w:lang w:eastAsia="en-GB"/>
              </w:rPr>
              <w:t>Bunker et al. (2019) report suggests a 17% decrease and a 1% increase at Cellar’s Cove (</w:t>
            </w:r>
            <w:proofErr w:type="spellStart"/>
            <w:r w:rsidRPr="007B15D1">
              <w:rPr>
                <w:rFonts w:ascii="Calibri" w:eastAsia="Times New Roman" w:hAnsi="Calibri" w:cs="Calibri"/>
                <w:color w:val="000000"/>
                <w:sz w:val="16"/>
                <w:szCs w:val="16"/>
                <w:lang w:eastAsia="en-GB"/>
              </w:rPr>
              <w:t>Yealm</w:t>
            </w:r>
            <w:proofErr w:type="spellEnd"/>
            <w:r w:rsidRPr="007B15D1">
              <w:rPr>
                <w:rFonts w:ascii="Calibri" w:eastAsia="Times New Roman" w:hAnsi="Calibri" w:cs="Calibri"/>
                <w:color w:val="000000"/>
                <w:sz w:val="16"/>
                <w:szCs w:val="16"/>
                <w:lang w:eastAsia="en-GB"/>
              </w:rPr>
              <w:t>) and Red Cove South (</w:t>
            </w:r>
            <w:proofErr w:type="spellStart"/>
            <w:r w:rsidRPr="007B15D1">
              <w:rPr>
                <w:rFonts w:ascii="Calibri" w:eastAsia="Times New Roman" w:hAnsi="Calibri" w:cs="Calibri"/>
                <w:color w:val="000000"/>
                <w:sz w:val="16"/>
                <w:szCs w:val="16"/>
                <w:lang w:eastAsia="en-GB"/>
              </w:rPr>
              <w:t>Yealm</w:t>
            </w:r>
            <w:proofErr w:type="spellEnd"/>
            <w:r w:rsidRPr="007B15D1">
              <w:rPr>
                <w:rFonts w:ascii="Calibri" w:eastAsia="Times New Roman" w:hAnsi="Calibri" w:cs="Calibri"/>
                <w:color w:val="000000"/>
                <w:sz w:val="16"/>
                <w:szCs w:val="16"/>
                <w:lang w:eastAsia="en-GB"/>
              </w:rPr>
              <w:t>) respectively for seagrass area between 2012 and 2018.</w:t>
            </w:r>
          </w:p>
        </w:tc>
        <w:tc>
          <w:tcPr>
            <w:tcW w:w="870" w:type="dxa"/>
            <w:tcBorders>
              <w:top w:val="single" w:sz="4" w:space="0" w:color="auto"/>
              <w:left w:val="single" w:sz="4" w:space="0" w:color="auto"/>
              <w:bottom w:val="single" w:sz="4" w:space="0" w:color="auto"/>
              <w:right w:val="single" w:sz="4" w:space="0" w:color="auto"/>
            </w:tcBorders>
            <w:shd w:val="clear" w:color="auto" w:fill="FFA3A3"/>
            <w:vAlign w:val="center"/>
            <w:hideMark/>
          </w:tcPr>
          <w:p w14:paraId="1D75C1B6" w14:textId="0B7337F1" w:rsidR="001E6049" w:rsidRDefault="007B15D1" w:rsidP="00500C88">
            <w:pPr>
              <w:spacing w:after="0" w:line="240" w:lineRule="auto"/>
              <w:jc w:val="center"/>
              <w:rPr>
                <w:rFonts w:ascii="Calibri" w:eastAsia="Times New Roman" w:hAnsi="Calibri" w:cs="Calibri"/>
                <w:b/>
                <w:bCs/>
                <w:color w:val="000000"/>
                <w:sz w:val="16"/>
                <w:szCs w:val="16"/>
                <w:lang w:eastAsia="en-GB"/>
              </w:rPr>
            </w:pPr>
            <w:r w:rsidRPr="00430FF2">
              <w:rPr>
                <w:rFonts w:ascii="Calibri" w:eastAsia="Times New Roman" w:hAnsi="Calibri" w:cs="Calibri"/>
                <w:b/>
                <w:bCs/>
                <w:sz w:val="16"/>
                <w:szCs w:val="16"/>
                <w:lang w:eastAsia="en-GB"/>
              </w:rPr>
              <w:t>C</w:t>
            </w:r>
            <w:r w:rsidR="001E6049" w:rsidRPr="00430FF2">
              <w:rPr>
                <w:rFonts w:ascii="Calibri" w:eastAsia="Times New Roman" w:hAnsi="Calibri" w:cs="Calibri"/>
                <w:b/>
                <w:bCs/>
                <w:sz w:val="16"/>
                <w:szCs w:val="16"/>
                <w:lang w:eastAsia="en-GB"/>
              </w:rPr>
              <w:t xml:space="preserve">           (4)</w:t>
            </w:r>
          </w:p>
        </w:tc>
      </w:tr>
      <w:tr w:rsidR="001E6049" w14:paraId="0704BC28" w14:textId="77777777" w:rsidTr="00500C88">
        <w:trPr>
          <w:trHeight w:val="300"/>
        </w:trPr>
        <w:tc>
          <w:tcPr>
            <w:tcW w:w="0" w:type="auto"/>
            <w:vMerge/>
            <w:tcBorders>
              <w:top w:val="nil"/>
              <w:left w:val="single" w:sz="8" w:space="0" w:color="auto"/>
              <w:bottom w:val="single" w:sz="8" w:space="0" w:color="000000"/>
              <w:right w:val="nil"/>
            </w:tcBorders>
            <w:vAlign w:val="center"/>
            <w:hideMark/>
          </w:tcPr>
          <w:p w14:paraId="779096E3" w14:textId="77777777" w:rsidR="001E6049" w:rsidRDefault="001E6049"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F98239" w14:textId="77777777" w:rsidR="001E6049" w:rsidRDefault="001E6049"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056CA4" w14:textId="77777777" w:rsidR="001E6049" w:rsidRDefault="001E6049" w:rsidP="00500C88">
            <w:pPr>
              <w:spacing w:after="0"/>
              <w:rPr>
                <w:rFonts w:ascii="Calibri" w:eastAsia="Times New Roman" w:hAnsi="Calibri" w:cs="Calibri"/>
                <w:b/>
                <w:bCs/>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25C8AB" w14:textId="77777777" w:rsidR="001E6049" w:rsidRDefault="001E6049" w:rsidP="00500C88">
            <w:pPr>
              <w:spacing w:after="0"/>
              <w:rPr>
                <w:rFonts w:ascii="Calibri" w:eastAsia="Times New Roman" w:hAnsi="Calibri" w:cs="Calibri"/>
                <w:color w:val="000000"/>
                <w:sz w:val="16"/>
                <w:szCs w:val="16"/>
                <w:lang w:eastAsia="en-GB"/>
              </w:rPr>
            </w:pPr>
          </w:p>
        </w:tc>
        <w:tc>
          <w:tcPr>
            <w:tcW w:w="6300" w:type="dxa"/>
            <w:gridSpan w:val="2"/>
            <w:tcBorders>
              <w:top w:val="single" w:sz="4" w:space="0" w:color="auto"/>
              <w:left w:val="nil"/>
              <w:bottom w:val="single" w:sz="4" w:space="0" w:color="auto"/>
              <w:right w:val="single" w:sz="4" w:space="0" w:color="auto"/>
            </w:tcBorders>
            <w:vAlign w:val="center"/>
            <w:hideMark/>
          </w:tcPr>
          <w:p w14:paraId="5A8FF527" w14:textId="0481E307" w:rsidR="001E6049" w:rsidRDefault="007B15D1"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w:t>
            </w:r>
            <w:r w:rsidR="001E6049">
              <w:rPr>
                <w:rFonts w:ascii="Calibri" w:eastAsia="Times New Roman" w:hAnsi="Calibri" w:cs="Calibri"/>
                <w:color w:val="000000"/>
                <w:sz w:val="16"/>
                <w:szCs w:val="16"/>
                <w:lang w:eastAsia="en-GB"/>
              </w:rPr>
              <w:t xml:space="preserve"> – last condition assessment 2018</w:t>
            </w:r>
          </w:p>
        </w:tc>
        <w:tc>
          <w:tcPr>
            <w:tcW w:w="1360" w:type="dxa"/>
            <w:tcBorders>
              <w:top w:val="nil"/>
              <w:left w:val="nil"/>
              <w:bottom w:val="single" w:sz="4" w:space="0" w:color="auto"/>
              <w:right w:val="single" w:sz="4" w:space="0" w:color="auto"/>
            </w:tcBorders>
            <w:vAlign w:val="center"/>
            <w:hideMark/>
          </w:tcPr>
          <w:p w14:paraId="5FBCB960" w14:textId="45AE4606" w:rsidR="001E6049" w:rsidRDefault="007B15D1"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w:t>
            </w:r>
          </w:p>
        </w:tc>
        <w:tc>
          <w:tcPr>
            <w:tcW w:w="870" w:type="dxa"/>
            <w:vMerge w:val="restart"/>
            <w:tcBorders>
              <w:top w:val="single" w:sz="4" w:space="0" w:color="auto"/>
              <w:left w:val="single" w:sz="4" w:space="0" w:color="auto"/>
              <w:bottom w:val="single" w:sz="4" w:space="0" w:color="auto"/>
              <w:right w:val="single" w:sz="4" w:space="0" w:color="auto"/>
            </w:tcBorders>
            <w:vAlign w:val="center"/>
            <w:hideMark/>
          </w:tcPr>
          <w:p w14:paraId="66207A67" w14:textId="77777777" w:rsidR="001E6049" w:rsidRDefault="001E6049" w:rsidP="00500C88">
            <w:pPr>
              <w:rPr>
                <w:rFonts w:ascii="Calibri" w:eastAsia="Times New Roman" w:hAnsi="Calibri" w:cs="Calibri"/>
                <w:color w:val="000000"/>
                <w:sz w:val="16"/>
                <w:szCs w:val="16"/>
                <w:lang w:eastAsia="en-GB"/>
              </w:rPr>
            </w:pPr>
          </w:p>
        </w:tc>
      </w:tr>
      <w:tr w:rsidR="001E6049" w14:paraId="00D1018D" w14:textId="77777777" w:rsidTr="00500C88">
        <w:trPr>
          <w:trHeight w:val="315"/>
        </w:trPr>
        <w:tc>
          <w:tcPr>
            <w:tcW w:w="0" w:type="auto"/>
            <w:vMerge/>
            <w:tcBorders>
              <w:top w:val="nil"/>
              <w:left w:val="single" w:sz="8" w:space="0" w:color="auto"/>
              <w:bottom w:val="single" w:sz="8" w:space="0" w:color="000000"/>
              <w:right w:val="nil"/>
            </w:tcBorders>
            <w:vAlign w:val="center"/>
            <w:hideMark/>
          </w:tcPr>
          <w:p w14:paraId="5BB2EBDF" w14:textId="77777777" w:rsidR="001E6049" w:rsidRDefault="001E6049"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FC3B1" w14:textId="77777777" w:rsidR="001E6049" w:rsidRDefault="001E6049"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35CE7" w14:textId="77777777" w:rsidR="001E6049" w:rsidRDefault="001E6049" w:rsidP="00500C88">
            <w:pPr>
              <w:spacing w:after="0"/>
              <w:rPr>
                <w:rFonts w:ascii="Calibri" w:eastAsia="Times New Roman" w:hAnsi="Calibri" w:cs="Calibri"/>
                <w:b/>
                <w:bCs/>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9FF0A5" w14:textId="77777777" w:rsidR="001E6049" w:rsidRDefault="001E6049" w:rsidP="00500C88">
            <w:pPr>
              <w:spacing w:after="0"/>
              <w:rPr>
                <w:rFonts w:ascii="Calibri" w:eastAsia="Times New Roman" w:hAnsi="Calibri" w:cs="Calibri"/>
                <w:color w:val="000000"/>
                <w:sz w:val="16"/>
                <w:szCs w:val="16"/>
                <w:lang w:eastAsia="en-GB"/>
              </w:rPr>
            </w:pPr>
          </w:p>
        </w:tc>
        <w:tc>
          <w:tcPr>
            <w:tcW w:w="6300" w:type="dxa"/>
            <w:gridSpan w:val="2"/>
            <w:tcBorders>
              <w:top w:val="single" w:sz="4" w:space="0" w:color="auto"/>
              <w:left w:val="nil"/>
              <w:bottom w:val="single" w:sz="4" w:space="0" w:color="auto"/>
              <w:right w:val="single" w:sz="4" w:space="0" w:color="auto"/>
            </w:tcBorders>
            <w:hideMark/>
          </w:tcPr>
          <w:p w14:paraId="2EDFC4E8" w14:textId="77777777" w:rsidR="001E6049" w:rsidRDefault="001E6049"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1360" w:type="dxa"/>
            <w:tcBorders>
              <w:top w:val="nil"/>
              <w:left w:val="nil"/>
              <w:bottom w:val="single" w:sz="4" w:space="0" w:color="auto"/>
              <w:right w:val="single" w:sz="4" w:space="0" w:color="auto"/>
            </w:tcBorders>
            <w:vAlign w:val="center"/>
            <w:hideMark/>
          </w:tcPr>
          <w:p w14:paraId="5991BF63" w14:textId="77777777" w:rsidR="001E6049" w:rsidRDefault="001E6049"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682144" w14:textId="77777777" w:rsidR="001E6049" w:rsidRDefault="001E6049" w:rsidP="00500C88">
            <w:pPr>
              <w:spacing w:after="0"/>
              <w:rPr>
                <w:rFonts w:ascii="Calibri" w:eastAsia="Times New Roman" w:hAnsi="Calibri" w:cs="Calibri"/>
                <w:color w:val="000000"/>
                <w:sz w:val="16"/>
                <w:szCs w:val="16"/>
                <w:lang w:eastAsia="en-GB"/>
              </w:rPr>
            </w:pPr>
          </w:p>
        </w:tc>
      </w:tr>
      <w:tr w:rsidR="001E6049" w14:paraId="0B48677D" w14:textId="77777777" w:rsidTr="00500C88">
        <w:trPr>
          <w:trHeight w:val="406"/>
        </w:trPr>
        <w:tc>
          <w:tcPr>
            <w:tcW w:w="0" w:type="auto"/>
            <w:vMerge/>
            <w:tcBorders>
              <w:top w:val="nil"/>
              <w:left w:val="single" w:sz="8" w:space="0" w:color="auto"/>
              <w:bottom w:val="single" w:sz="8" w:space="0" w:color="000000"/>
              <w:right w:val="nil"/>
            </w:tcBorders>
            <w:vAlign w:val="center"/>
            <w:hideMark/>
          </w:tcPr>
          <w:p w14:paraId="6D353B83" w14:textId="77777777" w:rsidR="001E6049" w:rsidRDefault="001E6049" w:rsidP="00500C88">
            <w:pPr>
              <w:spacing w:after="0"/>
              <w:rPr>
                <w:rFonts w:ascii="Calibri" w:eastAsia="Times New Roman" w:hAnsi="Calibri" w:cs="Calibri"/>
                <w:color w:val="000000"/>
                <w:sz w:val="16"/>
                <w:szCs w:val="16"/>
                <w:lang w:eastAsia="en-GB"/>
              </w:rPr>
            </w:pPr>
          </w:p>
        </w:tc>
        <w:tc>
          <w:tcPr>
            <w:tcW w:w="973" w:type="dxa"/>
            <w:vMerge w:val="restart"/>
            <w:tcBorders>
              <w:top w:val="single" w:sz="4" w:space="0" w:color="auto"/>
              <w:left w:val="single" w:sz="4" w:space="0" w:color="auto"/>
              <w:bottom w:val="single" w:sz="4" w:space="0" w:color="auto"/>
              <w:right w:val="single" w:sz="4" w:space="0" w:color="auto"/>
            </w:tcBorders>
            <w:hideMark/>
          </w:tcPr>
          <w:p w14:paraId="2E3900C3" w14:textId="6FF2383D" w:rsidR="001E6049" w:rsidRDefault="001E6049"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Subtidal Seagrass – </w:t>
            </w:r>
            <w:proofErr w:type="spellStart"/>
            <w:r>
              <w:rPr>
                <w:rFonts w:ascii="Calibri" w:eastAsia="Times New Roman" w:hAnsi="Calibri" w:cs="Calibri"/>
                <w:color w:val="000000"/>
                <w:sz w:val="16"/>
                <w:szCs w:val="16"/>
                <w:lang w:eastAsia="en-GB"/>
              </w:rPr>
              <w:t>Yealm</w:t>
            </w:r>
            <w:proofErr w:type="spellEnd"/>
          </w:p>
        </w:tc>
        <w:tc>
          <w:tcPr>
            <w:tcW w:w="1402" w:type="dxa"/>
            <w:vMerge w:val="restart"/>
            <w:tcBorders>
              <w:top w:val="single" w:sz="4" w:space="0" w:color="auto"/>
              <w:left w:val="single" w:sz="4" w:space="0" w:color="auto"/>
              <w:bottom w:val="single" w:sz="4" w:space="0" w:color="auto"/>
              <w:right w:val="single" w:sz="4" w:space="0" w:color="auto"/>
            </w:tcBorders>
            <w:hideMark/>
          </w:tcPr>
          <w:p w14:paraId="5BDEF4B5" w14:textId="77777777" w:rsidR="001E6049" w:rsidRDefault="001E6049"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 Food (Wild Food - fish and shellfish).    </w:t>
            </w:r>
          </w:p>
          <w:p w14:paraId="135EA29E" w14:textId="77777777" w:rsidR="001E6049" w:rsidRDefault="001E6049"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Healthy climate (carbon sequestration).         • Sea defence. (</w:t>
            </w:r>
            <w:proofErr w:type="gramStart"/>
            <w:r>
              <w:rPr>
                <w:rFonts w:ascii="Calibri" w:eastAsia="Times New Roman" w:hAnsi="Calibri" w:cs="Calibri"/>
                <w:b/>
                <w:bCs/>
                <w:color w:val="000000"/>
                <w:sz w:val="16"/>
                <w:szCs w:val="16"/>
                <w:lang w:eastAsia="en-GB"/>
              </w:rPr>
              <w:t>natural</w:t>
            </w:r>
            <w:proofErr w:type="gramEnd"/>
            <w:r>
              <w:rPr>
                <w:rFonts w:ascii="Calibri" w:eastAsia="Times New Roman" w:hAnsi="Calibri" w:cs="Calibri"/>
                <w:b/>
                <w:bCs/>
                <w:color w:val="000000"/>
                <w:sz w:val="16"/>
                <w:szCs w:val="16"/>
                <w:lang w:eastAsia="en-GB"/>
              </w:rPr>
              <w:t xml:space="preserve"> hazard regulation).               • Tourism/nature watching.                  • Clean water and sediments.</w:t>
            </w:r>
          </w:p>
        </w:tc>
        <w:tc>
          <w:tcPr>
            <w:tcW w:w="1545" w:type="dxa"/>
            <w:tcBorders>
              <w:top w:val="nil"/>
              <w:left w:val="nil"/>
              <w:bottom w:val="single" w:sz="4" w:space="0" w:color="auto"/>
              <w:right w:val="single" w:sz="4" w:space="0" w:color="auto"/>
            </w:tcBorders>
            <w:noWrap/>
            <w:hideMark/>
          </w:tcPr>
          <w:p w14:paraId="3091393A" w14:textId="77777777" w:rsidR="001E6049" w:rsidRDefault="001E6049"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Quality/Condition</w:t>
            </w:r>
          </w:p>
        </w:tc>
        <w:tc>
          <w:tcPr>
            <w:tcW w:w="3587" w:type="dxa"/>
            <w:tcBorders>
              <w:top w:val="nil"/>
              <w:left w:val="nil"/>
              <w:bottom w:val="single" w:sz="4" w:space="0" w:color="auto"/>
              <w:right w:val="single" w:sz="4" w:space="0" w:color="auto"/>
            </w:tcBorders>
            <w:hideMark/>
          </w:tcPr>
          <w:p w14:paraId="1F51EE6D" w14:textId="77777777" w:rsidR="00373279" w:rsidRPr="00373279" w:rsidRDefault="001E6049" w:rsidP="00373279">
            <w:pPr>
              <w:spacing w:after="0" w:line="240" w:lineRule="auto"/>
              <w:rPr>
                <w:rFonts w:ascii="Calibri" w:eastAsia="Times New Roman" w:hAnsi="Calibri" w:cs="Calibri"/>
                <w:color w:val="000000"/>
                <w:sz w:val="16"/>
                <w:szCs w:val="16"/>
                <w:lang w:eastAsia="en-GB"/>
              </w:rPr>
            </w:pPr>
            <w:r w:rsidRPr="00AB4B8D">
              <w:rPr>
                <w:rFonts w:ascii="Calibri" w:eastAsia="Times New Roman" w:hAnsi="Calibri" w:cs="Calibri"/>
                <w:b/>
                <w:bCs/>
                <w:color w:val="000000"/>
                <w:sz w:val="16"/>
                <w:szCs w:val="16"/>
                <w:lang w:eastAsia="en-GB"/>
              </w:rPr>
              <w:t>NE Package</w:t>
            </w:r>
            <w:r>
              <w:rPr>
                <w:rFonts w:ascii="Calibri" w:eastAsia="Times New Roman" w:hAnsi="Calibri" w:cs="Calibri"/>
                <w:color w:val="000000"/>
                <w:sz w:val="16"/>
                <w:szCs w:val="16"/>
                <w:lang w:eastAsia="en-GB"/>
              </w:rPr>
              <w:t xml:space="preserve">: </w:t>
            </w:r>
            <w:r w:rsidR="00373279" w:rsidRPr="00373279">
              <w:rPr>
                <w:rFonts w:ascii="Calibri" w:eastAsia="Times New Roman" w:hAnsi="Calibri" w:cs="Calibri"/>
                <w:color w:val="000000"/>
                <w:sz w:val="16"/>
                <w:szCs w:val="16"/>
                <w:lang w:eastAsia="en-GB"/>
              </w:rPr>
              <w:t>Between 2012 and 2018, Average % Seagrass Cover DDV decreased from: 74 to 69 (Cellar’s Cove); 80 to 55 (Red Cove South); 77 to 46 (Red Cove North); 19 to 11 (Tomb Rock).</w:t>
            </w:r>
          </w:p>
          <w:p w14:paraId="2534836C" w14:textId="77777777" w:rsidR="00373279" w:rsidRPr="00373279" w:rsidRDefault="00373279" w:rsidP="00373279">
            <w:pPr>
              <w:spacing w:after="0" w:line="240" w:lineRule="auto"/>
              <w:rPr>
                <w:rFonts w:ascii="Calibri" w:eastAsia="Times New Roman" w:hAnsi="Calibri" w:cs="Calibri"/>
                <w:color w:val="000000"/>
                <w:sz w:val="16"/>
                <w:szCs w:val="16"/>
                <w:lang w:eastAsia="en-GB"/>
              </w:rPr>
            </w:pPr>
          </w:p>
          <w:p w14:paraId="6AA28612" w14:textId="77777777" w:rsidR="00373279" w:rsidRPr="00373279" w:rsidRDefault="00373279" w:rsidP="00373279">
            <w:pPr>
              <w:spacing w:after="0" w:line="240" w:lineRule="auto"/>
              <w:rPr>
                <w:rFonts w:ascii="Calibri" w:eastAsia="Times New Roman" w:hAnsi="Calibri" w:cs="Calibri"/>
                <w:color w:val="000000"/>
                <w:sz w:val="16"/>
                <w:szCs w:val="16"/>
                <w:lang w:eastAsia="en-GB"/>
              </w:rPr>
            </w:pPr>
            <w:r w:rsidRPr="00373279">
              <w:rPr>
                <w:rFonts w:ascii="Calibri" w:eastAsia="Times New Roman" w:hAnsi="Calibri" w:cs="Calibri"/>
                <w:color w:val="000000"/>
                <w:sz w:val="16"/>
                <w:szCs w:val="16"/>
                <w:lang w:eastAsia="en-GB"/>
              </w:rPr>
              <w:t>Between 2012 and 2018, Average Shoot Density m</w:t>
            </w:r>
            <w:r w:rsidRPr="008D30E2">
              <w:rPr>
                <w:rFonts w:ascii="Calibri" w:eastAsia="Times New Roman" w:hAnsi="Calibri" w:cs="Calibri"/>
                <w:color w:val="000000"/>
                <w:sz w:val="16"/>
                <w:szCs w:val="16"/>
                <w:vertAlign w:val="superscript"/>
                <w:lang w:eastAsia="en-GB"/>
              </w:rPr>
              <w:t>2</w:t>
            </w:r>
            <w:r w:rsidRPr="00373279">
              <w:rPr>
                <w:rFonts w:ascii="Calibri" w:eastAsia="Times New Roman" w:hAnsi="Calibri" w:cs="Calibri"/>
                <w:color w:val="000000"/>
                <w:sz w:val="16"/>
                <w:szCs w:val="16"/>
                <w:lang w:eastAsia="en-GB"/>
              </w:rPr>
              <w:t xml:space="preserve"> decreased from: 122 to 112 (Cellar’s Cove); 134 to 119 (red Cove South).</w:t>
            </w:r>
          </w:p>
          <w:p w14:paraId="77FE5772" w14:textId="77777777" w:rsidR="00373279" w:rsidRPr="00373279" w:rsidRDefault="00373279" w:rsidP="00373279">
            <w:pPr>
              <w:spacing w:after="0" w:line="240" w:lineRule="auto"/>
              <w:rPr>
                <w:rFonts w:ascii="Calibri" w:eastAsia="Times New Roman" w:hAnsi="Calibri" w:cs="Calibri"/>
                <w:color w:val="000000"/>
                <w:sz w:val="16"/>
                <w:szCs w:val="16"/>
                <w:lang w:eastAsia="en-GB"/>
              </w:rPr>
            </w:pPr>
          </w:p>
          <w:p w14:paraId="736DBABB" w14:textId="77777777" w:rsidR="00373279" w:rsidRPr="00373279" w:rsidRDefault="00373279" w:rsidP="00373279">
            <w:pPr>
              <w:spacing w:after="0" w:line="240" w:lineRule="auto"/>
              <w:rPr>
                <w:rFonts w:ascii="Calibri" w:eastAsia="Times New Roman" w:hAnsi="Calibri" w:cs="Calibri"/>
                <w:color w:val="000000"/>
                <w:sz w:val="16"/>
                <w:szCs w:val="16"/>
                <w:lang w:eastAsia="en-GB"/>
              </w:rPr>
            </w:pPr>
            <w:r w:rsidRPr="00373279">
              <w:rPr>
                <w:rFonts w:ascii="Calibri" w:eastAsia="Times New Roman" w:hAnsi="Calibri" w:cs="Calibri"/>
                <w:color w:val="000000"/>
                <w:sz w:val="16"/>
                <w:szCs w:val="16"/>
                <w:lang w:eastAsia="en-GB"/>
              </w:rPr>
              <w:t>Between 2012 and 2018 Average Plant Length cm decreased from 63 to 52 (Cellar’s Cove) and increased from 50 to 56 (Red Cove South).</w:t>
            </w:r>
          </w:p>
          <w:p w14:paraId="53A17DC3" w14:textId="77777777" w:rsidR="00373279" w:rsidRPr="00373279" w:rsidRDefault="00373279" w:rsidP="00373279">
            <w:pPr>
              <w:spacing w:after="0" w:line="240" w:lineRule="auto"/>
              <w:rPr>
                <w:rFonts w:ascii="Calibri" w:eastAsia="Times New Roman" w:hAnsi="Calibri" w:cs="Calibri"/>
                <w:color w:val="000000"/>
                <w:sz w:val="16"/>
                <w:szCs w:val="16"/>
                <w:lang w:eastAsia="en-GB"/>
              </w:rPr>
            </w:pPr>
          </w:p>
          <w:p w14:paraId="4E4D37E4" w14:textId="756275FB" w:rsidR="001E6049" w:rsidRDefault="00373279" w:rsidP="00373279">
            <w:pPr>
              <w:spacing w:after="0" w:line="240" w:lineRule="auto"/>
              <w:rPr>
                <w:rFonts w:ascii="Calibri" w:eastAsia="Times New Roman" w:hAnsi="Calibri" w:cs="Calibri"/>
                <w:color w:val="000000"/>
                <w:sz w:val="16"/>
                <w:szCs w:val="16"/>
                <w:lang w:eastAsia="en-GB"/>
              </w:rPr>
            </w:pPr>
            <w:r w:rsidRPr="00373279">
              <w:rPr>
                <w:rFonts w:ascii="Calibri" w:eastAsia="Times New Roman" w:hAnsi="Calibri" w:cs="Calibri"/>
                <w:color w:val="000000"/>
                <w:sz w:val="16"/>
                <w:szCs w:val="16"/>
                <w:lang w:eastAsia="en-GB"/>
              </w:rPr>
              <w:t>Between 2012 and 2018, % Infected Leaves increased from 50 to 53 (Cellar’s Cove) and decreased from 56 to 29 (Red Cove South.</w:t>
            </w:r>
          </w:p>
          <w:p w14:paraId="03660D29" w14:textId="77777777" w:rsidR="001E6049" w:rsidRDefault="001E6049" w:rsidP="00500C88">
            <w:pPr>
              <w:spacing w:after="0" w:line="240" w:lineRule="auto"/>
              <w:rPr>
                <w:rFonts w:ascii="Calibri" w:eastAsia="Times New Roman" w:hAnsi="Calibri" w:cs="Calibri"/>
                <w:color w:val="000000"/>
                <w:sz w:val="16"/>
                <w:szCs w:val="16"/>
                <w:lang w:eastAsia="en-GB"/>
              </w:rPr>
            </w:pPr>
          </w:p>
          <w:p w14:paraId="7D137D83" w14:textId="77777777" w:rsidR="001E6049" w:rsidRDefault="001E6049" w:rsidP="00500C88">
            <w:pPr>
              <w:spacing w:after="0" w:line="240" w:lineRule="auto"/>
              <w:rPr>
                <w:rFonts w:ascii="Calibri" w:eastAsia="Times New Roman" w:hAnsi="Calibri" w:cs="Calibri"/>
                <w:color w:val="000000"/>
                <w:sz w:val="16"/>
                <w:szCs w:val="16"/>
                <w:lang w:eastAsia="en-GB"/>
              </w:rPr>
            </w:pPr>
            <w:r w:rsidRPr="007A71B9">
              <w:rPr>
                <w:rFonts w:ascii="Calibri" w:eastAsia="Times New Roman" w:hAnsi="Calibri" w:cs="Calibri"/>
                <w:b/>
                <w:bCs/>
                <w:color w:val="000000"/>
                <w:sz w:val="16"/>
                <w:szCs w:val="16"/>
                <w:lang w:eastAsia="en-GB"/>
              </w:rPr>
              <w:t xml:space="preserve">LRC: </w:t>
            </w:r>
            <w:r w:rsidRPr="00F16550">
              <w:rPr>
                <w:rFonts w:ascii="Calibri" w:eastAsia="Times New Roman" w:hAnsi="Calibri" w:cs="Calibri"/>
                <w:color w:val="000000"/>
                <w:sz w:val="16"/>
                <w:szCs w:val="16"/>
                <w:lang w:eastAsia="en-GB"/>
              </w:rPr>
              <w:t xml:space="preserve">Moderate due to anchor and mooring pressures. </w:t>
            </w:r>
          </w:p>
          <w:p w14:paraId="6FC2FD74" w14:textId="77777777" w:rsidR="001E6049" w:rsidRDefault="001E6049" w:rsidP="00500C88">
            <w:pPr>
              <w:spacing w:after="0" w:line="240" w:lineRule="auto"/>
              <w:rPr>
                <w:rFonts w:ascii="Calibri" w:eastAsia="Times New Roman" w:hAnsi="Calibri" w:cs="Calibri"/>
                <w:color w:val="000000"/>
                <w:sz w:val="16"/>
                <w:szCs w:val="16"/>
                <w:lang w:eastAsia="en-GB"/>
              </w:rPr>
            </w:pPr>
          </w:p>
          <w:p w14:paraId="26823684" w14:textId="77777777" w:rsidR="001E6049" w:rsidRPr="001009AB" w:rsidRDefault="001E6049" w:rsidP="00500C88">
            <w:pPr>
              <w:spacing w:after="0" w:line="240" w:lineRule="auto"/>
              <w:rPr>
                <w:rFonts w:ascii="Calibri" w:eastAsia="Times New Roman" w:hAnsi="Calibri" w:cs="Calibri"/>
                <w:b/>
                <w:bCs/>
                <w:color w:val="000000"/>
                <w:sz w:val="16"/>
                <w:szCs w:val="16"/>
                <w:lang w:eastAsia="en-GB"/>
              </w:rPr>
            </w:pPr>
            <w:r w:rsidRPr="001009AB">
              <w:rPr>
                <w:rFonts w:ascii="Calibri" w:eastAsia="Times New Roman" w:hAnsi="Calibri" w:cs="Calibri"/>
                <w:b/>
                <w:bCs/>
                <w:color w:val="000000"/>
                <w:sz w:val="16"/>
                <w:szCs w:val="16"/>
                <w:lang w:eastAsia="en-GB"/>
              </w:rPr>
              <w:t xml:space="preserve">Water Quality: </w:t>
            </w:r>
            <w:r w:rsidRPr="007D3203">
              <w:rPr>
                <w:rFonts w:ascii="Calibri" w:eastAsia="Times New Roman" w:hAnsi="Calibri" w:cs="Calibri"/>
                <w:color w:val="000000"/>
                <w:sz w:val="16"/>
                <w:szCs w:val="16"/>
                <w:lang w:eastAsia="en-GB"/>
              </w:rPr>
              <w:t>This seagrass bed is within the Plymouth Sound water body area. Water body fails to achieve good status due to levels of chemical contaminants and levels of DIN. Risk of eutrophication is supposedly low due to good-high status of phytoplankton and macroalgae.</w:t>
            </w:r>
          </w:p>
          <w:p w14:paraId="6C7224AA" w14:textId="77777777" w:rsidR="001E6049" w:rsidRDefault="001E6049" w:rsidP="00500C88">
            <w:pPr>
              <w:spacing w:after="0" w:line="240" w:lineRule="auto"/>
              <w:rPr>
                <w:rFonts w:ascii="Calibri" w:eastAsia="Times New Roman" w:hAnsi="Calibri" w:cs="Calibri"/>
                <w:color w:val="000000"/>
                <w:sz w:val="16"/>
                <w:szCs w:val="16"/>
                <w:lang w:eastAsia="en-GB"/>
              </w:rPr>
            </w:pPr>
          </w:p>
          <w:p w14:paraId="71F58F3B" w14:textId="77777777" w:rsidR="001E6049" w:rsidRDefault="001E6049" w:rsidP="00500C88">
            <w:pPr>
              <w:spacing w:after="0" w:line="240" w:lineRule="auto"/>
              <w:rPr>
                <w:rFonts w:ascii="Calibri" w:eastAsia="Times New Roman" w:hAnsi="Calibri" w:cs="Calibri"/>
                <w:color w:val="000000"/>
                <w:sz w:val="16"/>
                <w:szCs w:val="16"/>
                <w:lang w:eastAsia="en-GB"/>
              </w:rPr>
            </w:pPr>
          </w:p>
          <w:p w14:paraId="7484C5D6" w14:textId="77777777" w:rsidR="001E6049" w:rsidRDefault="001E6049" w:rsidP="00500C88">
            <w:pPr>
              <w:spacing w:after="0" w:line="240" w:lineRule="auto"/>
              <w:rPr>
                <w:rFonts w:ascii="Calibri" w:eastAsia="Times New Roman" w:hAnsi="Calibri" w:cs="Calibri"/>
                <w:color w:val="000000"/>
                <w:sz w:val="16"/>
                <w:szCs w:val="16"/>
                <w:lang w:eastAsia="en-GB"/>
              </w:rPr>
            </w:pPr>
          </w:p>
          <w:p w14:paraId="24A6A93E" w14:textId="77777777" w:rsidR="001E6049" w:rsidRDefault="001E6049" w:rsidP="00500C88">
            <w:pPr>
              <w:spacing w:after="0" w:line="240" w:lineRule="auto"/>
              <w:rPr>
                <w:rFonts w:ascii="Calibri" w:eastAsia="Times New Roman" w:hAnsi="Calibri" w:cs="Calibri"/>
                <w:color w:val="000000"/>
                <w:sz w:val="16"/>
                <w:szCs w:val="16"/>
                <w:lang w:eastAsia="en-GB"/>
              </w:rPr>
            </w:pPr>
          </w:p>
          <w:p w14:paraId="28B764CD" w14:textId="77777777" w:rsidR="001E6049" w:rsidRDefault="001E6049" w:rsidP="00500C88">
            <w:pPr>
              <w:spacing w:after="0" w:line="240" w:lineRule="auto"/>
              <w:rPr>
                <w:rFonts w:ascii="Calibri" w:eastAsia="Times New Roman" w:hAnsi="Calibri" w:cs="Calibri"/>
                <w:color w:val="000000"/>
                <w:sz w:val="16"/>
                <w:szCs w:val="16"/>
                <w:lang w:eastAsia="en-GB"/>
              </w:rPr>
            </w:pPr>
          </w:p>
          <w:p w14:paraId="1EA2C592" w14:textId="77777777" w:rsidR="001E6049" w:rsidRDefault="001E6049" w:rsidP="00500C88">
            <w:pPr>
              <w:spacing w:after="0" w:line="240" w:lineRule="auto"/>
              <w:rPr>
                <w:rFonts w:ascii="Calibri" w:eastAsia="Times New Roman" w:hAnsi="Calibri" w:cs="Calibri"/>
                <w:color w:val="000000"/>
                <w:sz w:val="16"/>
                <w:szCs w:val="16"/>
                <w:lang w:eastAsia="en-GB"/>
              </w:rPr>
            </w:pPr>
          </w:p>
        </w:tc>
        <w:tc>
          <w:tcPr>
            <w:tcW w:w="2713" w:type="dxa"/>
            <w:tcBorders>
              <w:top w:val="nil"/>
              <w:left w:val="nil"/>
              <w:bottom w:val="single" w:sz="4" w:space="0" w:color="auto"/>
              <w:right w:val="single" w:sz="4" w:space="0" w:color="auto"/>
            </w:tcBorders>
            <w:hideMark/>
          </w:tcPr>
          <w:p w14:paraId="6582353F" w14:textId="77777777" w:rsidR="001E6049" w:rsidRDefault="001E6049" w:rsidP="00500C88">
            <w:pP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lastRenderedPageBreak/>
              <w:t>MSFD: As above.</w:t>
            </w:r>
          </w:p>
          <w:p w14:paraId="4F41AF77" w14:textId="77777777" w:rsidR="001E6049" w:rsidRDefault="001E6049"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UK Marine Strategy: As above.</w:t>
            </w:r>
          </w:p>
          <w:p w14:paraId="25F5528E" w14:textId="77777777" w:rsidR="001E6049" w:rsidRDefault="001E6049" w:rsidP="00500C88">
            <w:pPr>
              <w:spacing w:after="0" w:line="240" w:lineRule="auto"/>
              <w:rPr>
                <w:rFonts w:ascii="Calibri" w:eastAsia="Times New Roman" w:hAnsi="Calibri" w:cs="Calibri"/>
                <w:b/>
                <w:bCs/>
                <w:color w:val="000000"/>
                <w:sz w:val="16"/>
                <w:szCs w:val="16"/>
                <w:lang w:eastAsia="en-GB"/>
              </w:rPr>
            </w:pPr>
          </w:p>
          <w:p w14:paraId="4F6CE1C2" w14:textId="77777777" w:rsidR="001E6049" w:rsidRPr="00264AE0" w:rsidRDefault="001E6049"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WFD: As above.</w:t>
            </w:r>
          </w:p>
        </w:tc>
        <w:tc>
          <w:tcPr>
            <w:tcW w:w="1360" w:type="dxa"/>
            <w:tcBorders>
              <w:top w:val="nil"/>
              <w:left w:val="nil"/>
              <w:bottom w:val="single" w:sz="4" w:space="0" w:color="auto"/>
              <w:right w:val="single" w:sz="4" w:space="0" w:color="auto"/>
            </w:tcBorders>
            <w:hideMark/>
          </w:tcPr>
          <w:p w14:paraId="1F1DB6F4" w14:textId="77777777" w:rsidR="001E6049" w:rsidRDefault="001E6049"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Declining </w:t>
            </w:r>
          </w:p>
          <w:p w14:paraId="5200828F" w14:textId="77777777" w:rsidR="001E6049" w:rsidRDefault="001E6049" w:rsidP="00500C88">
            <w:pPr>
              <w:spacing w:after="0" w:line="240" w:lineRule="auto"/>
              <w:rPr>
                <w:rFonts w:ascii="Calibri" w:eastAsia="Times New Roman" w:hAnsi="Calibri" w:cs="Calibri"/>
                <w:color w:val="000000"/>
                <w:sz w:val="16"/>
                <w:szCs w:val="16"/>
                <w:lang w:eastAsia="en-GB"/>
              </w:rPr>
            </w:pPr>
          </w:p>
          <w:p w14:paraId="63C3F26C" w14:textId="77777777" w:rsidR="00DC136C" w:rsidRPr="00373279" w:rsidRDefault="00DC136C" w:rsidP="00DC136C">
            <w:pPr>
              <w:spacing w:after="0" w:line="240" w:lineRule="auto"/>
              <w:rPr>
                <w:rFonts w:ascii="Calibri" w:eastAsia="Times New Roman" w:hAnsi="Calibri" w:cs="Calibri"/>
                <w:color w:val="000000"/>
                <w:sz w:val="16"/>
                <w:szCs w:val="16"/>
                <w:lang w:eastAsia="en-GB"/>
              </w:rPr>
            </w:pPr>
            <w:r w:rsidRPr="00373279">
              <w:rPr>
                <w:rFonts w:ascii="Calibri" w:eastAsia="Times New Roman" w:hAnsi="Calibri" w:cs="Calibri"/>
                <w:color w:val="000000"/>
                <w:sz w:val="16"/>
                <w:szCs w:val="16"/>
                <w:lang w:eastAsia="en-GB"/>
              </w:rPr>
              <w:t>Between 2012 and 2018, Average % Seagrass Cover DDV decreased from: 74 to 69 (Cellar’s Cove); 80 to 55 (Red Cove South); 77 to 46 (Red Cove North); 19 to 11 (Tomb Rock).</w:t>
            </w:r>
          </w:p>
          <w:p w14:paraId="6F380CFF" w14:textId="77777777" w:rsidR="00DC136C" w:rsidRPr="00373279" w:rsidRDefault="00DC136C" w:rsidP="00DC136C">
            <w:pPr>
              <w:spacing w:after="0" w:line="240" w:lineRule="auto"/>
              <w:rPr>
                <w:rFonts w:ascii="Calibri" w:eastAsia="Times New Roman" w:hAnsi="Calibri" w:cs="Calibri"/>
                <w:color w:val="000000"/>
                <w:sz w:val="16"/>
                <w:szCs w:val="16"/>
                <w:lang w:eastAsia="en-GB"/>
              </w:rPr>
            </w:pPr>
          </w:p>
          <w:p w14:paraId="545784D4" w14:textId="77777777" w:rsidR="00DC136C" w:rsidRPr="00373279" w:rsidRDefault="00DC136C" w:rsidP="00DC136C">
            <w:pPr>
              <w:spacing w:after="0" w:line="240" w:lineRule="auto"/>
              <w:rPr>
                <w:rFonts w:ascii="Calibri" w:eastAsia="Times New Roman" w:hAnsi="Calibri" w:cs="Calibri"/>
                <w:color w:val="000000"/>
                <w:sz w:val="16"/>
                <w:szCs w:val="16"/>
                <w:lang w:eastAsia="en-GB"/>
              </w:rPr>
            </w:pPr>
            <w:r w:rsidRPr="00373279">
              <w:rPr>
                <w:rFonts w:ascii="Calibri" w:eastAsia="Times New Roman" w:hAnsi="Calibri" w:cs="Calibri"/>
                <w:color w:val="000000"/>
                <w:sz w:val="16"/>
                <w:szCs w:val="16"/>
                <w:lang w:eastAsia="en-GB"/>
              </w:rPr>
              <w:t>Between 2012 and 2018, Average Shoot Density m</w:t>
            </w:r>
            <w:r w:rsidRPr="008D30E2">
              <w:rPr>
                <w:rFonts w:ascii="Calibri" w:eastAsia="Times New Roman" w:hAnsi="Calibri" w:cs="Calibri"/>
                <w:color w:val="000000"/>
                <w:sz w:val="16"/>
                <w:szCs w:val="16"/>
                <w:vertAlign w:val="superscript"/>
                <w:lang w:eastAsia="en-GB"/>
              </w:rPr>
              <w:t>2</w:t>
            </w:r>
            <w:r w:rsidRPr="00373279">
              <w:rPr>
                <w:rFonts w:ascii="Calibri" w:eastAsia="Times New Roman" w:hAnsi="Calibri" w:cs="Calibri"/>
                <w:color w:val="000000"/>
                <w:sz w:val="16"/>
                <w:szCs w:val="16"/>
                <w:lang w:eastAsia="en-GB"/>
              </w:rPr>
              <w:t xml:space="preserve"> decreased from: 122 to 112 (Cellar’s Cove); 134 to 119 (red Cove South).</w:t>
            </w:r>
          </w:p>
          <w:p w14:paraId="3C8F8BF6" w14:textId="77777777" w:rsidR="00DC136C" w:rsidRPr="00373279" w:rsidRDefault="00DC136C" w:rsidP="00DC136C">
            <w:pPr>
              <w:spacing w:after="0" w:line="240" w:lineRule="auto"/>
              <w:rPr>
                <w:rFonts w:ascii="Calibri" w:eastAsia="Times New Roman" w:hAnsi="Calibri" w:cs="Calibri"/>
                <w:color w:val="000000"/>
                <w:sz w:val="16"/>
                <w:szCs w:val="16"/>
                <w:lang w:eastAsia="en-GB"/>
              </w:rPr>
            </w:pPr>
          </w:p>
          <w:p w14:paraId="69F93920" w14:textId="77777777" w:rsidR="00DC136C" w:rsidRPr="00373279" w:rsidRDefault="00DC136C" w:rsidP="00DC136C">
            <w:pPr>
              <w:spacing w:after="0" w:line="240" w:lineRule="auto"/>
              <w:rPr>
                <w:rFonts w:ascii="Calibri" w:eastAsia="Times New Roman" w:hAnsi="Calibri" w:cs="Calibri"/>
                <w:color w:val="000000"/>
                <w:sz w:val="16"/>
                <w:szCs w:val="16"/>
                <w:lang w:eastAsia="en-GB"/>
              </w:rPr>
            </w:pPr>
            <w:r w:rsidRPr="00373279">
              <w:rPr>
                <w:rFonts w:ascii="Calibri" w:eastAsia="Times New Roman" w:hAnsi="Calibri" w:cs="Calibri"/>
                <w:color w:val="000000"/>
                <w:sz w:val="16"/>
                <w:szCs w:val="16"/>
                <w:lang w:eastAsia="en-GB"/>
              </w:rPr>
              <w:t xml:space="preserve">Between 2012 and 2018 Average Plant </w:t>
            </w:r>
            <w:r w:rsidRPr="00373279">
              <w:rPr>
                <w:rFonts w:ascii="Calibri" w:eastAsia="Times New Roman" w:hAnsi="Calibri" w:cs="Calibri"/>
                <w:color w:val="000000"/>
                <w:sz w:val="16"/>
                <w:szCs w:val="16"/>
                <w:lang w:eastAsia="en-GB"/>
              </w:rPr>
              <w:lastRenderedPageBreak/>
              <w:t>Length cm decreased from 63 to 52 (Cellar’s Cove) and increased from 50 to 56 (Red Cove South).</w:t>
            </w:r>
          </w:p>
          <w:p w14:paraId="19117BE2" w14:textId="77777777" w:rsidR="00DC136C" w:rsidRPr="00373279" w:rsidRDefault="00DC136C" w:rsidP="00DC136C">
            <w:pPr>
              <w:spacing w:after="0" w:line="240" w:lineRule="auto"/>
              <w:rPr>
                <w:rFonts w:ascii="Calibri" w:eastAsia="Times New Roman" w:hAnsi="Calibri" w:cs="Calibri"/>
                <w:color w:val="000000"/>
                <w:sz w:val="16"/>
                <w:szCs w:val="16"/>
                <w:lang w:eastAsia="en-GB"/>
              </w:rPr>
            </w:pPr>
          </w:p>
          <w:p w14:paraId="4ECA5F39" w14:textId="77777777" w:rsidR="00DC136C" w:rsidRDefault="00DC136C" w:rsidP="00DC136C">
            <w:pPr>
              <w:spacing w:after="0" w:line="240" w:lineRule="auto"/>
              <w:rPr>
                <w:rFonts w:ascii="Calibri" w:eastAsia="Times New Roman" w:hAnsi="Calibri" w:cs="Calibri"/>
                <w:color w:val="000000"/>
                <w:sz w:val="16"/>
                <w:szCs w:val="16"/>
                <w:lang w:eastAsia="en-GB"/>
              </w:rPr>
            </w:pPr>
            <w:r w:rsidRPr="00373279">
              <w:rPr>
                <w:rFonts w:ascii="Calibri" w:eastAsia="Times New Roman" w:hAnsi="Calibri" w:cs="Calibri"/>
                <w:color w:val="000000"/>
                <w:sz w:val="16"/>
                <w:szCs w:val="16"/>
                <w:lang w:eastAsia="en-GB"/>
              </w:rPr>
              <w:t>Between 2012 and 2018, % Infected Leaves increased from 50 to 53 (Cellar’s Cove) and decreased from 56 to 29 (Red Cove South.</w:t>
            </w:r>
          </w:p>
          <w:p w14:paraId="1204A650" w14:textId="6DC96F69" w:rsidR="001E6049" w:rsidRDefault="001E6049" w:rsidP="00500C88">
            <w:pPr>
              <w:spacing w:after="0" w:line="240" w:lineRule="auto"/>
              <w:rPr>
                <w:rFonts w:ascii="Calibri" w:eastAsia="Times New Roman" w:hAnsi="Calibri" w:cs="Calibri"/>
                <w:color w:val="000000"/>
                <w:sz w:val="16"/>
                <w:szCs w:val="16"/>
                <w:lang w:eastAsia="en-GB"/>
              </w:rPr>
            </w:pPr>
          </w:p>
        </w:tc>
        <w:tc>
          <w:tcPr>
            <w:tcW w:w="870" w:type="dxa"/>
            <w:tcBorders>
              <w:top w:val="single" w:sz="4" w:space="0" w:color="auto"/>
              <w:left w:val="single" w:sz="4" w:space="0" w:color="auto"/>
              <w:bottom w:val="single" w:sz="4" w:space="0" w:color="auto"/>
              <w:right w:val="single" w:sz="4" w:space="0" w:color="auto"/>
            </w:tcBorders>
            <w:shd w:val="clear" w:color="auto" w:fill="FFA3A3"/>
            <w:vAlign w:val="center"/>
            <w:hideMark/>
          </w:tcPr>
          <w:p w14:paraId="576CFD90" w14:textId="77777777" w:rsidR="001E6049" w:rsidRDefault="001E6049" w:rsidP="00500C88">
            <w:pPr>
              <w:spacing w:after="0" w:line="240" w:lineRule="auto"/>
              <w:jc w:val="center"/>
              <w:rPr>
                <w:rFonts w:ascii="Calibri" w:eastAsia="Times New Roman" w:hAnsi="Calibri" w:cs="Calibri"/>
                <w:b/>
                <w:bCs/>
                <w:color w:val="000000"/>
                <w:sz w:val="16"/>
                <w:szCs w:val="16"/>
                <w:lang w:eastAsia="en-GB"/>
              </w:rPr>
            </w:pPr>
            <w:r w:rsidRPr="00430FF2">
              <w:rPr>
                <w:rFonts w:ascii="Calibri" w:eastAsia="Times New Roman" w:hAnsi="Calibri" w:cs="Calibri"/>
                <w:b/>
                <w:bCs/>
                <w:sz w:val="16"/>
                <w:szCs w:val="16"/>
                <w:lang w:eastAsia="en-GB"/>
              </w:rPr>
              <w:lastRenderedPageBreak/>
              <w:t>C             (4)</w:t>
            </w:r>
          </w:p>
        </w:tc>
      </w:tr>
      <w:tr w:rsidR="001E6049" w14:paraId="1D236ECA" w14:textId="77777777" w:rsidTr="00500C88">
        <w:trPr>
          <w:trHeight w:val="210"/>
        </w:trPr>
        <w:tc>
          <w:tcPr>
            <w:tcW w:w="0" w:type="auto"/>
            <w:vMerge/>
            <w:tcBorders>
              <w:top w:val="nil"/>
              <w:left w:val="single" w:sz="8" w:space="0" w:color="auto"/>
              <w:bottom w:val="single" w:sz="8" w:space="0" w:color="000000"/>
              <w:right w:val="nil"/>
            </w:tcBorders>
            <w:vAlign w:val="center"/>
            <w:hideMark/>
          </w:tcPr>
          <w:p w14:paraId="73B6E8A5" w14:textId="77777777" w:rsidR="001E6049" w:rsidRDefault="001E6049"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7F1A9" w14:textId="77777777" w:rsidR="001E6049" w:rsidRDefault="001E6049"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EB3A5" w14:textId="77777777" w:rsidR="001E6049" w:rsidRDefault="001E6049" w:rsidP="00500C88">
            <w:pPr>
              <w:spacing w:after="0"/>
              <w:rPr>
                <w:rFonts w:ascii="Calibri" w:eastAsia="Times New Roman" w:hAnsi="Calibri" w:cs="Calibri"/>
                <w:b/>
                <w:bCs/>
                <w:color w:val="000000"/>
                <w:sz w:val="16"/>
                <w:szCs w:val="16"/>
                <w:lang w:eastAsia="en-GB"/>
              </w:rPr>
            </w:pPr>
          </w:p>
        </w:tc>
        <w:tc>
          <w:tcPr>
            <w:tcW w:w="1545" w:type="dxa"/>
            <w:tcBorders>
              <w:top w:val="nil"/>
              <w:left w:val="nil"/>
              <w:bottom w:val="single" w:sz="4" w:space="0" w:color="auto"/>
              <w:right w:val="single" w:sz="4" w:space="0" w:color="auto"/>
            </w:tcBorders>
            <w:noWrap/>
            <w:hideMark/>
          </w:tcPr>
          <w:p w14:paraId="36CE6CDA" w14:textId="77777777" w:rsidR="001E6049" w:rsidRDefault="001E6049"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6300" w:type="dxa"/>
            <w:gridSpan w:val="2"/>
            <w:tcBorders>
              <w:top w:val="single" w:sz="4" w:space="0" w:color="auto"/>
              <w:left w:val="nil"/>
              <w:bottom w:val="single" w:sz="4" w:space="0" w:color="auto"/>
              <w:right w:val="single" w:sz="4" w:space="0" w:color="auto"/>
            </w:tcBorders>
            <w:vAlign w:val="center"/>
            <w:hideMark/>
          </w:tcPr>
          <w:p w14:paraId="2832AB9B" w14:textId="77777777" w:rsidR="001E6049" w:rsidRDefault="001E6049"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 – last condition assessment 2018</w:t>
            </w:r>
          </w:p>
        </w:tc>
        <w:tc>
          <w:tcPr>
            <w:tcW w:w="1360" w:type="dxa"/>
            <w:tcBorders>
              <w:top w:val="nil"/>
              <w:left w:val="nil"/>
              <w:bottom w:val="single" w:sz="4" w:space="0" w:color="auto"/>
              <w:right w:val="single" w:sz="4" w:space="0" w:color="auto"/>
            </w:tcBorders>
            <w:vAlign w:val="center"/>
            <w:hideMark/>
          </w:tcPr>
          <w:p w14:paraId="3AEE2CEE" w14:textId="77777777" w:rsidR="001E6049" w:rsidRDefault="001E6049"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w:t>
            </w:r>
          </w:p>
        </w:tc>
        <w:tc>
          <w:tcPr>
            <w:tcW w:w="870" w:type="dxa"/>
            <w:vMerge w:val="restart"/>
            <w:tcBorders>
              <w:top w:val="nil"/>
              <w:left w:val="single" w:sz="4" w:space="0" w:color="auto"/>
              <w:bottom w:val="single" w:sz="4" w:space="0" w:color="auto"/>
              <w:right w:val="single" w:sz="4" w:space="0" w:color="auto"/>
            </w:tcBorders>
            <w:vAlign w:val="center"/>
            <w:hideMark/>
          </w:tcPr>
          <w:p w14:paraId="5E3E7536" w14:textId="77777777" w:rsidR="001E6049" w:rsidRDefault="001E6049" w:rsidP="00500C88">
            <w:pPr>
              <w:rPr>
                <w:rFonts w:ascii="Calibri" w:eastAsia="Times New Roman" w:hAnsi="Calibri" w:cs="Calibri"/>
                <w:color w:val="000000"/>
                <w:sz w:val="16"/>
                <w:szCs w:val="16"/>
                <w:lang w:eastAsia="en-GB"/>
              </w:rPr>
            </w:pPr>
          </w:p>
        </w:tc>
      </w:tr>
      <w:tr w:rsidR="001E6049" w14:paraId="7C6E5347" w14:textId="77777777" w:rsidTr="00DC136C">
        <w:trPr>
          <w:trHeight w:val="270"/>
        </w:trPr>
        <w:tc>
          <w:tcPr>
            <w:tcW w:w="0" w:type="auto"/>
            <w:vMerge/>
            <w:tcBorders>
              <w:top w:val="nil"/>
              <w:left w:val="single" w:sz="8" w:space="0" w:color="auto"/>
              <w:bottom w:val="single" w:sz="8" w:space="0" w:color="000000"/>
              <w:right w:val="nil"/>
            </w:tcBorders>
            <w:vAlign w:val="center"/>
            <w:hideMark/>
          </w:tcPr>
          <w:p w14:paraId="735DEA83" w14:textId="77777777" w:rsidR="001E6049" w:rsidRDefault="001E6049"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FA8717" w14:textId="77777777" w:rsidR="001E6049" w:rsidRDefault="001E6049"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D85F3" w14:textId="77777777" w:rsidR="001E6049" w:rsidRDefault="001E6049" w:rsidP="00500C88">
            <w:pPr>
              <w:spacing w:after="0"/>
              <w:rPr>
                <w:rFonts w:ascii="Calibri" w:eastAsia="Times New Roman" w:hAnsi="Calibri" w:cs="Calibri"/>
                <w:b/>
                <w:bCs/>
                <w:color w:val="000000"/>
                <w:sz w:val="16"/>
                <w:szCs w:val="16"/>
                <w:lang w:eastAsia="en-GB"/>
              </w:rPr>
            </w:pPr>
          </w:p>
        </w:tc>
        <w:tc>
          <w:tcPr>
            <w:tcW w:w="1545" w:type="dxa"/>
            <w:tcBorders>
              <w:top w:val="nil"/>
              <w:left w:val="nil"/>
              <w:bottom w:val="single" w:sz="4" w:space="0" w:color="auto"/>
              <w:right w:val="single" w:sz="4" w:space="0" w:color="auto"/>
            </w:tcBorders>
            <w:noWrap/>
            <w:hideMark/>
          </w:tcPr>
          <w:p w14:paraId="69A89A36" w14:textId="77777777" w:rsidR="001E6049" w:rsidRDefault="001E6049"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6300" w:type="dxa"/>
            <w:gridSpan w:val="2"/>
            <w:tcBorders>
              <w:top w:val="single" w:sz="4" w:space="0" w:color="auto"/>
              <w:left w:val="nil"/>
              <w:bottom w:val="single" w:sz="4" w:space="0" w:color="auto"/>
              <w:right w:val="single" w:sz="4" w:space="0" w:color="auto"/>
            </w:tcBorders>
            <w:vAlign w:val="center"/>
            <w:hideMark/>
          </w:tcPr>
          <w:p w14:paraId="0430E8C8" w14:textId="77777777" w:rsidR="001E6049" w:rsidRDefault="001E6049"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1360" w:type="dxa"/>
            <w:tcBorders>
              <w:top w:val="nil"/>
              <w:left w:val="nil"/>
              <w:bottom w:val="single" w:sz="4" w:space="0" w:color="auto"/>
              <w:right w:val="single" w:sz="4" w:space="0" w:color="auto"/>
            </w:tcBorders>
            <w:vAlign w:val="center"/>
            <w:hideMark/>
          </w:tcPr>
          <w:p w14:paraId="635EE7FE" w14:textId="77777777" w:rsidR="001E6049" w:rsidRDefault="001E6049"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0" w:type="auto"/>
            <w:vMerge/>
            <w:tcBorders>
              <w:top w:val="nil"/>
              <w:left w:val="single" w:sz="4" w:space="0" w:color="auto"/>
              <w:bottom w:val="single" w:sz="4" w:space="0" w:color="auto"/>
              <w:right w:val="single" w:sz="4" w:space="0" w:color="auto"/>
            </w:tcBorders>
            <w:vAlign w:val="center"/>
            <w:hideMark/>
          </w:tcPr>
          <w:p w14:paraId="4AF6E2F9" w14:textId="77777777" w:rsidR="001E6049" w:rsidRDefault="001E6049" w:rsidP="00500C88">
            <w:pPr>
              <w:spacing w:after="0"/>
              <w:rPr>
                <w:rFonts w:ascii="Calibri" w:eastAsia="Times New Roman" w:hAnsi="Calibri" w:cs="Calibri"/>
                <w:color w:val="000000"/>
                <w:sz w:val="16"/>
                <w:szCs w:val="16"/>
                <w:lang w:eastAsia="en-GB"/>
              </w:rPr>
            </w:pPr>
          </w:p>
        </w:tc>
      </w:tr>
      <w:tr w:rsidR="001E6049" w14:paraId="76D54873" w14:textId="77777777" w:rsidTr="00DC136C">
        <w:trPr>
          <w:trHeight w:val="2018"/>
        </w:trPr>
        <w:tc>
          <w:tcPr>
            <w:tcW w:w="0" w:type="auto"/>
            <w:vMerge/>
            <w:tcBorders>
              <w:top w:val="nil"/>
              <w:left w:val="single" w:sz="8" w:space="0" w:color="auto"/>
              <w:bottom w:val="single" w:sz="8" w:space="0" w:color="000000"/>
              <w:right w:val="nil"/>
            </w:tcBorders>
            <w:vAlign w:val="center"/>
            <w:hideMark/>
          </w:tcPr>
          <w:p w14:paraId="2F7DCF6B" w14:textId="77777777" w:rsidR="001E6049" w:rsidRDefault="001E6049" w:rsidP="00500C88">
            <w:pPr>
              <w:spacing w:after="0"/>
              <w:rPr>
                <w:rFonts w:ascii="Calibri" w:eastAsia="Times New Roman" w:hAnsi="Calibri" w:cs="Calibri"/>
                <w:color w:val="000000"/>
                <w:sz w:val="16"/>
                <w:szCs w:val="16"/>
                <w:lang w:eastAsia="en-GB"/>
              </w:rPr>
            </w:pPr>
          </w:p>
        </w:tc>
        <w:tc>
          <w:tcPr>
            <w:tcW w:w="973" w:type="dxa"/>
            <w:vMerge w:val="restart"/>
            <w:tcBorders>
              <w:top w:val="single" w:sz="4" w:space="0" w:color="auto"/>
              <w:left w:val="single" w:sz="4" w:space="0" w:color="auto"/>
              <w:bottom w:val="single" w:sz="4" w:space="0" w:color="auto"/>
              <w:right w:val="single" w:sz="4" w:space="0" w:color="auto"/>
            </w:tcBorders>
            <w:hideMark/>
          </w:tcPr>
          <w:p w14:paraId="088B02D5" w14:textId="5BECE961" w:rsidR="001E6049" w:rsidRDefault="001E6049"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Subtidal Seagrass – </w:t>
            </w:r>
            <w:proofErr w:type="spellStart"/>
            <w:r>
              <w:rPr>
                <w:rFonts w:ascii="Calibri" w:eastAsia="Times New Roman" w:hAnsi="Calibri" w:cs="Calibri"/>
                <w:color w:val="000000"/>
                <w:sz w:val="16"/>
                <w:szCs w:val="16"/>
                <w:lang w:eastAsia="en-GB"/>
              </w:rPr>
              <w:t>Yealm</w:t>
            </w:r>
            <w:proofErr w:type="spellEnd"/>
          </w:p>
        </w:tc>
        <w:tc>
          <w:tcPr>
            <w:tcW w:w="1402" w:type="dxa"/>
            <w:vMerge w:val="restart"/>
            <w:tcBorders>
              <w:top w:val="single" w:sz="4" w:space="0" w:color="auto"/>
              <w:left w:val="single" w:sz="4" w:space="0" w:color="auto"/>
              <w:bottom w:val="single" w:sz="4" w:space="0" w:color="auto"/>
              <w:right w:val="single" w:sz="4" w:space="0" w:color="auto"/>
            </w:tcBorders>
            <w:hideMark/>
          </w:tcPr>
          <w:p w14:paraId="57F85961" w14:textId="77777777" w:rsidR="001E6049" w:rsidRDefault="001E6049"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 Food (Wild Food - fish and shellfish).    </w:t>
            </w:r>
          </w:p>
          <w:p w14:paraId="6D89BA53" w14:textId="77777777" w:rsidR="001E6049" w:rsidRDefault="001E6049" w:rsidP="00500C88">
            <w:pPr>
              <w:spacing w:after="0" w:line="240" w:lineRule="auto"/>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Healthy climate (carbon sequestration).         • Sea defence. (</w:t>
            </w:r>
            <w:proofErr w:type="gramStart"/>
            <w:r>
              <w:rPr>
                <w:rFonts w:ascii="Calibri" w:eastAsia="Times New Roman" w:hAnsi="Calibri" w:cs="Calibri"/>
                <w:b/>
                <w:bCs/>
                <w:color w:val="000000"/>
                <w:sz w:val="16"/>
                <w:szCs w:val="16"/>
                <w:lang w:eastAsia="en-GB"/>
              </w:rPr>
              <w:t>natural</w:t>
            </w:r>
            <w:proofErr w:type="gramEnd"/>
            <w:r>
              <w:rPr>
                <w:rFonts w:ascii="Calibri" w:eastAsia="Times New Roman" w:hAnsi="Calibri" w:cs="Calibri"/>
                <w:b/>
                <w:bCs/>
                <w:color w:val="000000"/>
                <w:sz w:val="16"/>
                <w:szCs w:val="16"/>
                <w:lang w:eastAsia="en-GB"/>
              </w:rPr>
              <w:t xml:space="preserve"> hazard regulation).               • Tourism/nature watching.                  • Clean water and sediments.</w:t>
            </w:r>
          </w:p>
        </w:tc>
        <w:tc>
          <w:tcPr>
            <w:tcW w:w="1545" w:type="dxa"/>
            <w:vMerge w:val="restart"/>
            <w:tcBorders>
              <w:top w:val="single" w:sz="4" w:space="0" w:color="auto"/>
              <w:left w:val="single" w:sz="4" w:space="0" w:color="auto"/>
              <w:bottom w:val="single" w:sz="8" w:space="0" w:color="auto"/>
              <w:right w:val="single" w:sz="4" w:space="0" w:color="auto"/>
            </w:tcBorders>
            <w:noWrap/>
            <w:hideMark/>
          </w:tcPr>
          <w:p w14:paraId="57BDE50E" w14:textId="77777777" w:rsidR="001E6049" w:rsidRDefault="001E6049"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Spatial configuration</w:t>
            </w:r>
          </w:p>
        </w:tc>
        <w:tc>
          <w:tcPr>
            <w:tcW w:w="3587" w:type="dxa"/>
            <w:tcBorders>
              <w:top w:val="single" w:sz="4" w:space="0" w:color="auto"/>
              <w:left w:val="nil"/>
              <w:bottom w:val="single" w:sz="4" w:space="0" w:color="auto"/>
              <w:right w:val="single" w:sz="4" w:space="0" w:color="auto"/>
            </w:tcBorders>
            <w:hideMark/>
          </w:tcPr>
          <w:p w14:paraId="523B92FB" w14:textId="77777777" w:rsidR="00DC136C" w:rsidRPr="00D81799" w:rsidRDefault="00DC136C" w:rsidP="00DC136C">
            <w:pPr>
              <w:spacing w:after="0" w:line="240" w:lineRule="auto"/>
              <w:rPr>
                <w:rFonts w:ascii="Calibri" w:eastAsia="Times New Roman" w:hAnsi="Calibri" w:cs="Calibri"/>
                <w:color w:val="000000"/>
                <w:sz w:val="16"/>
                <w:szCs w:val="16"/>
                <w:lang w:eastAsia="en-GB"/>
              </w:rPr>
            </w:pPr>
            <w:r w:rsidRPr="00BA66F3">
              <w:rPr>
                <w:rFonts w:ascii="Calibri" w:eastAsia="Times New Roman" w:hAnsi="Calibri" w:cs="Calibri"/>
                <w:b/>
                <w:bCs/>
                <w:color w:val="000000"/>
                <w:sz w:val="16"/>
                <w:szCs w:val="16"/>
                <w:lang w:eastAsia="en-GB"/>
              </w:rPr>
              <w:t>Composite mapping</w:t>
            </w:r>
            <w:r>
              <w:rPr>
                <w:rFonts w:ascii="Calibri" w:eastAsia="Times New Roman" w:hAnsi="Calibri" w:cs="Calibri"/>
                <w:color w:val="000000"/>
                <w:sz w:val="16"/>
                <w:szCs w:val="16"/>
                <w:lang w:eastAsia="en-GB"/>
              </w:rPr>
              <w:t xml:space="preserve">: </w:t>
            </w:r>
            <w:r w:rsidRPr="003B1106">
              <w:rPr>
                <w:rFonts w:ascii="Calibri" w:eastAsia="Times New Roman" w:hAnsi="Calibri" w:cs="Calibri"/>
                <w:color w:val="000000"/>
                <w:sz w:val="16"/>
                <w:szCs w:val="16"/>
                <w:lang w:eastAsia="en-GB"/>
              </w:rPr>
              <w:t xml:space="preserve">Composite mapping shows the seagrass beds at </w:t>
            </w:r>
            <w:proofErr w:type="spellStart"/>
            <w:r w:rsidRPr="003B1106">
              <w:rPr>
                <w:rFonts w:ascii="Calibri" w:eastAsia="Times New Roman" w:hAnsi="Calibri" w:cs="Calibri"/>
                <w:color w:val="000000"/>
                <w:sz w:val="16"/>
                <w:szCs w:val="16"/>
                <w:lang w:eastAsia="en-GB"/>
              </w:rPr>
              <w:t>Yealm</w:t>
            </w:r>
            <w:proofErr w:type="spellEnd"/>
            <w:r w:rsidRPr="003B1106">
              <w:rPr>
                <w:rFonts w:ascii="Calibri" w:eastAsia="Times New Roman" w:hAnsi="Calibri" w:cs="Calibri"/>
                <w:color w:val="000000"/>
                <w:sz w:val="16"/>
                <w:szCs w:val="16"/>
                <w:lang w:eastAsia="en-GB"/>
              </w:rPr>
              <w:t xml:space="preserve"> to have a total area of 0.19 Km</w:t>
            </w:r>
            <w:r w:rsidRPr="003B1106">
              <w:rPr>
                <w:rFonts w:ascii="Calibri" w:eastAsia="Times New Roman" w:hAnsi="Calibri" w:cs="Calibri"/>
                <w:color w:val="000000"/>
                <w:sz w:val="16"/>
                <w:szCs w:val="16"/>
                <w:vertAlign w:val="superscript"/>
                <w:lang w:eastAsia="en-GB"/>
              </w:rPr>
              <w:t>2</w:t>
            </w:r>
          </w:p>
          <w:p w14:paraId="528275DC" w14:textId="77777777" w:rsidR="00DC136C" w:rsidRDefault="00DC136C" w:rsidP="00DC136C">
            <w:pPr>
              <w:spacing w:after="0" w:line="240" w:lineRule="auto"/>
              <w:rPr>
                <w:rFonts w:ascii="Calibri" w:eastAsia="Times New Roman" w:hAnsi="Calibri" w:cs="Calibri"/>
                <w:color w:val="000000"/>
                <w:sz w:val="16"/>
                <w:szCs w:val="16"/>
                <w:lang w:eastAsia="en-GB"/>
              </w:rPr>
            </w:pPr>
          </w:p>
          <w:p w14:paraId="71F0481E" w14:textId="32C5246C" w:rsidR="00DC136C" w:rsidRPr="004765B1" w:rsidRDefault="00DC136C" w:rsidP="00DC136C">
            <w:pPr>
              <w:spacing w:after="0" w:line="240" w:lineRule="auto"/>
              <w:rPr>
                <w:rFonts w:ascii="Calibri" w:eastAsia="Times New Roman" w:hAnsi="Calibri" w:cs="Calibri"/>
                <w:color w:val="000000"/>
                <w:sz w:val="16"/>
                <w:szCs w:val="16"/>
                <w:lang w:eastAsia="en-GB"/>
              </w:rPr>
            </w:pPr>
            <w:r w:rsidRPr="009D42EA">
              <w:rPr>
                <w:rFonts w:ascii="Calibri" w:eastAsia="Times New Roman" w:hAnsi="Calibri" w:cs="Calibri"/>
                <w:b/>
                <w:bCs/>
                <w:color w:val="000000"/>
                <w:sz w:val="16"/>
                <w:szCs w:val="16"/>
                <w:lang w:eastAsia="en-GB"/>
              </w:rPr>
              <w:t>NE Package:</w:t>
            </w:r>
            <w:r>
              <w:rPr>
                <w:rFonts w:ascii="Calibri" w:eastAsia="Times New Roman" w:hAnsi="Calibri" w:cs="Calibri"/>
                <w:b/>
                <w:bCs/>
                <w:color w:val="000000"/>
                <w:sz w:val="16"/>
                <w:szCs w:val="16"/>
                <w:lang w:eastAsia="en-GB"/>
              </w:rPr>
              <w:t xml:space="preserve"> </w:t>
            </w:r>
            <w:r w:rsidRPr="004765B1">
              <w:rPr>
                <w:rFonts w:ascii="Calibri" w:eastAsia="Times New Roman" w:hAnsi="Calibri" w:cs="Calibri"/>
                <w:color w:val="000000"/>
                <w:sz w:val="16"/>
                <w:szCs w:val="16"/>
                <w:lang w:eastAsia="en-GB"/>
              </w:rPr>
              <w:t>The Bunker et al (2019) report estimated a decrease in seagrass area from 57,009 m</w:t>
            </w:r>
            <w:r w:rsidRPr="008D30E2">
              <w:rPr>
                <w:rFonts w:ascii="Calibri" w:eastAsia="Times New Roman" w:hAnsi="Calibri" w:cs="Calibri"/>
                <w:color w:val="000000"/>
                <w:sz w:val="16"/>
                <w:szCs w:val="16"/>
                <w:vertAlign w:val="superscript"/>
                <w:lang w:eastAsia="en-GB"/>
              </w:rPr>
              <w:t>2</w:t>
            </w:r>
            <w:r w:rsidRPr="004765B1">
              <w:rPr>
                <w:rFonts w:ascii="Calibri" w:eastAsia="Times New Roman" w:hAnsi="Calibri" w:cs="Calibri"/>
                <w:color w:val="000000"/>
                <w:sz w:val="16"/>
                <w:szCs w:val="16"/>
                <w:lang w:eastAsia="en-GB"/>
              </w:rPr>
              <w:t xml:space="preserve"> to 47,346 m</w:t>
            </w:r>
            <w:r w:rsidRPr="008D30E2">
              <w:rPr>
                <w:rFonts w:ascii="Calibri" w:eastAsia="Times New Roman" w:hAnsi="Calibri" w:cs="Calibri"/>
                <w:color w:val="000000"/>
                <w:sz w:val="16"/>
                <w:szCs w:val="16"/>
                <w:vertAlign w:val="superscript"/>
                <w:lang w:eastAsia="en-GB"/>
              </w:rPr>
              <w:t>2</w:t>
            </w:r>
            <w:r w:rsidRPr="004765B1">
              <w:rPr>
                <w:rFonts w:ascii="Calibri" w:eastAsia="Times New Roman" w:hAnsi="Calibri" w:cs="Calibri"/>
                <w:color w:val="000000"/>
                <w:sz w:val="16"/>
                <w:szCs w:val="16"/>
                <w:lang w:eastAsia="en-GB"/>
              </w:rPr>
              <w:t xml:space="preserve"> between 2012 and 2018 at Cellar’s Cove (</w:t>
            </w:r>
            <w:proofErr w:type="spellStart"/>
            <w:r w:rsidRPr="004765B1">
              <w:rPr>
                <w:rFonts w:ascii="Calibri" w:eastAsia="Times New Roman" w:hAnsi="Calibri" w:cs="Calibri"/>
                <w:color w:val="000000"/>
                <w:sz w:val="16"/>
                <w:szCs w:val="16"/>
                <w:lang w:eastAsia="en-GB"/>
              </w:rPr>
              <w:t>Yealm</w:t>
            </w:r>
            <w:proofErr w:type="spellEnd"/>
            <w:r w:rsidRPr="004765B1">
              <w:rPr>
                <w:rFonts w:ascii="Calibri" w:eastAsia="Times New Roman" w:hAnsi="Calibri" w:cs="Calibri"/>
                <w:color w:val="000000"/>
                <w:sz w:val="16"/>
                <w:szCs w:val="16"/>
                <w:lang w:eastAsia="en-GB"/>
              </w:rPr>
              <w:t xml:space="preserve">). Equivalent to a 17% decrease in area. </w:t>
            </w:r>
          </w:p>
          <w:p w14:paraId="2A0BA6E1" w14:textId="77777777" w:rsidR="00DC136C" w:rsidRPr="004765B1" w:rsidRDefault="00DC136C" w:rsidP="00DC136C">
            <w:pPr>
              <w:spacing w:after="0" w:line="240" w:lineRule="auto"/>
              <w:rPr>
                <w:rFonts w:ascii="Calibri" w:eastAsia="Times New Roman" w:hAnsi="Calibri" w:cs="Calibri"/>
                <w:color w:val="000000"/>
                <w:sz w:val="16"/>
                <w:szCs w:val="16"/>
                <w:lang w:eastAsia="en-GB"/>
              </w:rPr>
            </w:pPr>
          </w:p>
          <w:p w14:paraId="1C0DC282" w14:textId="77777777" w:rsidR="00DC136C" w:rsidRPr="000421E1" w:rsidRDefault="00DC136C" w:rsidP="00DC136C">
            <w:pPr>
              <w:spacing w:after="0" w:line="240" w:lineRule="auto"/>
              <w:rPr>
                <w:color w:val="000000" w:themeColor="text1"/>
                <w:sz w:val="18"/>
                <w:szCs w:val="18"/>
              </w:rPr>
            </w:pPr>
            <w:r w:rsidRPr="004765B1">
              <w:rPr>
                <w:rFonts w:ascii="Calibri" w:eastAsia="Times New Roman" w:hAnsi="Calibri" w:cs="Calibri"/>
                <w:color w:val="000000"/>
                <w:sz w:val="16"/>
                <w:szCs w:val="16"/>
                <w:lang w:eastAsia="en-GB"/>
              </w:rPr>
              <w:t>The Bunker et al (2019) report also estimated an increase in seagrass area from 11,447 m</w:t>
            </w:r>
            <w:r w:rsidRPr="008D30E2">
              <w:rPr>
                <w:rFonts w:ascii="Calibri" w:eastAsia="Times New Roman" w:hAnsi="Calibri" w:cs="Calibri"/>
                <w:color w:val="000000"/>
                <w:sz w:val="16"/>
                <w:szCs w:val="16"/>
                <w:vertAlign w:val="superscript"/>
                <w:lang w:eastAsia="en-GB"/>
              </w:rPr>
              <w:t>2</w:t>
            </w:r>
            <w:r w:rsidRPr="004765B1">
              <w:rPr>
                <w:rFonts w:ascii="Calibri" w:eastAsia="Times New Roman" w:hAnsi="Calibri" w:cs="Calibri"/>
                <w:color w:val="000000"/>
                <w:sz w:val="16"/>
                <w:szCs w:val="16"/>
                <w:lang w:eastAsia="en-GB"/>
              </w:rPr>
              <w:t xml:space="preserve"> to 11,572 m</w:t>
            </w:r>
            <w:r w:rsidRPr="008D30E2">
              <w:rPr>
                <w:rFonts w:ascii="Calibri" w:eastAsia="Times New Roman" w:hAnsi="Calibri" w:cs="Calibri"/>
                <w:color w:val="000000"/>
                <w:sz w:val="16"/>
                <w:szCs w:val="16"/>
                <w:vertAlign w:val="superscript"/>
                <w:lang w:eastAsia="en-GB"/>
              </w:rPr>
              <w:t>2</w:t>
            </w:r>
            <w:r w:rsidRPr="004765B1">
              <w:rPr>
                <w:rFonts w:ascii="Calibri" w:eastAsia="Times New Roman" w:hAnsi="Calibri" w:cs="Calibri"/>
                <w:color w:val="000000"/>
                <w:sz w:val="16"/>
                <w:szCs w:val="16"/>
                <w:lang w:eastAsia="en-GB"/>
              </w:rPr>
              <w:t xml:space="preserve"> between 2012 and 2018 at Red Cove South (</w:t>
            </w:r>
            <w:proofErr w:type="spellStart"/>
            <w:r w:rsidRPr="004765B1">
              <w:rPr>
                <w:rFonts w:ascii="Calibri" w:eastAsia="Times New Roman" w:hAnsi="Calibri" w:cs="Calibri"/>
                <w:color w:val="000000"/>
                <w:sz w:val="16"/>
                <w:szCs w:val="16"/>
                <w:lang w:eastAsia="en-GB"/>
              </w:rPr>
              <w:t>Yealm</w:t>
            </w:r>
            <w:proofErr w:type="spellEnd"/>
            <w:r w:rsidRPr="004765B1">
              <w:rPr>
                <w:rFonts w:ascii="Calibri" w:eastAsia="Times New Roman" w:hAnsi="Calibri" w:cs="Calibri"/>
                <w:color w:val="000000"/>
                <w:sz w:val="16"/>
                <w:szCs w:val="16"/>
                <w:lang w:eastAsia="en-GB"/>
              </w:rPr>
              <w:t>). Equivalent to a 1% increase in area.</w:t>
            </w:r>
          </w:p>
          <w:p w14:paraId="169DE6B7" w14:textId="77777777" w:rsidR="001E6049" w:rsidRDefault="001E6049" w:rsidP="00DC136C">
            <w:pPr>
              <w:spacing w:after="0" w:line="240" w:lineRule="auto"/>
              <w:rPr>
                <w:rFonts w:ascii="Calibri" w:eastAsia="Times New Roman" w:hAnsi="Calibri" w:cs="Calibri"/>
                <w:color w:val="000000"/>
                <w:sz w:val="16"/>
                <w:szCs w:val="16"/>
                <w:lang w:eastAsia="en-GB"/>
              </w:rPr>
            </w:pPr>
          </w:p>
        </w:tc>
        <w:tc>
          <w:tcPr>
            <w:tcW w:w="2713" w:type="dxa"/>
            <w:tcBorders>
              <w:top w:val="single" w:sz="4" w:space="0" w:color="auto"/>
              <w:left w:val="nil"/>
              <w:bottom w:val="single" w:sz="4" w:space="0" w:color="auto"/>
              <w:right w:val="single" w:sz="4" w:space="0" w:color="auto"/>
            </w:tcBorders>
            <w:hideMark/>
          </w:tcPr>
          <w:p w14:paraId="42A8C6D5" w14:textId="77777777" w:rsidR="001E6049" w:rsidRDefault="001E6049" w:rsidP="00500C88">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As for extent. </w:t>
            </w:r>
          </w:p>
        </w:tc>
        <w:tc>
          <w:tcPr>
            <w:tcW w:w="1360" w:type="dxa"/>
            <w:tcBorders>
              <w:top w:val="single" w:sz="4" w:space="0" w:color="auto"/>
              <w:left w:val="nil"/>
              <w:bottom w:val="single" w:sz="4" w:space="0" w:color="auto"/>
              <w:right w:val="single" w:sz="4" w:space="0" w:color="auto"/>
            </w:tcBorders>
            <w:noWrap/>
            <w:hideMark/>
          </w:tcPr>
          <w:p w14:paraId="097F4EDB" w14:textId="77777777" w:rsidR="00DC136C" w:rsidRDefault="00DC136C" w:rsidP="00DC136C">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Declining </w:t>
            </w:r>
          </w:p>
          <w:p w14:paraId="7400D70F" w14:textId="77777777" w:rsidR="00DC136C" w:rsidRDefault="00DC136C" w:rsidP="00DC136C">
            <w:pPr>
              <w:spacing w:after="0" w:line="240" w:lineRule="auto"/>
              <w:rPr>
                <w:rFonts w:ascii="Calibri" w:eastAsia="Times New Roman" w:hAnsi="Calibri" w:cs="Calibri"/>
                <w:color w:val="000000"/>
                <w:sz w:val="16"/>
                <w:szCs w:val="16"/>
                <w:lang w:eastAsia="en-GB"/>
              </w:rPr>
            </w:pPr>
          </w:p>
          <w:p w14:paraId="0F470CB5" w14:textId="5F4760CB" w:rsidR="001E6049" w:rsidRDefault="00DC136C" w:rsidP="00DC136C">
            <w:pPr>
              <w:spacing w:after="0" w:line="240" w:lineRule="auto"/>
              <w:rPr>
                <w:rFonts w:ascii="Calibri" w:eastAsia="Times New Roman" w:hAnsi="Calibri" w:cs="Calibri"/>
                <w:color w:val="000000"/>
                <w:sz w:val="16"/>
                <w:szCs w:val="16"/>
                <w:lang w:eastAsia="en-GB"/>
              </w:rPr>
            </w:pPr>
            <w:r w:rsidRPr="007B15D1">
              <w:rPr>
                <w:rFonts w:ascii="Calibri" w:eastAsia="Times New Roman" w:hAnsi="Calibri" w:cs="Calibri"/>
                <w:color w:val="000000"/>
                <w:sz w:val="16"/>
                <w:szCs w:val="16"/>
                <w:lang w:eastAsia="en-GB"/>
              </w:rPr>
              <w:t>Bunker et al. (2019) report suggests a 17% decrease and a 1% increase at Cellar’s Cove (</w:t>
            </w:r>
            <w:proofErr w:type="spellStart"/>
            <w:r w:rsidRPr="007B15D1">
              <w:rPr>
                <w:rFonts w:ascii="Calibri" w:eastAsia="Times New Roman" w:hAnsi="Calibri" w:cs="Calibri"/>
                <w:color w:val="000000"/>
                <w:sz w:val="16"/>
                <w:szCs w:val="16"/>
                <w:lang w:eastAsia="en-GB"/>
              </w:rPr>
              <w:t>Yealm</w:t>
            </w:r>
            <w:proofErr w:type="spellEnd"/>
            <w:r w:rsidRPr="007B15D1">
              <w:rPr>
                <w:rFonts w:ascii="Calibri" w:eastAsia="Times New Roman" w:hAnsi="Calibri" w:cs="Calibri"/>
                <w:color w:val="000000"/>
                <w:sz w:val="16"/>
                <w:szCs w:val="16"/>
                <w:lang w:eastAsia="en-GB"/>
              </w:rPr>
              <w:t>) and Red Cove South (</w:t>
            </w:r>
            <w:proofErr w:type="spellStart"/>
            <w:r w:rsidRPr="007B15D1">
              <w:rPr>
                <w:rFonts w:ascii="Calibri" w:eastAsia="Times New Roman" w:hAnsi="Calibri" w:cs="Calibri"/>
                <w:color w:val="000000"/>
                <w:sz w:val="16"/>
                <w:szCs w:val="16"/>
                <w:lang w:eastAsia="en-GB"/>
              </w:rPr>
              <w:t>Yealm</w:t>
            </w:r>
            <w:proofErr w:type="spellEnd"/>
            <w:r w:rsidRPr="007B15D1">
              <w:rPr>
                <w:rFonts w:ascii="Calibri" w:eastAsia="Times New Roman" w:hAnsi="Calibri" w:cs="Calibri"/>
                <w:color w:val="000000"/>
                <w:sz w:val="16"/>
                <w:szCs w:val="16"/>
                <w:lang w:eastAsia="en-GB"/>
              </w:rPr>
              <w:t>) respectively for seagrass area between 2012 and 2018.</w:t>
            </w:r>
          </w:p>
        </w:tc>
        <w:tc>
          <w:tcPr>
            <w:tcW w:w="870" w:type="dxa"/>
            <w:tcBorders>
              <w:top w:val="single" w:sz="4" w:space="0" w:color="auto"/>
              <w:left w:val="single" w:sz="4" w:space="0" w:color="auto"/>
              <w:bottom w:val="single" w:sz="4" w:space="0" w:color="auto"/>
              <w:right w:val="single" w:sz="4" w:space="0" w:color="auto"/>
            </w:tcBorders>
            <w:shd w:val="clear" w:color="auto" w:fill="FFA3A3"/>
            <w:vAlign w:val="center"/>
            <w:hideMark/>
          </w:tcPr>
          <w:p w14:paraId="33BF353A" w14:textId="5CF80D39" w:rsidR="001E6049" w:rsidRPr="00430FF2" w:rsidRDefault="000E44AF" w:rsidP="00500C88">
            <w:pPr>
              <w:spacing w:after="0" w:line="240" w:lineRule="auto"/>
              <w:jc w:val="center"/>
              <w:rPr>
                <w:rFonts w:ascii="Calibri" w:eastAsia="Times New Roman" w:hAnsi="Calibri" w:cs="Calibri"/>
                <w:b/>
                <w:bCs/>
                <w:sz w:val="16"/>
                <w:szCs w:val="16"/>
                <w:lang w:eastAsia="en-GB"/>
              </w:rPr>
            </w:pPr>
            <w:r w:rsidRPr="00430FF2">
              <w:rPr>
                <w:rFonts w:ascii="Calibri" w:eastAsia="Times New Roman" w:hAnsi="Calibri" w:cs="Calibri"/>
                <w:b/>
                <w:bCs/>
                <w:sz w:val="16"/>
                <w:szCs w:val="16"/>
                <w:lang w:eastAsia="en-GB"/>
              </w:rPr>
              <w:t>C</w:t>
            </w:r>
            <w:r w:rsidR="001E6049" w:rsidRPr="00430FF2">
              <w:rPr>
                <w:rFonts w:ascii="Calibri" w:eastAsia="Times New Roman" w:hAnsi="Calibri" w:cs="Calibri"/>
                <w:b/>
                <w:bCs/>
                <w:sz w:val="16"/>
                <w:szCs w:val="16"/>
                <w:lang w:eastAsia="en-GB"/>
              </w:rPr>
              <w:t xml:space="preserve"> </w:t>
            </w:r>
          </w:p>
          <w:p w14:paraId="4969B1C2" w14:textId="77777777" w:rsidR="001E6049" w:rsidRPr="001E6049" w:rsidRDefault="001E6049" w:rsidP="00500C88">
            <w:pPr>
              <w:spacing w:after="0" w:line="240" w:lineRule="auto"/>
              <w:jc w:val="center"/>
              <w:rPr>
                <w:rFonts w:ascii="Calibri" w:eastAsia="Times New Roman" w:hAnsi="Calibri" w:cs="Calibri"/>
                <w:b/>
                <w:bCs/>
                <w:sz w:val="16"/>
                <w:szCs w:val="16"/>
                <w:lang w:eastAsia="en-GB"/>
              </w:rPr>
            </w:pPr>
            <w:r w:rsidRPr="00430FF2">
              <w:rPr>
                <w:rFonts w:ascii="Calibri" w:eastAsia="Times New Roman" w:hAnsi="Calibri" w:cs="Calibri"/>
                <w:b/>
                <w:bCs/>
                <w:sz w:val="16"/>
                <w:szCs w:val="16"/>
                <w:lang w:eastAsia="en-GB"/>
              </w:rPr>
              <w:t>(4)</w:t>
            </w:r>
          </w:p>
        </w:tc>
      </w:tr>
      <w:tr w:rsidR="001E6049" w14:paraId="505CBE82" w14:textId="77777777" w:rsidTr="00500C88">
        <w:trPr>
          <w:trHeight w:val="300"/>
        </w:trPr>
        <w:tc>
          <w:tcPr>
            <w:tcW w:w="0" w:type="auto"/>
            <w:vMerge/>
            <w:tcBorders>
              <w:top w:val="nil"/>
              <w:left w:val="single" w:sz="8" w:space="0" w:color="auto"/>
              <w:bottom w:val="single" w:sz="8" w:space="0" w:color="000000"/>
              <w:right w:val="nil"/>
            </w:tcBorders>
            <w:vAlign w:val="center"/>
            <w:hideMark/>
          </w:tcPr>
          <w:p w14:paraId="6F494FF9" w14:textId="77777777" w:rsidR="001E6049" w:rsidRDefault="001E6049"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8DE862" w14:textId="77777777" w:rsidR="001E6049" w:rsidRDefault="001E6049"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18EB37" w14:textId="77777777" w:rsidR="001E6049" w:rsidRDefault="001E6049" w:rsidP="00500C88">
            <w:pPr>
              <w:spacing w:after="0"/>
              <w:rPr>
                <w:rFonts w:ascii="Calibri" w:eastAsia="Times New Roman" w:hAnsi="Calibri" w:cs="Calibri"/>
                <w:b/>
                <w:bCs/>
                <w:color w:val="000000"/>
                <w:sz w:val="16"/>
                <w:szCs w:val="16"/>
                <w:lang w:eastAsia="en-GB"/>
              </w:rPr>
            </w:pPr>
          </w:p>
        </w:tc>
        <w:tc>
          <w:tcPr>
            <w:tcW w:w="0" w:type="auto"/>
            <w:vMerge/>
            <w:tcBorders>
              <w:top w:val="single" w:sz="4" w:space="0" w:color="auto"/>
              <w:left w:val="single" w:sz="4" w:space="0" w:color="auto"/>
              <w:bottom w:val="single" w:sz="8" w:space="0" w:color="auto"/>
              <w:right w:val="single" w:sz="4" w:space="0" w:color="auto"/>
            </w:tcBorders>
            <w:vAlign w:val="center"/>
            <w:hideMark/>
          </w:tcPr>
          <w:p w14:paraId="1404813D" w14:textId="77777777" w:rsidR="001E6049" w:rsidRDefault="001E6049" w:rsidP="00500C88">
            <w:pPr>
              <w:spacing w:after="0"/>
              <w:rPr>
                <w:rFonts w:ascii="Calibri" w:eastAsia="Times New Roman" w:hAnsi="Calibri" w:cs="Calibri"/>
                <w:color w:val="000000"/>
                <w:sz w:val="16"/>
                <w:szCs w:val="16"/>
                <w:lang w:eastAsia="en-GB"/>
              </w:rPr>
            </w:pPr>
          </w:p>
        </w:tc>
        <w:tc>
          <w:tcPr>
            <w:tcW w:w="6300" w:type="dxa"/>
            <w:gridSpan w:val="2"/>
            <w:tcBorders>
              <w:top w:val="single" w:sz="4" w:space="0" w:color="auto"/>
              <w:left w:val="nil"/>
              <w:bottom w:val="single" w:sz="4" w:space="0" w:color="auto"/>
              <w:right w:val="single" w:sz="4" w:space="0" w:color="auto"/>
            </w:tcBorders>
            <w:vAlign w:val="center"/>
            <w:hideMark/>
          </w:tcPr>
          <w:p w14:paraId="0BDEB5FD" w14:textId="3B79054F" w:rsidR="001E6049" w:rsidRDefault="000E44AF"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w:t>
            </w:r>
          </w:p>
        </w:tc>
        <w:tc>
          <w:tcPr>
            <w:tcW w:w="1360" w:type="dxa"/>
            <w:tcBorders>
              <w:top w:val="nil"/>
              <w:left w:val="nil"/>
              <w:bottom w:val="single" w:sz="4" w:space="0" w:color="auto"/>
              <w:right w:val="single" w:sz="4" w:space="0" w:color="auto"/>
            </w:tcBorders>
            <w:vAlign w:val="center"/>
            <w:hideMark/>
          </w:tcPr>
          <w:p w14:paraId="79F8608E" w14:textId="34912871" w:rsidR="001E6049" w:rsidRDefault="000E44AF"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C</w:t>
            </w:r>
          </w:p>
        </w:tc>
        <w:tc>
          <w:tcPr>
            <w:tcW w:w="870" w:type="dxa"/>
            <w:vMerge w:val="restart"/>
            <w:tcBorders>
              <w:top w:val="nil"/>
              <w:left w:val="single" w:sz="4" w:space="0" w:color="auto"/>
              <w:bottom w:val="single" w:sz="4" w:space="0" w:color="auto"/>
              <w:right w:val="single" w:sz="4" w:space="0" w:color="auto"/>
            </w:tcBorders>
            <w:vAlign w:val="center"/>
            <w:hideMark/>
          </w:tcPr>
          <w:p w14:paraId="489D29E3" w14:textId="77777777" w:rsidR="001E6049" w:rsidRDefault="001E6049" w:rsidP="00500C88">
            <w:pPr>
              <w:rPr>
                <w:rFonts w:ascii="Calibri" w:eastAsia="Times New Roman" w:hAnsi="Calibri" w:cs="Calibri"/>
                <w:color w:val="000000"/>
                <w:sz w:val="16"/>
                <w:szCs w:val="16"/>
                <w:lang w:eastAsia="en-GB"/>
              </w:rPr>
            </w:pPr>
          </w:p>
        </w:tc>
      </w:tr>
      <w:tr w:rsidR="001E6049" w14:paraId="7E0FF56A" w14:textId="77777777" w:rsidTr="00500C88">
        <w:trPr>
          <w:trHeight w:val="315"/>
        </w:trPr>
        <w:tc>
          <w:tcPr>
            <w:tcW w:w="0" w:type="auto"/>
            <w:vMerge/>
            <w:tcBorders>
              <w:top w:val="nil"/>
              <w:left w:val="single" w:sz="8" w:space="0" w:color="auto"/>
              <w:bottom w:val="single" w:sz="8" w:space="0" w:color="000000"/>
              <w:right w:val="nil"/>
            </w:tcBorders>
            <w:vAlign w:val="center"/>
            <w:hideMark/>
          </w:tcPr>
          <w:p w14:paraId="1105614A" w14:textId="77777777" w:rsidR="001E6049" w:rsidRDefault="001E6049"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72021E" w14:textId="77777777" w:rsidR="001E6049" w:rsidRDefault="001E6049" w:rsidP="00500C88">
            <w:pPr>
              <w:spacing w:after="0"/>
              <w:rPr>
                <w:rFonts w:ascii="Calibri" w:eastAsia="Times New Roman" w:hAnsi="Calibri" w:cs="Calibri"/>
                <w:color w:val="000000"/>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7EF26" w14:textId="77777777" w:rsidR="001E6049" w:rsidRDefault="001E6049" w:rsidP="00500C88">
            <w:pPr>
              <w:spacing w:after="0"/>
              <w:rPr>
                <w:rFonts w:ascii="Calibri" w:eastAsia="Times New Roman" w:hAnsi="Calibri" w:cs="Calibri"/>
                <w:b/>
                <w:bCs/>
                <w:color w:val="000000"/>
                <w:sz w:val="16"/>
                <w:szCs w:val="16"/>
                <w:lang w:eastAsia="en-GB"/>
              </w:rPr>
            </w:pPr>
          </w:p>
        </w:tc>
        <w:tc>
          <w:tcPr>
            <w:tcW w:w="0" w:type="auto"/>
            <w:vMerge/>
            <w:tcBorders>
              <w:top w:val="single" w:sz="4" w:space="0" w:color="auto"/>
              <w:left w:val="single" w:sz="4" w:space="0" w:color="auto"/>
              <w:bottom w:val="single" w:sz="8" w:space="0" w:color="auto"/>
              <w:right w:val="single" w:sz="4" w:space="0" w:color="auto"/>
            </w:tcBorders>
            <w:vAlign w:val="center"/>
            <w:hideMark/>
          </w:tcPr>
          <w:p w14:paraId="472E4BC3" w14:textId="77777777" w:rsidR="001E6049" w:rsidRDefault="001E6049" w:rsidP="00500C88">
            <w:pPr>
              <w:spacing w:after="0"/>
              <w:rPr>
                <w:rFonts w:ascii="Calibri" w:eastAsia="Times New Roman" w:hAnsi="Calibri" w:cs="Calibri"/>
                <w:color w:val="000000"/>
                <w:sz w:val="16"/>
                <w:szCs w:val="16"/>
                <w:lang w:eastAsia="en-GB"/>
              </w:rPr>
            </w:pPr>
          </w:p>
        </w:tc>
        <w:tc>
          <w:tcPr>
            <w:tcW w:w="6300" w:type="dxa"/>
            <w:gridSpan w:val="2"/>
            <w:tcBorders>
              <w:top w:val="single" w:sz="4" w:space="0" w:color="auto"/>
              <w:left w:val="nil"/>
              <w:bottom w:val="single" w:sz="4" w:space="0" w:color="auto"/>
              <w:right w:val="single" w:sz="4" w:space="0" w:color="auto"/>
            </w:tcBorders>
            <w:vAlign w:val="center"/>
            <w:hideMark/>
          </w:tcPr>
          <w:p w14:paraId="561D5234" w14:textId="77777777" w:rsidR="001E6049" w:rsidRDefault="001E6049"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1360" w:type="dxa"/>
            <w:tcBorders>
              <w:top w:val="nil"/>
              <w:left w:val="nil"/>
              <w:bottom w:val="single" w:sz="4" w:space="0" w:color="auto"/>
              <w:right w:val="single" w:sz="4" w:space="0" w:color="auto"/>
            </w:tcBorders>
            <w:vAlign w:val="center"/>
            <w:hideMark/>
          </w:tcPr>
          <w:p w14:paraId="3DE770FA" w14:textId="77777777" w:rsidR="001E6049" w:rsidRDefault="001E6049" w:rsidP="00500C88">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0" w:type="auto"/>
            <w:vMerge/>
            <w:tcBorders>
              <w:top w:val="nil"/>
              <w:left w:val="single" w:sz="4" w:space="0" w:color="auto"/>
              <w:bottom w:val="single" w:sz="4" w:space="0" w:color="auto"/>
              <w:right w:val="single" w:sz="4" w:space="0" w:color="auto"/>
            </w:tcBorders>
            <w:vAlign w:val="center"/>
            <w:hideMark/>
          </w:tcPr>
          <w:p w14:paraId="72E609B9" w14:textId="77777777" w:rsidR="001E6049" w:rsidRDefault="001E6049" w:rsidP="00500C88">
            <w:pPr>
              <w:spacing w:after="0"/>
              <w:rPr>
                <w:rFonts w:ascii="Calibri" w:eastAsia="Times New Roman" w:hAnsi="Calibri" w:cs="Calibri"/>
                <w:color w:val="000000"/>
                <w:sz w:val="16"/>
                <w:szCs w:val="16"/>
                <w:lang w:eastAsia="en-GB"/>
              </w:rPr>
            </w:pPr>
          </w:p>
        </w:tc>
      </w:tr>
    </w:tbl>
    <w:p w14:paraId="5A5FA16A" w14:textId="77777777" w:rsidR="001E6049" w:rsidRPr="008E7806" w:rsidRDefault="001E6049" w:rsidP="008E7806"/>
    <w:sectPr w:rsidR="001E6049" w:rsidRPr="008E7806" w:rsidSect="00B90A6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6E"/>
    <w:rsid w:val="00030175"/>
    <w:rsid w:val="000664FF"/>
    <w:rsid w:val="000760BD"/>
    <w:rsid w:val="0009031B"/>
    <w:rsid w:val="000E44AF"/>
    <w:rsid w:val="001009AB"/>
    <w:rsid w:val="00110741"/>
    <w:rsid w:val="001409BF"/>
    <w:rsid w:val="001741D3"/>
    <w:rsid w:val="001B2950"/>
    <w:rsid w:val="001E4FB1"/>
    <w:rsid w:val="001E6049"/>
    <w:rsid w:val="0020742A"/>
    <w:rsid w:val="00215D9A"/>
    <w:rsid w:val="00227838"/>
    <w:rsid w:val="00243A27"/>
    <w:rsid w:val="00246EBF"/>
    <w:rsid w:val="00256632"/>
    <w:rsid w:val="00264AE0"/>
    <w:rsid w:val="002727FA"/>
    <w:rsid w:val="002C083A"/>
    <w:rsid w:val="002C6D4E"/>
    <w:rsid w:val="002D5223"/>
    <w:rsid w:val="00332DBC"/>
    <w:rsid w:val="0034220B"/>
    <w:rsid w:val="00355530"/>
    <w:rsid w:val="00357A28"/>
    <w:rsid w:val="00370661"/>
    <w:rsid w:val="00373279"/>
    <w:rsid w:val="00397E33"/>
    <w:rsid w:val="003B1106"/>
    <w:rsid w:val="00430FF2"/>
    <w:rsid w:val="00452DB0"/>
    <w:rsid w:val="004731B2"/>
    <w:rsid w:val="004765B1"/>
    <w:rsid w:val="004B486F"/>
    <w:rsid w:val="004C2F4A"/>
    <w:rsid w:val="004E490B"/>
    <w:rsid w:val="005664BD"/>
    <w:rsid w:val="0058278A"/>
    <w:rsid w:val="00585476"/>
    <w:rsid w:val="005B733D"/>
    <w:rsid w:val="005D667C"/>
    <w:rsid w:val="005F23A2"/>
    <w:rsid w:val="00610BC9"/>
    <w:rsid w:val="00621ADB"/>
    <w:rsid w:val="00622BA1"/>
    <w:rsid w:val="00623828"/>
    <w:rsid w:val="00645FC5"/>
    <w:rsid w:val="006901AE"/>
    <w:rsid w:val="00692513"/>
    <w:rsid w:val="00693294"/>
    <w:rsid w:val="006945C5"/>
    <w:rsid w:val="006F2F22"/>
    <w:rsid w:val="00706E5D"/>
    <w:rsid w:val="0072053B"/>
    <w:rsid w:val="00720EF7"/>
    <w:rsid w:val="007457FC"/>
    <w:rsid w:val="00756452"/>
    <w:rsid w:val="00764D99"/>
    <w:rsid w:val="0077456F"/>
    <w:rsid w:val="007804E3"/>
    <w:rsid w:val="00781C8A"/>
    <w:rsid w:val="00781EC5"/>
    <w:rsid w:val="00795393"/>
    <w:rsid w:val="007A71B9"/>
    <w:rsid w:val="007B1445"/>
    <w:rsid w:val="007B15D1"/>
    <w:rsid w:val="007C0E0B"/>
    <w:rsid w:val="007D3203"/>
    <w:rsid w:val="007F647A"/>
    <w:rsid w:val="00811F93"/>
    <w:rsid w:val="00826B6C"/>
    <w:rsid w:val="008507EF"/>
    <w:rsid w:val="008A37D5"/>
    <w:rsid w:val="008C7E39"/>
    <w:rsid w:val="008D30E2"/>
    <w:rsid w:val="008E59E5"/>
    <w:rsid w:val="008E7047"/>
    <w:rsid w:val="008E7806"/>
    <w:rsid w:val="008F5A10"/>
    <w:rsid w:val="009118C3"/>
    <w:rsid w:val="00911A8D"/>
    <w:rsid w:val="009217DC"/>
    <w:rsid w:val="00936EB9"/>
    <w:rsid w:val="00942838"/>
    <w:rsid w:val="009645B5"/>
    <w:rsid w:val="00975ECA"/>
    <w:rsid w:val="00992477"/>
    <w:rsid w:val="00993D9D"/>
    <w:rsid w:val="009D42EA"/>
    <w:rsid w:val="009D59F8"/>
    <w:rsid w:val="009F4661"/>
    <w:rsid w:val="00A02797"/>
    <w:rsid w:val="00A279D8"/>
    <w:rsid w:val="00A374DE"/>
    <w:rsid w:val="00A51126"/>
    <w:rsid w:val="00A53EE7"/>
    <w:rsid w:val="00A80804"/>
    <w:rsid w:val="00AB4B8D"/>
    <w:rsid w:val="00AD10BC"/>
    <w:rsid w:val="00B134F9"/>
    <w:rsid w:val="00B1791F"/>
    <w:rsid w:val="00B22D94"/>
    <w:rsid w:val="00B30A29"/>
    <w:rsid w:val="00B427FF"/>
    <w:rsid w:val="00B45370"/>
    <w:rsid w:val="00B60E99"/>
    <w:rsid w:val="00B77138"/>
    <w:rsid w:val="00B8358E"/>
    <w:rsid w:val="00B90A6E"/>
    <w:rsid w:val="00BA66F3"/>
    <w:rsid w:val="00C215B6"/>
    <w:rsid w:val="00C22D85"/>
    <w:rsid w:val="00C3334B"/>
    <w:rsid w:val="00C37D1D"/>
    <w:rsid w:val="00C473D2"/>
    <w:rsid w:val="00C4790C"/>
    <w:rsid w:val="00C71EAB"/>
    <w:rsid w:val="00C93BA3"/>
    <w:rsid w:val="00CA31D4"/>
    <w:rsid w:val="00CB0683"/>
    <w:rsid w:val="00CB7DB7"/>
    <w:rsid w:val="00CC3DFE"/>
    <w:rsid w:val="00CE7E36"/>
    <w:rsid w:val="00CF25DE"/>
    <w:rsid w:val="00CF3086"/>
    <w:rsid w:val="00D16C50"/>
    <w:rsid w:val="00D50E6A"/>
    <w:rsid w:val="00D537A0"/>
    <w:rsid w:val="00D54F54"/>
    <w:rsid w:val="00D57E4F"/>
    <w:rsid w:val="00D81799"/>
    <w:rsid w:val="00D87F00"/>
    <w:rsid w:val="00D9226E"/>
    <w:rsid w:val="00DB24E6"/>
    <w:rsid w:val="00DC136C"/>
    <w:rsid w:val="00E03E6C"/>
    <w:rsid w:val="00E34BAA"/>
    <w:rsid w:val="00E463F8"/>
    <w:rsid w:val="00E5098D"/>
    <w:rsid w:val="00E67805"/>
    <w:rsid w:val="00E7649E"/>
    <w:rsid w:val="00E93BD4"/>
    <w:rsid w:val="00EB5BF5"/>
    <w:rsid w:val="00EC1967"/>
    <w:rsid w:val="00EC6230"/>
    <w:rsid w:val="00EE607E"/>
    <w:rsid w:val="00F16550"/>
    <w:rsid w:val="00F20E3C"/>
    <w:rsid w:val="00F3062C"/>
    <w:rsid w:val="00F76FB3"/>
    <w:rsid w:val="00F911B0"/>
    <w:rsid w:val="00FB62F9"/>
    <w:rsid w:val="00FC79B0"/>
    <w:rsid w:val="00FC7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B5E0"/>
  <w15:chartTrackingRefBased/>
  <w15:docId w15:val="{1AC9EA04-05D5-4FE4-8ACC-194F353C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A6E"/>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0A6E"/>
    <w:pPr>
      <w:autoSpaceDE w:val="0"/>
      <w:autoSpaceDN w:val="0"/>
      <w:adjustRightInd w:val="0"/>
      <w:spacing w:after="0" w:line="240" w:lineRule="auto"/>
    </w:pPr>
    <w:rPr>
      <w:rFonts w:ascii="Cambria" w:hAnsi="Cambria" w:cs="Cambria"/>
      <w:color w:val="000000"/>
      <w:kern w:val="0"/>
      <w:sz w:val="24"/>
      <w:szCs w:val="24"/>
      <w14:ligatures w14:val="none"/>
    </w:rPr>
  </w:style>
  <w:style w:type="character" w:styleId="CommentReference">
    <w:name w:val="annotation reference"/>
    <w:basedOn w:val="DefaultParagraphFont"/>
    <w:uiPriority w:val="99"/>
    <w:semiHidden/>
    <w:unhideWhenUsed/>
    <w:rsid w:val="00B90A6E"/>
    <w:rPr>
      <w:sz w:val="16"/>
      <w:szCs w:val="16"/>
    </w:rPr>
  </w:style>
  <w:style w:type="paragraph" w:styleId="CommentText">
    <w:name w:val="annotation text"/>
    <w:basedOn w:val="Normal"/>
    <w:link w:val="CommentTextChar"/>
    <w:uiPriority w:val="99"/>
    <w:unhideWhenUsed/>
    <w:rsid w:val="00B90A6E"/>
    <w:pPr>
      <w:spacing w:line="240" w:lineRule="auto"/>
    </w:pPr>
    <w:rPr>
      <w:sz w:val="20"/>
      <w:szCs w:val="20"/>
    </w:rPr>
  </w:style>
  <w:style w:type="character" w:customStyle="1" w:styleId="CommentTextChar">
    <w:name w:val="Comment Text Char"/>
    <w:basedOn w:val="DefaultParagraphFont"/>
    <w:link w:val="CommentText"/>
    <w:uiPriority w:val="99"/>
    <w:rsid w:val="00B90A6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90A6E"/>
    <w:rPr>
      <w:b/>
      <w:bCs/>
    </w:rPr>
  </w:style>
  <w:style w:type="character" w:customStyle="1" w:styleId="CommentSubjectChar">
    <w:name w:val="Comment Subject Char"/>
    <w:basedOn w:val="CommentTextChar"/>
    <w:link w:val="CommentSubject"/>
    <w:uiPriority w:val="99"/>
    <w:semiHidden/>
    <w:rsid w:val="00B90A6E"/>
    <w:rPr>
      <w:b/>
      <w:bCs/>
      <w:kern w:val="0"/>
      <w:sz w:val="20"/>
      <w:szCs w:val="20"/>
      <w14:ligatures w14:val="none"/>
    </w:rPr>
  </w:style>
  <w:style w:type="table" w:styleId="TableGrid">
    <w:name w:val="Table Grid"/>
    <w:basedOn w:val="TableNormal"/>
    <w:uiPriority w:val="39"/>
    <w:rsid w:val="00B90A6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07EF"/>
    <w:pPr>
      <w:spacing w:after="0" w:line="240" w:lineRule="auto"/>
    </w:pPr>
    <w:rPr>
      <w:kern w:val="0"/>
      <w14:ligatures w14:val="none"/>
    </w:rPr>
  </w:style>
  <w:style w:type="paragraph" w:styleId="Caption">
    <w:name w:val="caption"/>
    <w:basedOn w:val="Normal"/>
    <w:next w:val="Normal"/>
    <w:uiPriority w:val="35"/>
    <w:unhideWhenUsed/>
    <w:qFormat/>
    <w:rsid w:val="001741D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40862">
      <w:bodyDiv w:val="1"/>
      <w:marLeft w:val="0"/>
      <w:marRight w:val="0"/>
      <w:marTop w:val="0"/>
      <w:marBottom w:val="0"/>
      <w:divBdr>
        <w:top w:val="none" w:sz="0" w:space="0" w:color="auto"/>
        <w:left w:val="none" w:sz="0" w:space="0" w:color="auto"/>
        <w:bottom w:val="none" w:sz="0" w:space="0" w:color="auto"/>
        <w:right w:val="none" w:sz="0" w:space="0" w:color="auto"/>
      </w:divBdr>
    </w:div>
    <w:div w:id="1362434037">
      <w:bodyDiv w:val="1"/>
      <w:marLeft w:val="0"/>
      <w:marRight w:val="0"/>
      <w:marTop w:val="0"/>
      <w:marBottom w:val="0"/>
      <w:divBdr>
        <w:top w:val="none" w:sz="0" w:space="0" w:color="auto"/>
        <w:left w:val="none" w:sz="0" w:space="0" w:color="auto"/>
        <w:bottom w:val="none" w:sz="0" w:space="0" w:color="auto"/>
        <w:right w:val="none" w:sz="0" w:space="0" w:color="auto"/>
      </w:divBdr>
    </w:div>
    <w:div w:id="175265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6e2a96e-1c81-4b01-b853-f22cf2334d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3E6037CF275540AA4C6E180609CF43" ma:contentTypeVersion="14" ma:contentTypeDescription="Create a new document." ma:contentTypeScope="" ma:versionID="aa7f9e021754a1d2f62e5e9a06ff6af3">
  <xsd:schema xmlns:xsd="http://www.w3.org/2001/XMLSchema" xmlns:xs="http://www.w3.org/2001/XMLSchema" xmlns:p="http://schemas.microsoft.com/office/2006/metadata/properties" xmlns:ns3="26e2a96e-1c81-4b01-b853-f22cf2334d5f" xmlns:ns4="036fb3e7-f9f7-434e-8de7-18df97f80779" targetNamespace="http://schemas.microsoft.com/office/2006/metadata/properties" ma:root="true" ma:fieldsID="c1dd9bd913d637c0368d8c865aa273c9" ns3:_="" ns4:_="">
    <xsd:import namespace="26e2a96e-1c81-4b01-b853-f22cf2334d5f"/>
    <xsd:import namespace="036fb3e7-f9f7-434e-8de7-18df97f807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2a96e-1c81-4b01-b853-f22cf2334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6fb3e7-f9f7-434e-8de7-18df97f807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3C121-7A32-4F03-A813-CC7466C6B64C}">
  <ds:schemaRefs>
    <ds:schemaRef ds:uri="http://purl.org/dc/elements/1.1/"/>
    <ds:schemaRef ds:uri="http://www.w3.org/XML/1998/namespace"/>
    <ds:schemaRef ds:uri="036fb3e7-f9f7-434e-8de7-18df97f80779"/>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26e2a96e-1c81-4b01-b853-f22cf2334d5f"/>
    <ds:schemaRef ds:uri="http://schemas.microsoft.com/office/2006/metadata/properties"/>
  </ds:schemaRefs>
</ds:datastoreItem>
</file>

<file path=customXml/itemProps2.xml><?xml version="1.0" encoding="utf-8"?>
<ds:datastoreItem xmlns:ds="http://schemas.openxmlformats.org/officeDocument/2006/customXml" ds:itemID="{010873FF-620F-48EF-AD5B-25624212699D}">
  <ds:schemaRefs>
    <ds:schemaRef ds:uri="http://schemas.microsoft.com/sharepoint/v3/contenttype/forms"/>
  </ds:schemaRefs>
</ds:datastoreItem>
</file>

<file path=customXml/itemProps3.xml><?xml version="1.0" encoding="utf-8"?>
<ds:datastoreItem xmlns:ds="http://schemas.openxmlformats.org/officeDocument/2006/customXml" ds:itemID="{76B457BB-60BE-4E14-9B20-78D6EAD7E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2a96e-1c81-4b01-b853-f22cf2334d5f"/>
    <ds:schemaRef ds:uri="036fb3e7-f9f7-434e-8de7-18df97f80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8D9A1F-6F58-4377-BAB6-7242B632F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6356</Words>
  <Characters>36230</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Hooper</dc:creator>
  <cp:keywords/>
  <dc:description/>
  <cp:lastModifiedBy>Guy Hooper</cp:lastModifiedBy>
  <cp:revision>2</cp:revision>
  <dcterms:created xsi:type="dcterms:W3CDTF">2024-07-04T13:10:00Z</dcterms:created>
  <dcterms:modified xsi:type="dcterms:W3CDTF">2024-07-04T13:10:00Z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0x0101009F3E6037CF275540AA4C6E180609CF43</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de1b6e63-eaa7-32b6-a249-a428628191f0</vt:lpwstr>
  </property>
  <property fmtid="{D5CDD505-2E9C-101B-9397-08002B2CF9AE}" pid="25" name="Mendeley Citation Style_1">
    <vt:lpwstr>http://www.zotero.org/styles/harvard-cite-them-right</vt:lpwstr>
  </property>
</Properties>
</file>