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69AB5" w14:textId="6927275D" w:rsidR="00C501B5" w:rsidRPr="002276E8" w:rsidRDefault="00C501B5" w:rsidP="00C501B5">
      <w:pPr>
        <w:rPr>
          <w:rFonts w:ascii="Times New Roman" w:hAnsi="Times New Roman" w:cs="Times New Roman"/>
          <w:b/>
          <w:sz w:val="24"/>
          <w:szCs w:val="24"/>
        </w:rPr>
      </w:pPr>
      <w:r w:rsidRPr="002276E8">
        <w:rPr>
          <w:rFonts w:ascii="Times New Roman" w:hAnsi="Times New Roman" w:cs="Times New Roman"/>
          <w:b/>
          <w:sz w:val="24"/>
          <w:szCs w:val="24"/>
        </w:rPr>
        <w:t>Table S</w:t>
      </w:r>
      <w:r w:rsidR="00C26E35" w:rsidRPr="002276E8">
        <w:rPr>
          <w:rFonts w:ascii="Times New Roman" w:hAnsi="Times New Roman" w:cs="Times New Roman"/>
          <w:b/>
          <w:sz w:val="24"/>
          <w:szCs w:val="24"/>
        </w:rPr>
        <w:t>2</w:t>
      </w:r>
      <w:r w:rsidR="00DA1909">
        <w:rPr>
          <w:rFonts w:ascii="Times New Roman" w:hAnsi="Times New Roman" w:cs="Times New Roman"/>
          <w:b/>
          <w:sz w:val="24"/>
          <w:szCs w:val="24"/>
        </w:rPr>
        <w:t>.</w:t>
      </w:r>
      <w:r w:rsidRPr="002276E8">
        <w:rPr>
          <w:rFonts w:ascii="Times New Roman" w:hAnsi="Times New Roman" w:cs="Times New Roman"/>
          <w:b/>
          <w:sz w:val="24"/>
          <w:szCs w:val="24"/>
        </w:rPr>
        <w:t xml:space="preserve"> Definition of </w:t>
      </w:r>
      <w:r w:rsidR="006462C4" w:rsidRPr="002276E8">
        <w:rPr>
          <w:rFonts w:ascii="Times New Roman" w:hAnsi="Times New Roman" w:cs="Times New Roman"/>
          <w:b/>
          <w:sz w:val="24"/>
          <w:szCs w:val="24"/>
        </w:rPr>
        <w:t xml:space="preserve">65 </w:t>
      </w:r>
      <w:r w:rsidRPr="002276E8">
        <w:rPr>
          <w:rFonts w:ascii="Times New Roman" w:hAnsi="Times New Roman" w:cs="Times New Roman"/>
          <w:b/>
          <w:sz w:val="24"/>
          <w:szCs w:val="24"/>
        </w:rPr>
        <w:t>features</w:t>
      </w:r>
    </w:p>
    <w:p w14:paraId="1029FAA8" w14:textId="77777777" w:rsidR="004325F4" w:rsidRPr="00731FBA" w:rsidRDefault="004325F4" w:rsidP="00C501B5">
      <w:pPr>
        <w:rPr>
          <w:rFonts w:ascii="Times New Roman" w:hAnsi="Times New Roman" w:cs="Times New Roman"/>
          <w:szCs w:val="21"/>
        </w:rPr>
      </w:pPr>
    </w:p>
    <w:tbl>
      <w:tblPr>
        <w:tblStyle w:val="a3"/>
        <w:tblW w:w="7797" w:type="dxa"/>
        <w:jc w:val="center"/>
        <w:tblLayout w:type="fixed"/>
        <w:tblLook w:val="04A0" w:firstRow="1" w:lastRow="0" w:firstColumn="1" w:lastColumn="0" w:noHBand="0" w:noVBand="1"/>
      </w:tblPr>
      <w:tblGrid>
        <w:gridCol w:w="1134"/>
        <w:gridCol w:w="2410"/>
        <w:gridCol w:w="4253"/>
      </w:tblGrid>
      <w:tr w:rsidR="00F65DE7" w:rsidRPr="00731FBA" w14:paraId="63A0E6F5" w14:textId="77777777" w:rsidTr="00F65DE7">
        <w:trPr>
          <w:cantSplit/>
          <w:trHeight w:val="1134"/>
          <w:jc w:val="center"/>
        </w:trPr>
        <w:tc>
          <w:tcPr>
            <w:tcW w:w="1134" w:type="dxa"/>
            <w:tcBorders>
              <w:left w:val="nil"/>
              <w:bottom w:val="single" w:sz="4" w:space="0" w:color="auto"/>
            </w:tcBorders>
            <w:vAlign w:val="center"/>
          </w:tcPr>
          <w:p w14:paraId="3581BDE6" w14:textId="77777777" w:rsidR="00C501B5" w:rsidRPr="00731FBA" w:rsidRDefault="00C501B5" w:rsidP="002276E8">
            <w:pPr>
              <w:pStyle w:val="a4"/>
              <w:jc w:val="center"/>
              <w:rPr>
                <w:rFonts w:ascii="Times New Roman" w:hAnsi="Times New Roman" w:cs="Times New Roman"/>
                <w:b/>
                <w:sz w:val="21"/>
                <w:szCs w:val="21"/>
              </w:rPr>
            </w:pPr>
            <w:r w:rsidRPr="00731FBA">
              <w:rPr>
                <w:rFonts w:ascii="Times New Roman" w:hAnsi="Times New Roman" w:cs="Times New Roman"/>
                <w:b/>
                <w:sz w:val="21"/>
                <w:szCs w:val="21"/>
              </w:rPr>
              <w:t>Category</w:t>
            </w:r>
          </w:p>
        </w:tc>
        <w:tc>
          <w:tcPr>
            <w:tcW w:w="2410" w:type="dxa"/>
            <w:tcBorders>
              <w:bottom w:val="single" w:sz="4" w:space="0" w:color="auto"/>
            </w:tcBorders>
            <w:vAlign w:val="center"/>
          </w:tcPr>
          <w:p w14:paraId="4D5EE33E" w14:textId="77777777" w:rsidR="00C501B5" w:rsidRPr="00731FBA" w:rsidRDefault="00C501B5" w:rsidP="002276E8">
            <w:pPr>
              <w:jc w:val="center"/>
              <w:rPr>
                <w:rFonts w:ascii="Times New Roman" w:eastAsia="宋体" w:hAnsi="Times New Roman" w:cs="Times New Roman"/>
                <w:b/>
                <w:sz w:val="21"/>
                <w:szCs w:val="21"/>
              </w:rPr>
            </w:pPr>
            <w:r w:rsidRPr="00731FBA">
              <w:rPr>
                <w:rFonts w:ascii="Times New Roman" w:eastAsia="宋体" w:hAnsi="Times New Roman" w:cs="Times New Roman"/>
                <w:b/>
                <w:sz w:val="21"/>
                <w:szCs w:val="21"/>
              </w:rPr>
              <w:t>Name</w:t>
            </w:r>
          </w:p>
        </w:tc>
        <w:tc>
          <w:tcPr>
            <w:tcW w:w="4253" w:type="dxa"/>
            <w:tcBorders>
              <w:bottom w:val="single" w:sz="4" w:space="0" w:color="auto"/>
              <w:right w:val="nil"/>
            </w:tcBorders>
            <w:vAlign w:val="center"/>
          </w:tcPr>
          <w:p w14:paraId="4C408E53" w14:textId="77777777" w:rsidR="00C501B5" w:rsidRPr="00731FBA" w:rsidRDefault="00C501B5" w:rsidP="002276E8">
            <w:pPr>
              <w:jc w:val="center"/>
              <w:rPr>
                <w:rFonts w:ascii="Times New Roman" w:eastAsia="宋体" w:hAnsi="Times New Roman" w:cs="Times New Roman"/>
                <w:b/>
                <w:sz w:val="21"/>
                <w:szCs w:val="21"/>
              </w:rPr>
            </w:pPr>
            <w:r w:rsidRPr="00731FBA">
              <w:rPr>
                <w:rFonts w:ascii="Times New Roman" w:eastAsia="宋体" w:hAnsi="Times New Roman" w:cs="Times New Roman"/>
                <w:b/>
                <w:sz w:val="21"/>
                <w:szCs w:val="21"/>
              </w:rPr>
              <w:t>Definition</w:t>
            </w:r>
          </w:p>
        </w:tc>
      </w:tr>
      <w:tr w:rsidR="00F65DE7" w:rsidRPr="00731FBA" w14:paraId="67F89C74" w14:textId="77777777" w:rsidTr="00F65DE7">
        <w:trPr>
          <w:jc w:val="center"/>
        </w:trPr>
        <w:tc>
          <w:tcPr>
            <w:tcW w:w="1134" w:type="dxa"/>
            <w:vMerge w:val="restart"/>
            <w:tcBorders>
              <w:left w:val="nil"/>
            </w:tcBorders>
            <w:vAlign w:val="center"/>
          </w:tcPr>
          <w:p w14:paraId="2EC938EB" w14:textId="77777777" w:rsidR="004325F4" w:rsidRPr="00731FBA" w:rsidRDefault="006462C4" w:rsidP="00851887">
            <w:pPr>
              <w:pStyle w:val="a4"/>
              <w:spacing w:line="360" w:lineRule="auto"/>
              <w:jc w:val="center"/>
              <w:rPr>
                <w:rFonts w:ascii="Times New Roman" w:eastAsia="宋体" w:hAnsi="Times New Roman" w:cs="Times New Roman"/>
                <w:sz w:val="21"/>
                <w:szCs w:val="21"/>
              </w:rPr>
            </w:pPr>
            <w:r>
              <w:rPr>
                <w:rFonts w:ascii="Times New Roman" w:hAnsi="Times New Roman" w:cs="Times New Roman"/>
                <w:sz w:val="21"/>
                <w:szCs w:val="21"/>
              </w:rPr>
              <w:t>P</w:t>
            </w:r>
            <w:r w:rsidR="00731FBA" w:rsidRPr="00731FBA">
              <w:rPr>
                <w:rFonts w:ascii="Times New Roman" w:hAnsi="Times New Roman" w:cs="Times New Roman"/>
                <w:sz w:val="21"/>
                <w:szCs w:val="21"/>
              </w:rPr>
              <w:t>rotein physicochemical properties</w:t>
            </w:r>
          </w:p>
        </w:tc>
        <w:tc>
          <w:tcPr>
            <w:tcW w:w="2410" w:type="dxa"/>
            <w:vAlign w:val="center"/>
          </w:tcPr>
          <w:p w14:paraId="78996922"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AAVolume</w:t>
            </w:r>
            <w:proofErr w:type="spellEnd"/>
          </w:p>
        </w:tc>
        <w:tc>
          <w:tcPr>
            <w:tcW w:w="4253" w:type="dxa"/>
            <w:tcBorders>
              <w:right w:val="nil"/>
            </w:tcBorders>
            <w:vAlign w:val="center"/>
          </w:tcPr>
          <w:p w14:paraId="30632E6B" w14:textId="77777777" w:rsidR="004325F4" w:rsidRPr="00731FBA" w:rsidRDefault="004325F4" w:rsidP="004325F4">
            <w:pPr>
              <w:widowControl/>
              <w:jc w:val="left"/>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The change in residue volume resulting from the replacement (in units of cubic Angstroms)</w:t>
            </w:r>
          </w:p>
        </w:tc>
      </w:tr>
      <w:tr w:rsidR="00F65DE7" w:rsidRPr="00731FBA" w14:paraId="54E445BC" w14:textId="77777777" w:rsidTr="00F65DE7">
        <w:trPr>
          <w:jc w:val="center"/>
        </w:trPr>
        <w:tc>
          <w:tcPr>
            <w:tcW w:w="1134" w:type="dxa"/>
            <w:vMerge/>
            <w:tcBorders>
              <w:left w:val="nil"/>
            </w:tcBorders>
            <w:vAlign w:val="center"/>
          </w:tcPr>
          <w:p w14:paraId="47970953"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084D804F"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AAPolarity</w:t>
            </w:r>
            <w:proofErr w:type="spellEnd"/>
          </w:p>
        </w:tc>
        <w:tc>
          <w:tcPr>
            <w:tcW w:w="4253" w:type="dxa"/>
            <w:tcBorders>
              <w:right w:val="nil"/>
            </w:tcBorders>
            <w:vAlign w:val="center"/>
          </w:tcPr>
          <w:p w14:paraId="2040114C"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Polarity change from reference to mutation amino acid residue</w:t>
            </w:r>
          </w:p>
        </w:tc>
      </w:tr>
      <w:tr w:rsidR="00F65DE7" w:rsidRPr="00731FBA" w14:paraId="75A740C6" w14:textId="77777777" w:rsidTr="00F65DE7">
        <w:trPr>
          <w:jc w:val="center"/>
        </w:trPr>
        <w:tc>
          <w:tcPr>
            <w:tcW w:w="1134" w:type="dxa"/>
            <w:vMerge/>
            <w:tcBorders>
              <w:left w:val="nil"/>
            </w:tcBorders>
            <w:vAlign w:val="center"/>
          </w:tcPr>
          <w:p w14:paraId="54540ED1"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37C959BE"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AAEx</w:t>
            </w:r>
            <w:proofErr w:type="spellEnd"/>
          </w:p>
        </w:tc>
        <w:tc>
          <w:tcPr>
            <w:tcW w:w="4253" w:type="dxa"/>
            <w:tcBorders>
              <w:right w:val="nil"/>
            </w:tcBorders>
            <w:vAlign w:val="center"/>
          </w:tcPr>
          <w:p w14:paraId="4284A47E"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Amino acid substitution score from the EX matrix.</w:t>
            </w:r>
          </w:p>
        </w:tc>
      </w:tr>
      <w:tr w:rsidR="00F65DE7" w:rsidRPr="00731FBA" w14:paraId="58ADE5D0" w14:textId="77777777" w:rsidTr="00F65DE7">
        <w:trPr>
          <w:jc w:val="center"/>
        </w:trPr>
        <w:tc>
          <w:tcPr>
            <w:tcW w:w="1134" w:type="dxa"/>
            <w:vMerge/>
            <w:tcBorders>
              <w:left w:val="nil"/>
            </w:tcBorders>
            <w:vAlign w:val="center"/>
          </w:tcPr>
          <w:p w14:paraId="2C6CE551"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68A611CA" w14:textId="77777777" w:rsidR="004325F4" w:rsidRPr="00731FBA" w:rsidRDefault="004325F4" w:rsidP="004325F4">
            <w:pPr>
              <w:spacing w:line="360" w:lineRule="auto"/>
              <w:jc w:val="left"/>
              <w:rPr>
                <w:rFonts w:ascii="Times New Roman" w:eastAsia="宋体" w:hAnsi="Times New Roman" w:cs="Times New Roman"/>
                <w:sz w:val="21"/>
                <w:szCs w:val="21"/>
              </w:rPr>
            </w:pPr>
            <w:r w:rsidRPr="00731FBA">
              <w:rPr>
                <w:rFonts w:ascii="Times New Roman" w:eastAsia="宋体" w:hAnsi="Times New Roman" w:cs="Times New Roman"/>
                <w:sz w:val="21"/>
                <w:szCs w:val="21"/>
              </w:rPr>
              <w:t>AAVB</w:t>
            </w:r>
          </w:p>
        </w:tc>
        <w:tc>
          <w:tcPr>
            <w:tcW w:w="4253" w:type="dxa"/>
            <w:tcBorders>
              <w:right w:val="nil"/>
            </w:tcBorders>
            <w:vAlign w:val="center"/>
          </w:tcPr>
          <w:p w14:paraId="46056985"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Amino acid substitution score from the VB (</w:t>
            </w:r>
            <w:proofErr w:type="spellStart"/>
            <w:r w:rsidRPr="00731FBA">
              <w:rPr>
                <w:rFonts w:ascii="Times New Roman" w:eastAsia="等线" w:hAnsi="Times New Roman" w:cs="Times New Roman"/>
                <w:color w:val="000000"/>
                <w:sz w:val="21"/>
                <w:szCs w:val="21"/>
              </w:rPr>
              <w:t>Venkatarajan</w:t>
            </w:r>
            <w:proofErr w:type="spellEnd"/>
            <w:r w:rsidRPr="00731FBA">
              <w:rPr>
                <w:rFonts w:ascii="Times New Roman" w:eastAsia="等线" w:hAnsi="Times New Roman" w:cs="Times New Roman"/>
                <w:color w:val="000000"/>
                <w:sz w:val="21"/>
                <w:szCs w:val="21"/>
              </w:rPr>
              <w:t xml:space="preserve"> and Braun) matrix</w:t>
            </w:r>
          </w:p>
        </w:tc>
      </w:tr>
      <w:tr w:rsidR="00F65DE7" w:rsidRPr="00731FBA" w14:paraId="702B9231" w14:textId="77777777" w:rsidTr="00F65DE7">
        <w:trPr>
          <w:jc w:val="center"/>
        </w:trPr>
        <w:tc>
          <w:tcPr>
            <w:tcW w:w="1134" w:type="dxa"/>
            <w:vMerge/>
            <w:tcBorders>
              <w:left w:val="nil"/>
            </w:tcBorders>
            <w:vAlign w:val="center"/>
          </w:tcPr>
          <w:p w14:paraId="225635E1"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605DBFFE" w14:textId="77777777" w:rsidR="004325F4" w:rsidRPr="00731FBA" w:rsidRDefault="004325F4" w:rsidP="004325F4">
            <w:pPr>
              <w:spacing w:line="360" w:lineRule="auto"/>
              <w:jc w:val="left"/>
              <w:rPr>
                <w:rFonts w:ascii="Times New Roman" w:eastAsia="宋体" w:hAnsi="Times New Roman" w:cs="Times New Roman"/>
                <w:sz w:val="21"/>
                <w:szCs w:val="21"/>
              </w:rPr>
            </w:pPr>
            <w:r w:rsidRPr="00731FBA">
              <w:rPr>
                <w:rFonts w:ascii="Times New Roman" w:eastAsia="宋体" w:hAnsi="Times New Roman" w:cs="Times New Roman"/>
                <w:sz w:val="21"/>
                <w:szCs w:val="21"/>
              </w:rPr>
              <w:t>AAMJ</w:t>
            </w:r>
          </w:p>
        </w:tc>
        <w:tc>
          <w:tcPr>
            <w:tcW w:w="4253" w:type="dxa"/>
            <w:tcBorders>
              <w:right w:val="nil"/>
            </w:tcBorders>
            <w:vAlign w:val="center"/>
          </w:tcPr>
          <w:p w14:paraId="079B6984"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Amino acid substitution score from the Miyazawa-Jernigan contact energy matrix</w:t>
            </w:r>
          </w:p>
        </w:tc>
      </w:tr>
      <w:tr w:rsidR="00F65DE7" w:rsidRPr="00731FBA" w14:paraId="6ADEB264" w14:textId="77777777" w:rsidTr="00F65DE7">
        <w:trPr>
          <w:jc w:val="center"/>
        </w:trPr>
        <w:tc>
          <w:tcPr>
            <w:tcW w:w="1134" w:type="dxa"/>
            <w:vMerge/>
            <w:tcBorders>
              <w:left w:val="nil"/>
            </w:tcBorders>
            <w:vAlign w:val="center"/>
          </w:tcPr>
          <w:p w14:paraId="52944634"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1D562204" w14:textId="77777777" w:rsidR="004325F4" w:rsidRPr="00731FBA" w:rsidRDefault="004325F4" w:rsidP="004325F4">
            <w:pPr>
              <w:spacing w:line="360" w:lineRule="auto"/>
              <w:jc w:val="left"/>
              <w:rPr>
                <w:rFonts w:ascii="Times New Roman" w:eastAsia="宋体" w:hAnsi="Times New Roman" w:cs="Times New Roman"/>
                <w:sz w:val="21"/>
                <w:szCs w:val="21"/>
              </w:rPr>
            </w:pPr>
            <w:r w:rsidRPr="00731FBA">
              <w:rPr>
                <w:rFonts w:ascii="Times New Roman" w:eastAsia="宋体" w:hAnsi="Times New Roman" w:cs="Times New Roman"/>
                <w:sz w:val="21"/>
                <w:szCs w:val="21"/>
              </w:rPr>
              <w:t>AABLOSUM</w:t>
            </w:r>
          </w:p>
        </w:tc>
        <w:tc>
          <w:tcPr>
            <w:tcW w:w="4253" w:type="dxa"/>
            <w:tcBorders>
              <w:right w:val="nil"/>
            </w:tcBorders>
            <w:vAlign w:val="center"/>
          </w:tcPr>
          <w:p w14:paraId="0C63C73A"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Amino acid substitution score from the BLOSUM 62 matrix</w:t>
            </w:r>
          </w:p>
        </w:tc>
      </w:tr>
      <w:tr w:rsidR="00F65DE7" w:rsidRPr="00731FBA" w14:paraId="4C25CBE3" w14:textId="77777777" w:rsidTr="00F65DE7">
        <w:trPr>
          <w:jc w:val="center"/>
        </w:trPr>
        <w:tc>
          <w:tcPr>
            <w:tcW w:w="1134" w:type="dxa"/>
            <w:vMerge/>
            <w:tcBorders>
              <w:left w:val="nil"/>
            </w:tcBorders>
            <w:vAlign w:val="center"/>
          </w:tcPr>
          <w:p w14:paraId="7C6E9A9D"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3A2E75A4" w14:textId="77777777" w:rsidR="004325F4" w:rsidRPr="00731FBA" w:rsidRDefault="004325F4" w:rsidP="004325F4">
            <w:pPr>
              <w:spacing w:line="360" w:lineRule="auto"/>
              <w:jc w:val="left"/>
              <w:rPr>
                <w:rFonts w:ascii="Times New Roman" w:eastAsia="宋体" w:hAnsi="Times New Roman" w:cs="Times New Roman"/>
                <w:sz w:val="21"/>
                <w:szCs w:val="21"/>
              </w:rPr>
            </w:pPr>
            <w:r w:rsidRPr="00731FBA">
              <w:rPr>
                <w:rFonts w:ascii="Times New Roman" w:eastAsia="宋体" w:hAnsi="Times New Roman" w:cs="Times New Roman"/>
                <w:sz w:val="21"/>
                <w:szCs w:val="21"/>
              </w:rPr>
              <w:t>AAPAM250</w:t>
            </w:r>
          </w:p>
        </w:tc>
        <w:tc>
          <w:tcPr>
            <w:tcW w:w="4253" w:type="dxa"/>
            <w:tcBorders>
              <w:right w:val="nil"/>
            </w:tcBorders>
            <w:vAlign w:val="center"/>
          </w:tcPr>
          <w:p w14:paraId="2363F11E"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Amino acid substitution score from the PAM250 matrix.</w:t>
            </w:r>
          </w:p>
        </w:tc>
      </w:tr>
      <w:tr w:rsidR="00F65DE7" w:rsidRPr="00731FBA" w14:paraId="6A11AAB1" w14:textId="77777777" w:rsidTr="00F65DE7">
        <w:trPr>
          <w:jc w:val="center"/>
        </w:trPr>
        <w:tc>
          <w:tcPr>
            <w:tcW w:w="1134" w:type="dxa"/>
            <w:vMerge/>
            <w:tcBorders>
              <w:left w:val="nil"/>
            </w:tcBorders>
            <w:vAlign w:val="center"/>
          </w:tcPr>
          <w:p w14:paraId="610BA1F3"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1650C2FE"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AAGrantham</w:t>
            </w:r>
            <w:proofErr w:type="spellEnd"/>
          </w:p>
        </w:tc>
        <w:tc>
          <w:tcPr>
            <w:tcW w:w="4253" w:type="dxa"/>
            <w:tcBorders>
              <w:right w:val="nil"/>
            </w:tcBorders>
            <w:vAlign w:val="center"/>
          </w:tcPr>
          <w:p w14:paraId="33554A57"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The Grantham distance from reference to mutation amino acid residue.</w:t>
            </w:r>
          </w:p>
        </w:tc>
      </w:tr>
      <w:tr w:rsidR="00F65DE7" w:rsidRPr="00731FBA" w14:paraId="383B081D" w14:textId="77777777" w:rsidTr="00F65DE7">
        <w:trPr>
          <w:jc w:val="center"/>
        </w:trPr>
        <w:tc>
          <w:tcPr>
            <w:tcW w:w="1134" w:type="dxa"/>
            <w:vMerge/>
            <w:tcBorders>
              <w:left w:val="nil"/>
            </w:tcBorders>
            <w:vAlign w:val="center"/>
          </w:tcPr>
          <w:p w14:paraId="42CE4641" w14:textId="77777777" w:rsidR="004325F4" w:rsidRPr="00731FBA" w:rsidRDefault="004325F4" w:rsidP="00851887">
            <w:pPr>
              <w:pStyle w:val="a4"/>
              <w:spacing w:line="360" w:lineRule="auto"/>
              <w:jc w:val="center"/>
              <w:rPr>
                <w:rFonts w:ascii="Times New Roman" w:hAnsi="Times New Roman" w:cs="Times New Roman"/>
                <w:sz w:val="21"/>
                <w:szCs w:val="21"/>
              </w:rPr>
            </w:pPr>
            <w:bookmarkStart w:id="0" w:name="_Hlk1136644"/>
          </w:p>
        </w:tc>
        <w:tc>
          <w:tcPr>
            <w:tcW w:w="2410" w:type="dxa"/>
            <w:vAlign w:val="center"/>
          </w:tcPr>
          <w:p w14:paraId="7E6A1269"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AAHapMap</w:t>
            </w:r>
            <w:proofErr w:type="spellEnd"/>
          </w:p>
        </w:tc>
        <w:tc>
          <w:tcPr>
            <w:tcW w:w="4253" w:type="dxa"/>
            <w:tcBorders>
              <w:right w:val="nil"/>
            </w:tcBorders>
            <w:vAlign w:val="center"/>
          </w:tcPr>
          <w:p w14:paraId="46514E70"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 xml:space="preserve">Ln(frequency) of missense change type in HapMap validated SNPs in </w:t>
            </w:r>
            <w:proofErr w:type="spellStart"/>
            <w:r w:rsidRPr="00731FBA">
              <w:rPr>
                <w:rFonts w:ascii="Times New Roman" w:eastAsia="等线" w:hAnsi="Times New Roman" w:cs="Times New Roman"/>
                <w:color w:val="000000"/>
                <w:sz w:val="21"/>
                <w:szCs w:val="21"/>
              </w:rPr>
              <w:t>dbSNP</w:t>
            </w:r>
            <w:proofErr w:type="spellEnd"/>
            <w:r w:rsidRPr="00731FBA">
              <w:rPr>
                <w:rFonts w:ascii="Times New Roman" w:eastAsia="等线" w:hAnsi="Times New Roman" w:cs="Times New Roman"/>
                <w:color w:val="000000"/>
                <w:sz w:val="21"/>
                <w:szCs w:val="21"/>
              </w:rPr>
              <w:t xml:space="preserve"> Build 129</w:t>
            </w:r>
          </w:p>
        </w:tc>
      </w:tr>
      <w:bookmarkEnd w:id="0"/>
      <w:tr w:rsidR="00F65DE7" w:rsidRPr="00731FBA" w14:paraId="218682AA" w14:textId="77777777" w:rsidTr="00F65DE7">
        <w:trPr>
          <w:jc w:val="center"/>
        </w:trPr>
        <w:tc>
          <w:tcPr>
            <w:tcW w:w="1134" w:type="dxa"/>
            <w:vMerge/>
            <w:tcBorders>
              <w:left w:val="nil"/>
            </w:tcBorders>
            <w:vAlign w:val="center"/>
          </w:tcPr>
          <w:p w14:paraId="4BB309D1"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2E8C6321"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AAHydrophobicity</w:t>
            </w:r>
            <w:proofErr w:type="spellEnd"/>
          </w:p>
        </w:tc>
        <w:tc>
          <w:tcPr>
            <w:tcW w:w="4253" w:type="dxa"/>
            <w:tcBorders>
              <w:right w:val="nil"/>
            </w:tcBorders>
            <w:vAlign w:val="center"/>
          </w:tcPr>
          <w:p w14:paraId="5AC3B869"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The change in hydrophobicity resulting from the substitution.</w:t>
            </w:r>
          </w:p>
        </w:tc>
      </w:tr>
      <w:tr w:rsidR="00F65DE7" w:rsidRPr="00731FBA" w14:paraId="183CAF47" w14:textId="77777777" w:rsidTr="00F65DE7">
        <w:trPr>
          <w:jc w:val="center"/>
        </w:trPr>
        <w:tc>
          <w:tcPr>
            <w:tcW w:w="1134" w:type="dxa"/>
            <w:vMerge/>
            <w:tcBorders>
              <w:left w:val="nil"/>
            </w:tcBorders>
            <w:vAlign w:val="center"/>
          </w:tcPr>
          <w:p w14:paraId="404F8A86"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46821D8E" w14:textId="77777777" w:rsidR="004325F4" w:rsidRPr="00731FBA" w:rsidRDefault="004325F4" w:rsidP="004325F4">
            <w:pPr>
              <w:spacing w:line="360" w:lineRule="auto"/>
              <w:jc w:val="left"/>
              <w:rPr>
                <w:rFonts w:ascii="Times New Roman" w:eastAsia="宋体" w:hAnsi="Times New Roman" w:cs="Times New Roman"/>
                <w:sz w:val="21"/>
                <w:szCs w:val="21"/>
              </w:rPr>
            </w:pPr>
            <w:r w:rsidRPr="00731FBA">
              <w:rPr>
                <w:rFonts w:ascii="Times New Roman" w:eastAsia="宋体" w:hAnsi="Times New Roman" w:cs="Times New Roman"/>
                <w:sz w:val="21"/>
                <w:szCs w:val="21"/>
              </w:rPr>
              <w:t>AACOSMIC</w:t>
            </w:r>
          </w:p>
        </w:tc>
        <w:tc>
          <w:tcPr>
            <w:tcW w:w="4253" w:type="dxa"/>
            <w:tcBorders>
              <w:bottom w:val="single" w:sz="4" w:space="0" w:color="auto"/>
              <w:right w:val="nil"/>
            </w:tcBorders>
            <w:vAlign w:val="center"/>
          </w:tcPr>
          <w:p w14:paraId="08B4B97D"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Ln(frequency) of missense change type (amino acid type X to amino acid type Y, e.g. ALANINE to GLYCINE) in COSMIC (release 38)</w:t>
            </w:r>
          </w:p>
        </w:tc>
      </w:tr>
      <w:tr w:rsidR="00F65DE7" w:rsidRPr="00731FBA" w14:paraId="75292FFA" w14:textId="77777777" w:rsidTr="00F65DE7">
        <w:trPr>
          <w:jc w:val="center"/>
        </w:trPr>
        <w:tc>
          <w:tcPr>
            <w:tcW w:w="1134" w:type="dxa"/>
            <w:vMerge/>
            <w:tcBorders>
              <w:left w:val="nil"/>
            </w:tcBorders>
            <w:vAlign w:val="center"/>
          </w:tcPr>
          <w:p w14:paraId="6B1CF97A"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519BB07C"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AACOSMICvsHapMap</w:t>
            </w:r>
            <w:proofErr w:type="spellEnd"/>
          </w:p>
        </w:tc>
        <w:tc>
          <w:tcPr>
            <w:tcW w:w="4253" w:type="dxa"/>
            <w:tcBorders>
              <w:right w:val="nil"/>
            </w:tcBorders>
            <w:vAlign w:val="center"/>
          </w:tcPr>
          <w:p w14:paraId="5CCE65ED"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 xml:space="preserve">Ln(frequency) of missense change in COSMIC (release 38) normalized by the number of times the change type was observed in HapMap validated SNPs in </w:t>
            </w:r>
            <w:proofErr w:type="spellStart"/>
            <w:r w:rsidRPr="00731FBA">
              <w:rPr>
                <w:rFonts w:ascii="Times New Roman" w:eastAsia="等线" w:hAnsi="Times New Roman" w:cs="Times New Roman"/>
                <w:color w:val="000000"/>
                <w:sz w:val="21"/>
                <w:szCs w:val="21"/>
              </w:rPr>
              <w:t>dbSNP</w:t>
            </w:r>
            <w:proofErr w:type="spellEnd"/>
            <w:r w:rsidRPr="00731FBA">
              <w:rPr>
                <w:rFonts w:ascii="Times New Roman" w:eastAsia="等线" w:hAnsi="Times New Roman" w:cs="Times New Roman"/>
                <w:color w:val="000000"/>
                <w:sz w:val="21"/>
                <w:szCs w:val="21"/>
              </w:rPr>
              <w:t xml:space="preserve"> Build 129</w:t>
            </w:r>
          </w:p>
        </w:tc>
      </w:tr>
      <w:tr w:rsidR="00F65DE7" w:rsidRPr="00731FBA" w14:paraId="7B357C66" w14:textId="77777777" w:rsidTr="00F65DE7">
        <w:trPr>
          <w:jc w:val="center"/>
        </w:trPr>
        <w:tc>
          <w:tcPr>
            <w:tcW w:w="1134" w:type="dxa"/>
            <w:vMerge/>
            <w:tcBorders>
              <w:left w:val="nil"/>
              <w:bottom w:val="single" w:sz="4" w:space="0" w:color="auto"/>
            </w:tcBorders>
            <w:vAlign w:val="center"/>
          </w:tcPr>
          <w:p w14:paraId="482285D4"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6F74E12B"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AACOSMICvsSWISSPROT</w:t>
            </w:r>
            <w:proofErr w:type="spellEnd"/>
          </w:p>
        </w:tc>
        <w:tc>
          <w:tcPr>
            <w:tcW w:w="4253" w:type="dxa"/>
            <w:tcBorders>
              <w:right w:val="nil"/>
            </w:tcBorders>
            <w:vAlign w:val="center"/>
          </w:tcPr>
          <w:p w14:paraId="71EF0F93"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 xml:space="preserve">Ln(frequency) of missense change in COSMIC (release 38) normalized by the frequency of reference amino acid residue in human proteins in </w:t>
            </w:r>
            <w:proofErr w:type="spellStart"/>
            <w:r w:rsidRPr="00731FBA">
              <w:rPr>
                <w:rFonts w:ascii="Times New Roman" w:eastAsia="等线" w:hAnsi="Times New Roman" w:cs="Times New Roman"/>
                <w:color w:val="000000"/>
                <w:sz w:val="21"/>
                <w:szCs w:val="21"/>
              </w:rPr>
              <w:t>SwissProt</w:t>
            </w:r>
            <w:proofErr w:type="spellEnd"/>
            <w:r w:rsidRPr="00731FBA">
              <w:rPr>
                <w:rFonts w:ascii="Times New Roman" w:eastAsia="等线" w:hAnsi="Times New Roman" w:cs="Times New Roman"/>
                <w:color w:val="000000"/>
                <w:sz w:val="21"/>
                <w:szCs w:val="21"/>
              </w:rPr>
              <w:t>/</w:t>
            </w:r>
            <w:proofErr w:type="spellStart"/>
            <w:r w:rsidRPr="00731FBA">
              <w:rPr>
                <w:rFonts w:ascii="Times New Roman" w:eastAsia="等线" w:hAnsi="Times New Roman" w:cs="Times New Roman"/>
                <w:color w:val="000000"/>
                <w:sz w:val="21"/>
                <w:szCs w:val="21"/>
              </w:rPr>
              <w:t>TrEMBL</w:t>
            </w:r>
            <w:proofErr w:type="spellEnd"/>
          </w:p>
        </w:tc>
      </w:tr>
      <w:tr w:rsidR="00F65DE7" w:rsidRPr="00731FBA" w14:paraId="74D8AF30" w14:textId="77777777" w:rsidTr="00F65DE7">
        <w:trPr>
          <w:jc w:val="center"/>
        </w:trPr>
        <w:tc>
          <w:tcPr>
            <w:tcW w:w="1134" w:type="dxa"/>
            <w:vMerge w:val="restart"/>
            <w:tcBorders>
              <w:left w:val="nil"/>
            </w:tcBorders>
            <w:vAlign w:val="center"/>
          </w:tcPr>
          <w:p w14:paraId="4DF25AF3" w14:textId="77777777" w:rsidR="004325F4" w:rsidRPr="00731FBA" w:rsidRDefault="00731FBA" w:rsidP="00851887">
            <w:pPr>
              <w:pStyle w:val="a4"/>
              <w:spacing w:line="360" w:lineRule="auto"/>
              <w:jc w:val="center"/>
              <w:rPr>
                <w:rFonts w:ascii="Times New Roman" w:eastAsia="宋体" w:hAnsi="Times New Roman" w:cs="Times New Roman"/>
                <w:sz w:val="21"/>
                <w:szCs w:val="21"/>
              </w:rPr>
            </w:pPr>
            <w:r w:rsidRPr="00731FBA">
              <w:rPr>
                <w:rFonts w:ascii="Times New Roman" w:eastAsia="宋体" w:hAnsi="Times New Roman" w:cs="Times New Roman"/>
                <w:sz w:val="21"/>
                <w:szCs w:val="21"/>
              </w:rPr>
              <w:t>Multiple sequence alignment</w:t>
            </w:r>
          </w:p>
        </w:tc>
        <w:tc>
          <w:tcPr>
            <w:tcW w:w="2410" w:type="dxa"/>
            <w:vAlign w:val="center"/>
          </w:tcPr>
          <w:p w14:paraId="65980CE5" w14:textId="77777777" w:rsidR="004325F4" w:rsidRPr="00A234D8" w:rsidRDefault="004325F4" w:rsidP="004325F4">
            <w:pPr>
              <w:spacing w:line="360" w:lineRule="auto"/>
              <w:jc w:val="left"/>
              <w:rPr>
                <w:rFonts w:ascii="Times New Roman" w:eastAsia="宋体" w:hAnsi="Times New Roman" w:cs="Times New Roman"/>
                <w:b/>
                <w:sz w:val="21"/>
                <w:szCs w:val="21"/>
              </w:rPr>
            </w:pPr>
            <w:r w:rsidRPr="00A234D8">
              <w:rPr>
                <w:rFonts w:ascii="Times New Roman" w:eastAsia="宋体" w:hAnsi="Times New Roman" w:cs="Times New Roman"/>
                <w:b/>
                <w:sz w:val="21"/>
                <w:szCs w:val="21"/>
              </w:rPr>
              <w:t>MGAPHC</w:t>
            </w:r>
          </w:p>
        </w:tc>
        <w:tc>
          <w:tcPr>
            <w:tcW w:w="4253" w:type="dxa"/>
            <w:tcBorders>
              <w:right w:val="nil"/>
            </w:tcBorders>
            <w:vAlign w:val="center"/>
          </w:tcPr>
          <w:p w14:paraId="15338742"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Calculated based on the degree of conservation of the residue, the mutation and the most probable amino acid in the column of a Multiz-46-way alignment from UCSC Human Genome Browser hg19.</w:t>
            </w:r>
          </w:p>
        </w:tc>
      </w:tr>
      <w:tr w:rsidR="00F65DE7" w:rsidRPr="00731FBA" w14:paraId="7DDCA020" w14:textId="77777777" w:rsidTr="00F65DE7">
        <w:trPr>
          <w:jc w:val="center"/>
        </w:trPr>
        <w:tc>
          <w:tcPr>
            <w:tcW w:w="1134" w:type="dxa"/>
            <w:vMerge/>
            <w:tcBorders>
              <w:left w:val="nil"/>
            </w:tcBorders>
            <w:vAlign w:val="center"/>
          </w:tcPr>
          <w:p w14:paraId="37C5B7D4" w14:textId="77777777" w:rsidR="004325F4" w:rsidRPr="00731FBA" w:rsidRDefault="004325F4" w:rsidP="00851887">
            <w:pPr>
              <w:pStyle w:val="a4"/>
              <w:spacing w:line="360" w:lineRule="auto"/>
              <w:jc w:val="center"/>
              <w:rPr>
                <w:rFonts w:ascii="Times New Roman" w:eastAsia="宋体" w:hAnsi="Times New Roman" w:cs="Times New Roman"/>
                <w:sz w:val="21"/>
                <w:szCs w:val="21"/>
              </w:rPr>
            </w:pPr>
          </w:p>
        </w:tc>
        <w:tc>
          <w:tcPr>
            <w:tcW w:w="2410" w:type="dxa"/>
            <w:vAlign w:val="center"/>
          </w:tcPr>
          <w:p w14:paraId="372A0F5E" w14:textId="77777777" w:rsidR="004325F4" w:rsidRPr="00A234D8" w:rsidRDefault="004325F4" w:rsidP="004325F4">
            <w:pPr>
              <w:spacing w:line="360" w:lineRule="auto"/>
              <w:jc w:val="left"/>
              <w:rPr>
                <w:rFonts w:ascii="Times New Roman" w:eastAsia="宋体" w:hAnsi="Times New Roman" w:cs="Times New Roman"/>
                <w:b/>
                <w:sz w:val="21"/>
                <w:szCs w:val="21"/>
              </w:rPr>
            </w:pPr>
            <w:proofErr w:type="spellStart"/>
            <w:r w:rsidRPr="00A234D8">
              <w:rPr>
                <w:rFonts w:ascii="Times New Roman" w:eastAsia="宋体" w:hAnsi="Times New Roman" w:cs="Times New Roman"/>
                <w:b/>
                <w:sz w:val="21"/>
                <w:szCs w:val="21"/>
              </w:rPr>
              <w:t>MGAEntropy</w:t>
            </w:r>
            <w:proofErr w:type="spellEnd"/>
          </w:p>
        </w:tc>
        <w:tc>
          <w:tcPr>
            <w:tcW w:w="4253" w:type="dxa"/>
            <w:tcBorders>
              <w:right w:val="nil"/>
            </w:tcBorders>
            <w:vAlign w:val="center"/>
          </w:tcPr>
          <w:p w14:paraId="639C4A56"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 xml:space="preserve">The Shannon entropy calculated for the column </w:t>
            </w:r>
            <w:r w:rsidRPr="00731FBA">
              <w:rPr>
                <w:rFonts w:ascii="Times New Roman" w:eastAsia="等线" w:hAnsi="Times New Roman" w:cs="Times New Roman"/>
                <w:color w:val="000000"/>
                <w:sz w:val="21"/>
                <w:szCs w:val="21"/>
              </w:rPr>
              <w:lastRenderedPageBreak/>
              <w:t>of the Multiz-46-way alignment, corresponding to the location of the mutation.</w:t>
            </w:r>
          </w:p>
        </w:tc>
      </w:tr>
      <w:tr w:rsidR="00F65DE7" w:rsidRPr="00731FBA" w14:paraId="675F6902" w14:textId="77777777" w:rsidTr="00F65DE7">
        <w:trPr>
          <w:jc w:val="center"/>
        </w:trPr>
        <w:tc>
          <w:tcPr>
            <w:tcW w:w="1134" w:type="dxa"/>
            <w:vMerge/>
            <w:tcBorders>
              <w:left w:val="nil"/>
            </w:tcBorders>
            <w:vAlign w:val="center"/>
          </w:tcPr>
          <w:p w14:paraId="13F7F87E" w14:textId="77777777" w:rsidR="004325F4" w:rsidRPr="00731FBA" w:rsidRDefault="004325F4" w:rsidP="00851887">
            <w:pPr>
              <w:pStyle w:val="a4"/>
              <w:spacing w:line="360" w:lineRule="auto"/>
              <w:jc w:val="center"/>
              <w:rPr>
                <w:rFonts w:ascii="Times New Roman" w:eastAsia="宋体" w:hAnsi="Times New Roman" w:cs="Times New Roman"/>
                <w:sz w:val="21"/>
                <w:szCs w:val="21"/>
              </w:rPr>
            </w:pPr>
          </w:p>
        </w:tc>
        <w:tc>
          <w:tcPr>
            <w:tcW w:w="2410" w:type="dxa"/>
            <w:vAlign w:val="center"/>
          </w:tcPr>
          <w:p w14:paraId="2B04BFD5"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MGARelEntropy</w:t>
            </w:r>
            <w:proofErr w:type="spellEnd"/>
          </w:p>
        </w:tc>
        <w:tc>
          <w:tcPr>
            <w:tcW w:w="4253" w:type="dxa"/>
            <w:tcBorders>
              <w:right w:val="nil"/>
            </w:tcBorders>
            <w:vAlign w:val="center"/>
          </w:tcPr>
          <w:p w14:paraId="704021D9" w14:textId="77777777" w:rsidR="004325F4" w:rsidRPr="00731FBA" w:rsidRDefault="004325F4" w:rsidP="004325F4">
            <w:pPr>
              <w:rPr>
                <w:rFonts w:ascii="Times New Roman" w:eastAsia="等线" w:hAnsi="Times New Roman" w:cs="Times New Roman"/>
                <w:color w:val="000000"/>
                <w:sz w:val="21"/>
                <w:szCs w:val="21"/>
              </w:rPr>
            </w:pPr>
            <w:proofErr w:type="spellStart"/>
            <w:r w:rsidRPr="00731FBA">
              <w:rPr>
                <w:rFonts w:ascii="Times New Roman" w:eastAsia="等线" w:hAnsi="Times New Roman" w:cs="Times New Roman"/>
                <w:color w:val="000000"/>
                <w:sz w:val="21"/>
                <w:szCs w:val="21"/>
              </w:rPr>
              <w:t>Kullback-Leibler</w:t>
            </w:r>
            <w:proofErr w:type="spellEnd"/>
            <w:r w:rsidRPr="00731FBA">
              <w:rPr>
                <w:rFonts w:ascii="Times New Roman" w:eastAsia="等线" w:hAnsi="Times New Roman" w:cs="Times New Roman"/>
                <w:color w:val="000000"/>
                <w:sz w:val="21"/>
                <w:szCs w:val="21"/>
              </w:rPr>
              <w:t xml:space="preserve"> divergence calculated for the column of Multiz-46-way alignment (corresponding to the location of the mutation) and that of a background distribution of amino acid residues computed from a large sample of multiple sequence alignments.</w:t>
            </w:r>
          </w:p>
        </w:tc>
      </w:tr>
      <w:tr w:rsidR="00F65DE7" w:rsidRPr="00731FBA" w14:paraId="6DB26A00" w14:textId="77777777" w:rsidTr="00F65DE7">
        <w:trPr>
          <w:jc w:val="center"/>
        </w:trPr>
        <w:tc>
          <w:tcPr>
            <w:tcW w:w="1134" w:type="dxa"/>
            <w:vMerge/>
            <w:tcBorders>
              <w:left w:val="nil"/>
            </w:tcBorders>
            <w:vAlign w:val="center"/>
          </w:tcPr>
          <w:p w14:paraId="524C5036" w14:textId="77777777" w:rsidR="004325F4" w:rsidRPr="00731FBA" w:rsidRDefault="004325F4" w:rsidP="00851887">
            <w:pPr>
              <w:pStyle w:val="a4"/>
              <w:spacing w:line="360" w:lineRule="auto"/>
              <w:jc w:val="center"/>
              <w:rPr>
                <w:rFonts w:ascii="Times New Roman" w:eastAsia="宋体" w:hAnsi="Times New Roman" w:cs="Times New Roman"/>
                <w:sz w:val="21"/>
                <w:szCs w:val="21"/>
              </w:rPr>
            </w:pPr>
          </w:p>
        </w:tc>
        <w:tc>
          <w:tcPr>
            <w:tcW w:w="2410" w:type="dxa"/>
            <w:vAlign w:val="center"/>
          </w:tcPr>
          <w:p w14:paraId="54AE0354" w14:textId="77777777" w:rsidR="004325F4" w:rsidRPr="00731FBA" w:rsidRDefault="004325F4" w:rsidP="004325F4">
            <w:pPr>
              <w:spacing w:line="360" w:lineRule="auto"/>
              <w:jc w:val="left"/>
              <w:rPr>
                <w:rFonts w:ascii="Times New Roman" w:eastAsia="宋体" w:hAnsi="Times New Roman" w:cs="Times New Roman"/>
                <w:sz w:val="21"/>
                <w:szCs w:val="21"/>
              </w:rPr>
            </w:pPr>
            <w:r w:rsidRPr="00731FBA">
              <w:rPr>
                <w:rFonts w:ascii="Times New Roman" w:eastAsia="宋体" w:hAnsi="Times New Roman" w:cs="Times New Roman"/>
                <w:sz w:val="21"/>
                <w:szCs w:val="21"/>
              </w:rPr>
              <w:t>HMMPHC</w:t>
            </w:r>
          </w:p>
        </w:tc>
        <w:tc>
          <w:tcPr>
            <w:tcW w:w="4253" w:type="dxa"/>
            <w:tcBorders>
              <w:right w:val="nil"/>
            </w:tcBorders>
            <w:vAlign w:val="center"/>
          </w:tcPr>
          <w:p w14:paraId="32C293F2"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Calculated based on the degree of conservation of the residue, the mutation and the most probable amino acid in a match state of a hidden Markov model built with SAM-T2K software.</w:t>
            </w:r>
          </w:p>
        </w:tc>
      </w:tr>
      <w:tr w:rsidR="00F65DE7" w:rsidRPr="00731FBA" w14:paraId="43194A4B" w14:textId="77777777" w:rsidTr="00F65DE7">
        <w:trPr>
          <w:jc w:val="center"/>
        </w:trPr>
        <w:tc>
          <w:tcPr>
            <w:tcW w:w="1134" w:type="dxa"/>
            <w:vMerge/>
            <w:tcBorders>
              <w:left w:val="nil"/>
            </w:tcBorders>
            <w:vAlign w:val="center"/>
          </w:tcPr>
          <w:p w14:paraId="70997FF4" w14:textId="77777777" w:rsidR="004325F4" w:rsidRPr="00731FBA" w:rsidRDefault="004325F4" w:rsidP="00851887">
            <w:pPr>
              <w:pStyle w:val="a4"/>
              <w:spacing w:line="360" w:lineRule="auto"/>
              <w:jc w:val="center"/>
              <w:rPr>
                <w:rFonts w:ascii="Times New Roman" w:eastAsia="宋体" w:hAnsi="Times New Roman" w:cs="Times New Roman"/>
                <w:sz w:val="21"/>
                <w:szCs w:val="21"/>
              </w:rPr>
            </w:pPr>
          </w:p>
        </w:tc>
        <w:tc>
          <w:tcPr>
            <w:tcW w:w="2410" w:type="dxa"/>
            <w:vAlign w:val="center"/>
          </w:tcPr>
          <w:p w14:paraId="4BCE9A84"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HMMEntropy</w:t>
            </w:r>
            <w:proofErr w:type="spellEnd"/>
          </w:p>
        </w:tc>
        <w:tc>
          <w:tcPr>
            <w:tcW w:w="4253" w:type="dxa"/>
            <w:tcBorders>
              <w:right w:val="nil"/>
            </w:tcBorders>
            <w:vAlign w:val="center"/>
          </w:tcPr>
          <w:p w14:paraId="500AA2ED" w14:textId="77777777" w:rsidR="004325F4" w:rsidRPr="00731FBA" w:rsidRDefault="004325F4" w:rsidP="004325F4">
            <w:pPr>
              <w:widowControl/>
              <w:jc w:val="left"/>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The Shannon entropy calculated for the column of the SAM-T2K multiple sequence alignment, corresponding to the location of the mutation.</w:t>
            </w:r>
          </w:p>
        </w:tc>
      </w:tr>
      <w:tr w:rsidR="00F65DE7" w:rsidRPr="00731FBA" w14:paraId="5B5AA70A" w14:textId="77777777" w:rsidTr="00F65DE7">
        <w:trPr>
          <w:jc w:val="center"/>
        </w:trPr>
        <w:tc>
          <w:tcPr>
            <w:tcW w:w="1134" w:type="dxa"/>
            <w:vMerge/>
            <w:tcBorders>
              <w:left w:val="nil"/>
            </w:tcBorders>
            <w:vAlign w:val="center"/>
          </w:tcPr>
          <w:p w14:paraId="3C44042D" w14:textId="77777777" w:rsidR="004325F4" w:rsidRPr="00731FBA" w:rsidRDefault="004325F4" w:rsidP="00851887">
            <w:pPr>
              <w:pStyle w:val="a4"/>
              <w:spacing w:line="360" w:lineRule="auto"/>
              <w:jc w:val="center"/>
              <w:rPr>
                <w:rFonts w:ascii="Times New Roman" w:eastAsia="宋体" w:hAnsi="Times New Roman" w:cs="Times New Roman"/>
                <w:sz w:val="21"/>
                <w:szCs w:val="21"/>
              </w:rPr>
            </w:pPr>
          </w:p>
        </w:tc>
        <w:tc>
          <w:tcPr>
            <w:tcW w:w="2410" w:type="dxa"/>
            <w:vAlign w:val="center"/>
          </w:tcPr>
          <w:p w14:paraId="1860FF87"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HMMRelEntropy</w:t>
            </w:r>
            <w:proofErr w:type="spellEnd"/>
          </w:p>
        </w:tc>
        <w:tc>
          <w:tcPr>
            <w:tcW w:w="4253" w:type="dxa"/>
            <w:tcBorders>
              <w:right w:val="nil"/>
            </w:tcBorders>
            <w:vAlign w:val="center"/>
          </w:tcPr>
          <w:p w14:paraId="5C3794F7" w14:textId="77777777" w:rsidR="004325F4" w:rsidRPr="00731FBA" w:rsidRDefault="004325F4" w:rsidP="004325F4">
            <w:pPr>
              <w:rPr>
                <w:rFonts w:ascii="Times New Roman" w:eastAsia="等线" w:hAnsi="Times New Roman" w:cs="Times New Roman"/>
                <w:color w:val="000000"/>
                <w:sz w:val="21"/>
                <w:szCs w:val="21"/>
              </w:rPr>
            </w:pPr>
            <w:proofErr w:type="spellStart"/>
            <w:r w:rsidRPr="00731FBA">
              <w:rPr>
                <w:rFonts w:ascii="Times New Roman" w:eastAsia="等线" w:hAnsi="Times New Roman" w:cs="Times New Roman"/>
                <w:color w:val="000000"/>
                <w:sz w:val="21"/>
                <w:szCs w:val="21"/>
              </w:rPr>
              <w:t>Kullback-Leibler</w:t>
            </w:r>
            <w:proofErr w:type="spellEnd"/>
            <w:r w:rsidRPr="00731FBA">
              <w:rPr>
                <w:rFonts w:ascii="Times New Roman" w:eastAsia="等线" w:hAnsi="Times New Roman" w:cs="Times New Roman"/>
                <w:color w:val="000000"/>
                <w:sz w:val="21"/>
                <w:szCs w:val="21"/>
              </w:rPr>
              <w:t xml:space="preserve"> Divergence calculated for the column of the SAM-T2K multiple sequence alignment (corresponding to the location of the mutation) and that of a background distribution of amino acid residues computed from a large sample of multiple sequence alignments.</w:t>
            </w:r>
          </w:p>
        </w:tc>
      </w:tr>
      <w:tr w:rsidR="00F65DE7" w:rsidRPr="00731FBA" w14:paraId="3B715ED5" w14:textId="77777777" w:rsidTr="00F65DE7">
        <w:trPr>
          <w:jc w:val="center"/>
        </w:trPr>
        <w:tc>
          <w:tcPr>
            <w:tcW w:w="1134" w:type="dxa"/>
            <w:vMerge/>
            <w:tcBorders>
              <w:left w:val="nil"/>
            </w:tcBorders>
            <w:vAlign w:val="center"/>
          </w:tcPr>
          <w:p w14:paraId="3FC70645" w14:textId="77777777" w:rsidR="004325F4" w:rsidRPr="00731FBA" w:rsidRDefault="004325F4" w:rsidP="00851887">
            <w:pPr>
              <w:pStyle w:val="a4"/>
              <w:spacing w:line="360" w:lineRule="auto"/>
              <w:jc w:val="center"/>
              <w:rPr>
                <w:rFonts w:ascii="Times New Roman" w:eastAsia="宋体" w:hAnsi="Times New Roman" w:cs="Times New Roman"/>
                <w:sz w:val="21"/>
                <w:szCs w:val="21"/>
              </w:rPr>
            </w:pPr>
          </w:p>
        </w:tc>
        <w:tc>
          <w:tcPr>
            <w:tcW w:w="2410" w:type="dxa"/>
            <w:vAlign w:val="center"/>
          </w:tcPr>
          <w:p w14:paraId="51486486" w14:textId="77777777" w:rsidR="004325F4" w:rsidRPr="00A234D8" w:rsidRDefault="004325F4" w:rsidP="004325F4">
            <w:pPr>
              <w:spacing w:line="360" w:lineRule="auto"/>
              <w:jc w:val="left"/>
              <w:rPr>
                <w:rFonts w:ascii="Times New Roman" w:eastAsia="宋体" w:hAnsi="Times New Roman" w:cs="Times New Roman"/>
                <w:b/>
                <w:sz w:val="21"/>
                <w:szCs w:val="21"/>
              </w:rPr>
            </w:pPr>
            <w:proofErr w:type="spellStart"/>
            <w:r w:rsidRPr="00A234D8">
              <w:rPr>
                <w:rFonts w:ascii="Times New Roman" w:eastAsia="宋体" w:hAnsi="Times New Roman" w:cs="Times New Roman"/>
                <w:b/>
                <w:sz w:val="21"/>
                <w:szCs w:val="21"/>
              </w:rPr>
              <w:t>ExonConservation</w:t>
            </w:r>
            <w:proofErr w:type="spellEnd"/>
          </w:p>
        </w:tc>
        <w:tc>
          <w:tcPr>
            <w:tcW w:w="4253" w:type="dxa"/>
            <w:tcBorders>
              <w:right w:val="nil"/>
            </w:tcBorders>
            <w:vAlign w:val="center"/>
          </w:tcPr>
          <w:p w14:paraId="61455240"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The conservation score for the entire exon calculated from a 46-species phylogenetic alignment using the UCSC Genome Browser (hg19). Scores are given for windows of nucleotides. We retrieve the scores for each region that overlaps the exon in which the base substitution occurred and calculated a weighted average of the conservation scores where the weight is the number of bases with a particular score.</w:t>
            </w:r>
          </w:p>
        </w:tc>
      </w:tr>
      <w:tr w:rsidR="000E7FE8" w:rsidRPr="00731FBA" w14:paraId="354CD9BB" w14:textId="77777777" w:rsidTr="00F65DE7">
        <w:trPr>
          <w:jc w:val="center"/>
        </w:trPr>
        <w:tc>
          <w:tcPr>
            <w:tcW w:w="1134" w:type="dxa"/>
            <w:vMerge w:val="restart"/>
            <w:tcBorders>
              <w:left w:val="nil"/>
            </w:tcBorders>
            <w:vAlign w:val="center"/>
          </w:tcPr>
          <w:p w14:paraId="3CE33D27" w14:textId="2DADFC2C" w:rsidR="000E7FE8" w:rsidRPr="00731FBA" w:rsidRDefault="000E7FE8" w:rsidP="00490D63">
            <w:pPr>
              <w:pStyle w:val="a4"/>
              <w:spacing w:line="360" w:lineRule="auto"/>
              <w:jc w:val="center"/>
              <w:rPr>
                <w:rFonts w:ascii="Times New Roman" w:eastAsia="宋体" w:hAnsi="Times New Roman" w:cs="Times New Roman"/>
                <w:szCs w:val="21"/>
              </w:rPr>
            </w:pPr>
            <w:r w:rsidRPr="000E7FE8">
              <w:rPr>
                <w:rFonts w:ascii="Times New Roman" w:eastAsia="宋体" w:hAnsi="Times New Roman" w:cs="Times New Roman"/>
                <w:szCs w:val="21"/>
              </w:rPr>
              <w:t>Exon</w:t>
            </w:r>
            <w:r>
              <w:rPr>
                <w:rFonts w:ascii="Times New Roman" w:eastAsia="宋体" w:hAnsi="Times New Roman" w:cs="Times New Roman"/>
                <w:szCs w:val="21"/>
              </w:rPr>
              <w:t xml:space="preserve"> f</w:t>
            </w:r>
            <w:r w:rsidRPr="000E7FE8">
              <w:rPr>
                <w:rFonts w:ascii="Times New Roman" w:eastAsia="宋体" w:hAnsi="Times New Roman" w:cs="Times New Roman"/>
                <w:szCs w:val="21"/>
              </w:rPr>
              <w:t>eatures</w:t>
            </w:r>
          </w:p>
        </w:tc>
        <w:tc>
          <w:tcPr>
            <w:tcW w:w="2410" w:type="dxa"/>
            <w:vAlign w:val="center"/>
          </w:tcPr>
          <w:p w14:paraId="74ADE891" w14:textId="3DB3AADC" w:rsidR="000E7FE8" w:rsidRPr="00A234D8" w:rsidRDefault="000E7FE8" w:rsidP="00490D63">
            <w:pPr>
              <w:spacing w:line="360" w:lineRule="auto"/>
              <w:jc w:val="left"/>
              <w:rPr>
                <w:rFonts w:ascii="Times New Roman" w:eastAsia="宋体" w:hAnsi="Times New Roman" w:cs="Times New Roman"/>
                <w:b/>
                <w:szCs w:val="21"/>
              </w:rPr>
            </w:pPr>
            <w:proofErr w:type="spellStart"/>
            <w:r w:rsidRPr="00A234D8">
              <w:rPr>
                <w:rFonts w:ascii="Times New Roman" w:eastAsia="宋体" w:hAnsi="Times New Roman" w:cs="Times New Roman"/>
                <w:b/>
                <w:sz w:val="21"/>
                <w:szCs w:val="21"/>
              </w:rPr>
              <w:t>ExonSnpDensity</w:t>
            </w:r>
            <w:proofErr w:type="spellEnd"/>
          </w:p>
        </w:tc>
        <w:tc>
          <w:tcPr>
            <w:tcW w:w="4253" w:type="dxa"/>
            <w:tcBorders>
              <w:right w:val="nil"/>
            </w:tcBorders>
            <w:vAlign w:val="center"/>
          </w:tcPr>
          <w:p w14:paraId="4EBFF5FD" w14:textId="30AEA140" w:rsidR="000E7FE8" w:rsidRPr="00731FBA" w:rsidRDefault="000E7FE8" w:rsidP="00490D63">
            <w:pPr>
              <w:rPr>
                <w:rFonts w:ascii="Times New Roman" w:eastAsia="等线" w:hAnsi="Times New Roman" w:cs="Times New Roman"/>
                <w:color w:val="000000"/>
                <w:szCs w:val="21"/>
              </w:rPr>
            </w:pPr>
            <w:r w:rsidRPr="00731FBA">
              <w:rPr>
                <w:rFonts w:ascii="Times New Roman" w:eastAsia="等线" w:hAnsi="Times New Roman" w:cs="Times New Roman"/>
                <w:color w:val="000000"/>
                <w:sz w:val="21"/>
                <w:szCs w:val="21"/>
              </w:rPr>
              <w:t>The number of SNPs in the exon where the mutation is located divided by the length of the exon.</w:t>
            </w:r>
          </w:p>
        </w:tc>
      </w:tr>
      <w:tr w:rsidR="000E7FE8" w:rsidRPr="00731FBA" w14:paraId="2318B3A0" w14:textId="77777777" w:rsidTr="00F65DE7">
        <w:trPr>
          <w:jc w:val="center"/>
        </w:trPr>
        <w:tc>
          <w:tcPr>
            <w:tcW w:w="1134" w:type="dxa"/>
            <w:vMerge/>
            <w:tcBorders>
              <w:left w:val="nil"/>
            </w:tcBorders>
            <w:vAlign w:val="center"/>
          </w:tcPr>
          <w:p w14:paraId="3F15BEC4" w14:textId="77777777" w:rsidR="000E7FE8" w:rsidRPr="00731FBA" w:rsidRDefault="000E7FE8" w:rsidP="00490D63">
            <w:pPr>
              <w:pStyle w:val="a4"/>
              <w:spacing w:line="360" w:lineRule="auto"/>
              <w:jc w:val="center"/>
              <w:rPr>
                <w:rFonts w:ascii="Times New Roman" w:eastAsia="宋体" w:hAnsi="Times New Roman" w:cs="Times New Roman"/>
                <w:szCs w:val="21"/>
              </w:rPr>
            </w:pPr>
          </w:p>
        </w:tc>
        <w:tc>
          <w:tcPr>
            <w:tcW w:w="2410" w:type="dxa"/>
            <w:vAlign w:val="center"/>
          </w:tcPr>
          <w:p w14:paraId="4044488F" w14:textId="366CDA3C" w:rsidR="000E7FE8" w:rsidRPr="00A234D8" w:rsidRDefault="000E7FE8" w:rsidP="00490D63">
            <w:pPr>
              <w:spacing w:line="360" w:lineRule="auto"/>
              <w:jc w:val="left"/>
              <w:rPr>
                <w:rFonts w:ascii="Times New Roman" w:eastAsia="宋体" w:hAnsi="Times New Roman" w:cs="Times New Roman"/>
                <w:b/>
                <w:szCs w:val="21"/>
              </w:rPr>
            </w:pPr>
            <w:proofErr w:type="spellStart"/>
            <w:r w:rsidRPr="00A234D8">
              <w:rPr>
                <w:rFonts w:ascii="Times New Roman" w:eastAsia="宋体" w:hAnsi="Times New Roman" w:cs="Times New Roman"/>
                <w:b/>
                <w:sz w:val="21"/>
                <w:szCs w:val="21"/>
              </w:rPr>
              <w:t>ExonHapMapSnpDensity</w:t>
            </w:r>
            <w:proofErr w:type="spellEnd"/>
          </w:p>
        </w:tc>
        <w:tc>
          <w:tcPr>
            <w:tcW w:w="4253" w:type="dxa"/>
            <w:tcBorders>
              <w:right w:val="nil"/>
            </w:tcBorders>
            <w:vAlign w:val="center"/>
          </w:tcPr>
          <w:p w14:paraId="16A06A3F" w14:textId="08FCFC4D" w:rsidR="000E7FE8" w:rsidRPr="00731FBA" w:rsidRDefault="000E7FE8" w:rsidP="00490D63">
            <w:pPr>
              <w:rPr>
                <w:rFonts w:ascii="Times New Roman" w:eastAsia="等线" w:hAnsi="Times New Roman" w:cs="Times New Roman"/>
                <w:color w:val="000000"/>
                <w:szCs w:val="21"/>
              </w:rPr>
            </w:pPr>
            <w:r w:rsidRPr="00731FBA">
              <w:rPr>
                <w:rFonts w:ascii="Times New Roman" w:eastAsia="等线" w:hAnsi="Times New Roman" w:cs="Times New Roman"/>
                <w:color w:val="000000"/>
                <w:sz w:val="21"/>
                <w:szCs w:val="21"/>
              </w:rPr>
              <w:t>The number of HapMap verified SNPs (</w:t>
            </w:r>
            <w:proofErr w:type="spellStart"/>
            <w:r w:rsidRPr="00731FBA">
              <w:rPr>
                <w:rFonts w:ascii="Times New Roman" w:eastAsia="等线" w:hAnsi="Times New Roman" w:cs="Times New Roman"/>
                <w:color w:val="000000"/>
                <w:sz w:val="21"/>
                <w:szCs w:val="21"/>
              </w:rPr>
              <w:t>dbSNP</w:t>
            </w:r>
            <w:proofErr w:type="spellEnd"/>
            <w:r w:rsidRPr="00731FBA">
              <w:rPr>
                <w:rFonts w:ascii="Times New Roman" w:eastAsia="等线" w:hAnsi="Times New Roman" w:cs="Times New Roman"/>
                <w:color w:val="000000"/>
                <w:sz w:val="21"/>
                <w:szCs w:val="21"/>
              </w:rPr>
              <w:t xml:space="preserve"> build 131) in the exon where the mutation is located divided by the length of the exon.</w:t>
            </w:r>
          </w:p>
        </w:tc>
      </w:tr>
      <w:tr w:rsidR="00F65DE7" w:rsidRPr="00731FBA" w14:paraId="269D187D" w14:textId="77777777" w:rsidTr="00F65DE7">
        <w:trPr>
          <w:jc w:val="center"/>
        </w:trPr>
        <w:tc>
          <w:tcPr>
            <w:tcW w:w="1134" w:type="dxa"/>
            <w:vMerge w:val="restart"/>
            <w:tcBorders>
              <w:left w:val="nil"/>
            </w:tcBorders>
            <w:vAlign w:val="center"/>
          </w:tcPr>
          <w:p w14:paraId="074FD558" w14:textId="0A6C9BBC" w:rsidR="004325F4" w:rsidRPr="00731FBA" w:rsidRDefault="000E7FE8" w:rsidP="00851887">
            <w:pPr>
              <w:pStyle w:val="a4"/>
              <w:spacing w:line="360" w:lineRule="auto"/>
              <w:jc w:val="center"/>
              <w:rPr>
                <w:rFonts w:ascii="Times New Roman" w:eastAsia="宋体" w:hAnsi="Times New Roman" w:cs="Times New Roman"/>
                <w:sz w:val="21"/>
                <w:szCs w:val="21"/>
              </w:rPr>
            </w:pPr>
            <w:r w:rsidRPr="000E7FE8">
              <w:rPr>
                <w:rFonts w:ascii="Times New Roman" w:hAnsi="Times New Roman" w:cs="Times New Roman"/>
                <w:sz w:val="21"/>
                <w:szCs w:val="21"/>
              </w:rPr>
              <w:t>protein local structure</w:t>
            </w:r>
          </w:p>
        </w:tc>
        <w:tc>
          <w:tcPr>
            <w:tcW w:w="2410" w:type="dxa"/>
            <w:vAlign w:val="center"/>
          </w:tcPr>
          <w:p w14:paraId="1CB83AC8"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PredBFactorS</w:t>
            </w:r>
            <w:proofErr w:type="spellEnd"/>
          </w:p>
        </w:tc>
        <w:tc>
          <w:tcPr>
            <w:tcW w:w="4253" w:type="dxa"/>
            <w:tcBorders>
              <w:right w:val="nil"/>
            </w:tcBorders>
            <w:vAlign w:val="center"/>
          </w:tcPr>
          <w:p w14:paraId="62B3CBC4"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These features consist of the probability that the wild type residue backbone is stiff.</w:t>
            </w:r>
          </w:p>
        </w:tc>
      </w:tr>
      <w:tr w:rsidR="00F65DE7" w:rsidRPr="00731FBA" w14:paraId="13394333" w14:textId="77777777" w:rsidTr="00F65DE7">
        <w:trPr>
          <w:jc w:val="center"/>
        </w:trPr>
        <w:tc>
          <w:tcPr>
            <w:tcW w:w="1134" w:type="dxa"/>
            <w:vMerge/>
            <w:tcBorders>
              <w:left w:val="nil"/>
            </w:tcBorders>
            <w:vAlign w:val="center"/>
          </w:tcPr>
          <w:p w14:paraId="73C137AB"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5681872B"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PredBFactorM</w:t>
            </w:r>
            <w:proofErr w:type="spellEnd"/>
          </w:p>
        </w:tc>
        <w:tc>
          <w:tcPr>
            <w:tcW w:w="4253" w:type="dxa"/>
            <w:tcBorders>
              <w:right w:val="nil"/>
            </w:tcBorders>
            <w:vAlign w:val="center"/>
          </w:tcPr>
          <w:p w14:paraId="422B53C3"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These features consist of the probability that the wild type residue backbone is intermediate.</w:t>
            </w:r>
          </w:p>
        </w:tc>
      </w:tr>
      <w:tr w:rsidR="00F65DE7" w:rsidRPr="00731FBA" w14:paraId="7ECC3F9D" w14:textId="77777777" w:rsidTr="00F65DE7">
        <w:trPr>
          <w:jc w:val="center"/>
        </w:trPr>
        <w:tc>
          <w:tcPr>
            <w:tcW w:w="1134" w:type="dxa"/>
            <w:vMerge/>
            <w:tcBorders>
              <w:left w:val="nil"/>
            </w:tcBorders>
            <w:vAlign w:val="center"/>
          </w:tcPr>
          <w:p w14:paraId="16D3A976"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5118D49B"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PredBFactorF</w:t>
            </w:r>
            <w:proofErr w:type="spellEnd"/>
          </w:p>
        </w:tc>
        <w:tc>
          <w:tcPr>
            <w:tcW w:w="4253" w:type="dxa"/>
            <w:tcBorders>
              <w:right w:val="nil"/>
            </w:tcBorders>
            <w:vAlign w:val="center"/>
          </w:tcPr>
          <w:p w14:paraId="40A115C0"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These features consist of the probability that the wild type residue backbone is flexible.</w:t>
            </w:r>
          </w:p>
        </w:tc>
      </w:tr>
      <w:tr w:rsidR="00F65DE7" w:rsidRPr="00731FBA" w14:paraId="719024F0" w14:textId="77777777" w:rsidTr="00F65DE7">
        <w:trPr>
          <w:jc w:val="center"/>
        </w:trPr>
        <w:tc>
          <w:tcPr>
            <w:tcW w:w="1134" w:type="dxa"/>
            <w:vMerge/>
            <w:tcBorders>
              <w:left w:val="nil"/>
            </w:tcBorders>
            <w:vAlign w:val="center"/>
          </w:tcPr>
          <w:p w14:paraId="7CB15435"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39F85DEE"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PredStabilityL</w:t>
            </w:r>
            <w:proofErr w:type="spellEnd"/>
          </w:p>
        </w:tc>
        <w:tc>
          <w:tcPr>
            <w:tcW w:w="4253" w:type="dxa"/>
            <w:tcBorders>
              <w:right w:val="nil"/>
            </w:tcBorders>
            <w:vAlign w:val="center"/>
          </w:tcPr>
          <w:p w14:paraId="083843DD"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 xml:space="preserve">These features consist of the probability that the wild stability type residue contributes to overall protein stability in a manner that is highly destabilizing, Stability estimates for the neural network training data were calculated using the </w:t>
            </w:r>
            <w:proofErr w:type="spellStart"/>
            <w:r w:rsidRPr="00731FBA">
              <w:rPr>
                <w:rFonts w:ascii="Times New Roman" w:eastAsia="等线" w:hAnsi="Times New Roman" w:cs="Times New Roman"/>
                <w:color w:val="000000"/>
                <w:sz w:val="21"/>
                <w:szCs w:val="21"/>
              </w:rPr>
              <w:t>FoldX</w:t>
            </w:r>
            <w:proofErr w:type="spellEnd"/>
            <w:r w:rsidRPr="00731FBA">
              <w:rPr>
                <w:rFonts w:ascii="Times New Roman" w:eastAsia="等线" w:hAnsi="Times New Roman" w:cs="Times New Roman"/>
                <w:color w:val="000000"/>
                <w:sz w:val="21"/>
                <w:szCs w:val="21"/>
              </w:rPr>
              <w:t xml:space="preserve"> force field</w:t>
            </w:r>
          </w:p>
        </w:tc>
      </w:tr>
      <w:tr w:rsidR="00F65DE7" w:rsidRPr="00731FBA" w14:paraId="35878CF8" w14:textId="77777777" w:rsidTr="00F65DE7">
        <w:trPr>
          <w:jc w:val="center"/>
        </w:trPr>
        <w:tc>
          <w:tcPr>
            <w:tcW w:w="1134" w:type="dxa"/>
            <w:vMerge/>
            <w:tcBorders>
              <w:left w:val="nil"/>
            </w:tcBorders>
            <w:vAlign w:val="center"/>
          </w:tcPr>
          <w:p w14:paraId="41E5F91C"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2E926CA2"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PredStabilityH</w:t>
            </w:r>
            <w:proofErr w:type="spellEnd"/>
          </w:p>
        </w:tc>
        <w:tc>
          <w:tcPr>
            <w:tcW w:w="4253" w:type="dxa"/>
            <w:tcBorders>
              <w:right w:val="nil"/>
            </w:tcBorders>
            <w:vAlign w:val="center"/>
          </w:tcPr>
          <w:p w14:paraId="425E44F0"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 xml:space="preserve">These features consist of the probability that the wild stability type residue contributes to overall protein stability in a manner that is highly stabilizing, Stability estimates for the neural network training data were calculated using the </w:t>
            </w:r>
            <w:proofErr w:type="spellStart"/>
            <w:r w:rsidRPr="00731FBA">
              <w:rPr>
                <w:rFonts w:ascii="Times New Roman" w:eastAsia="等线" w:hAnsi="Times New Roman" w:cs="Times New Roman"/>
                <w:color w:val="000000"/>
                <w:sz w:val="21"/>
                <w:szCs w:val="21"/>
              </w:rPr>
              <w:t>FoldX</w:t>
            </w:r>
            <w:proofErr w:type="spellEnd"/>
            <w:r w:rsidRPr="00731FBA">
              <w:rPr>
                <w:rFonts w:ascii="Times New Roman" w:eastAsia="等线" w:hAnsi="Times New Roman" w:cs="Times New Roman"/>
                <w:color w:val="000000"/>
                <w:sz w:val="21"/>
                <w:szCs w:val="21"/>
              </w:rPr>
              <w:t xml:space="preserve"> force field</w:t>
            </w:r>
          </w:p>
        </w:tc>
      </w:tr>
      <w:tr w:rsidR="00F65DE7" w:rsidRPr="00731FBA" w14:paraId="6576E7AD" w14:textId="77777777" w:rsidTr="00F65DE7">
        <w:trPr>
          <w:jc w:val="center"/>
        </w:trPr>
        <w:tc>
          <w:tcPr>
            <w:tcW w:w="1134" w:type="dxa"/>
            <w:vMerge/>
            <w:tcBorders>
              <w:left w:val="nil"/>
            </w:tcBorders>
            <w:vAlign w:val="center"/>
          </w:tcPr>
          <w:p w14:paraId="2C37E182"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76D302C7"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PredSSE</w:t>
            </w:r>
            <w:proofErr w:type="spellEnd"/>
          </w:p>
        </w:tc>
        <w:tc>
          <w:tcPr>
            <w:tcW w:w="4253" w:type="dxa"/>
            <w:tcBorders>
              <w:right w:val="nil"/>
            </w:tcBorders>
            <w:vAlign w:val="center"/>
          </w:tcPr>
          <w:p w14:paraId="181E823C"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These features consist of the probability that the secondary structure of the region in which the wild type residue exists is strand.</w:t>
            </w:r>
          </w:p>
        </w:tc>
      </w:tr>
      <w:tr w:rsidR="00F65DE7" w:rsidRPr="00731FBA" w14:paraId="2CAB2B23" w14:textId="77777777" w:rsidTr="00F65DE7">
        <w:trPr>
          <w:jc w:val="center"/>
        </w:trPr>
        <w:tc>
          <w:tcPr>
            <w:tcW w:w="1134" w:type="dxa"/>
            <w:vMerge/>
            <w:tcBorders>
              <w:left w:val="nil"/>
            </w:tcBorders>
            <w:vAlign w:val="center"/>
          </w:tcPr>
          <w:p w14:paraId="1DA2B450"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05EC1A16"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PredSSC</w:t>
            </w:r>
            <w:proofErr w:type="spellEnd"/>
          </w:p>
        </w:tc>
        <w:tc>
          <w:tcPr>
            <w:tcW w:w="4253" w:type="dxa"/>
            <w:tcBorders>
              <w:right w:val="nil"/>
            </w:tcBorders>
            <w:vAlign w:val="center"/>
          </w:tcPr>
          <w:p w14:paraId="4DB17A3C"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These features consist of the probability that the secondary structure of the region in which the wild type residue exists is loop.</w:t>
            </w:r>
          </w:p>
        </w:tc>
      </w:tr>
      <w:tr w:rsidR="00F65DE7" w:rsidRPr="00731FBA" w14:paraId="4842B527" w14:textId="77777777" w:rsidTr="00F65DE7">
        <w:trPr>
          <w:jc w:val="center"/>
        </w:trPr>
        <w:tc>
          <w:tcPr>
            <w:tcW w:w="1134" w:type="dxa"/>
            <w:vMerge/>
            <w:tcBorders>
              <w:left w:val="nil"/>
            </w:tcBorders>
            <w:vAlign w:val="center"/>
          </w:tcPr>
          <w:p w14:paraId="3DA2A14D"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2312DAAB"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PredSSH</w:t>
            </w:r>
            <w:proofErr w:type="spellEnd"/>
          </w:p>
        </w:tc>
        <w:tc>
          <w:tcPr>
            <w:tcW w:w="4253" w:type="dxa"/>
            <w:tcBorders>
              <w:right w:val="nil"/>
            </w:tcBorders>
            <w:vAlign w:val="center"/>
          </w:tcPr>
          <w:p w14:paraId="255BA7D7"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These features consist of the probability that the secondary structure of the region in which the wild type residue exists is helix.</w:t>
            </w:r>
          </w:p>
        </w:tc>
      </w:tr>
      <w:tr w:rsidR="00F65DE7" w:rsidRPr="00731FBA" w14:paraId="0EBE6FE5" w14:textId="77777777" w:rsidTr="00F65DE7">
        <w:trPr>
          <w:jc w:val="center"/>
        </w:trPr>
        <w:tc>
          <w:tcPr>
            <w:tcW w:w="1134" w:type="dxa"/>
            <w:vMerge/>
            <w:tcBorders>
              <w:left w:val="nil"/>
            </w:tcBorders>
            <w:vAlign w:val="center"/>
          </w:tcPr>
          <w:p w14:paraId="422C6F09"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3DAC8C41"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PredRSAB</w:t>
            </w:r>
            <w:proofErr w:type="spellEnd"/>
          </w:p>
        </w:tc>
        <w:tc>
          <w:tcPr>
            <w:tcW w:w="4253" w:type="dxa"/>
            <w:tcBorders>
              <w:right w:val="nil"/>
            </w:tcBorders>
            <w:vAlign w:val="center"/>
          </w:tcPr>
          <w:p w14:paraId="1F8D673E"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These features consist of the probability of the wild type accessibility residue being buried.</w:t>
            </w:r>
          </w:p>
        </w:tc>
      </w:tr>
      <w:tr w:rsidR="00F65DE7" w:rsidRPr="00731FBA" w14:paraId="47D46DA5" w14:textId="77777777" w:rsidTr="00F65DE7">
        <w:trPr>
          <w:jc w:val="center"/>
        </w:trPr>
        <w:tc>
          <w:tcPr>
            <w:tcW w:w="1134" w:type="dxa"/>
            <w:vMerge/>
            <w:tcBorders>
              <w:left w:val="nil"/>
            </w:tcBorders>
            <w:vAlign w:val="center"/>
          </w:tcPr>
          <w:p w14:paraId="3AD76AC6"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75280BD0"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PredRSAI</w:t>
            </w:r>
            <w:proofErr w:type="spellEnd"/>
          </w:p>
        </w:tc>
        <w:tc>
          <w:tcPr>
            <w:tcW w:w="4253" w:type="dxa"/>
            <w:tcBorders>
              <w:right w:val="nil"/>
            </w:tcBorders>
            <w:vAlign w:val="center"/>
          </w:tcPr>
          <w:p w14:paraId="1C5A1B42"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These features consist of the probability of the wild type accessibility residue being intermediate.</w:t>
            </w:r>
          </w:p>
        </w:tc>
      </w:tr>
      <w:tr w:rsidR="00F65DE7" w:rsidRPr="00731FBA" w14:paraId="1EC562D4" w14:textId="77777777" w:rsidTr="00F65DE7">
        <w:trPr>
          <w:jc w:val="center"/>
        </w:trPr>
        <w:tc>
          <w:tcPr>
            <w:tcW w:w="1134" w:type="dxa"/>
            <w:vMerge/>
            <w:tcBorders>
              <w:left w:val="nil"/>
              <w:bottom w:val="single" w:sz="4" w:space="0" w:color="auto"/>
            </w:tcBorders>
            <w:vAlign w:val="center"/>
          </w:tcPr>
          <w:p w14:paraId="3B7F3566"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1A305775"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PredRSAE</w:t>
            </w:r>
            <w:proofErr w:type="spellEnd"/>
          </w:p>
        </w:tc>
        <w:tc>
          <w:tcPr>
            <w:tcW w:w="4253" w:type="dxa"/>
            <w:tcBorders>
              <w:right w:val="nil"/>
            </w:tcBorders>
            <w:vAlign w:val="center"/>
          </w:tcPr>
          <w:p w14:paraId="4B97EF55"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These features consist of the probability of the wild type accessibility residue being exposed.</w:t>
            </w:r>
          </w:p>
        </w:tc>
      </w:tr>
      <w:tr w:rsidR="00F65DE7" w:rsidRPr="00731FBA" w14:paraId="1E3B3FF9" w14:textId="77777777" w:rsidTr="00F65DE7">
        <w:trPr>
          <w:jc w:val="center"/>
        </w:trPr>
        <w:tc>
          <w:tcPr>
            <w:tcW w:w="1134" w:type="dxa"/>
            <w:vMerge w:val="restart"/>
            <w:tcBorders>
              <w:left w:val="nil"/>
            </w:tcBorders>
            <w:vAlign w:val="center"/>
          </w:tcPr>
          <w:p w14:paraId="156D156B" w14:textId="77777777" w:rsidR="004325F4" w:rsidRPr="00731FBA" w:rsidRDefault="00731FBA" w:rsidP="00851887">
            <w:pPr>
              <w:pStyle w:val="a4"/>
              <w:spacing w:line="360" w:lineRule="auto"/>
              <w:jc w:val="center"/>
              <w:rPr>
                <w:rFonts w:ascii="Times New Roman" w:eastAsia="宋体" w:hAnsi="Times New Roman" w:cs="Times New Roman"/>
                <w:sz w:val="21"/>
                <w:szCs w:val="21"/>
              </w:rPr>
            </w:pPr>
            <w:r w:rsidRPr="00731FBA">
              <w:rPr>
                <w:rFonts w:ascii="Times New Roman" w:eastAsia="宋体" w:hAnsi="Times New Roman" w:cs="Times New Roman"/>
                <w:sz w:val="21"/>
                <w:szCs w:val="21"/>
              </w:rPr>
              <w:t>Regional composition</w:t>
            </w:r>
          </w:p>
        </w:tc>
        <w:tc>
          <w:tcPr>
            <w:tcW w:w="2410" w:type="dxa"/>
            <w:vAlign w:val="center"/>
          </w:tcPr>
          <w:p w14:paraId="14DB5868"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RegCompP</w:t>
            </w:r>
            <w:proofErr w:type="spellEnd"/>
          </w:p>
        </w:tc>
        <w:tc>
          <w:tcPr>
            <w:tcW w:w="4253" w:type="dxa"/>
            <w:tcBorders>
              <w:right w:val="nil"/>
            </w:tcBorders>
            <w:vAlign w:val="center"/>
          </w:tcPr>
          <w:p w14:paraId="3DDB398A"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Proportion of Prolines in a 15-amino-acid-residue window centered on the reference/mutation amino acid position.</w:t>
            </w:r>
          </w:p>
        </w:tc>
      </w:tr>
      <w:tr w:rsidR="00F65DE7" w:rsidRPr="00731FBA" w14:paraId="20FAEBBF" w14:textId="77777777" w:rsidTr="00F65DE7">
        <w:trPr>
          <w:jc w:val="center"/>
        </w:trPr>
        <w:tc>
          <w:tcPr>
            <w:tcW w:w="1134" w:type="dxa"/>
            <w:vMerge/>
            <w:tcBorders>
              <w:left w:val="nil"/>
            </w:tcBorders>
            <w:vAlign w:val="center"/>
          </w:tcPr>
          <w:p w14:paraId="6211E8F4"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6422CD01"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RegCompH</w:t>
            </w:r>
            <w:proofErr w:type="spellEnd"/>
          </w:p>
        </w:tc>
        <w:tc>
          <w:tcPr>
            <w:tcW w:w="4253" w:type="dxa"/>
            <w:tcBorders>
              <w:right w:val="nil"/>
            </w:tcBorders>
            <w:vAlign w:val="center"/>
          </w:tcPr>
          <w:p w14:paraId="261F7C93"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 xml:space="preserve">Proportion of </w:t>
            </w:r>
            <w:proofErr w:type="spellStart"/>
            <w:r w:rsidRPr="00731FBA">
              <w:rPr>
                <w:rFonts w:ascii="Times New Roman" w:eastAsia="等线" w:hAnsi="Times New Roman" w:cs="Times New Roman"/>
                <w:color w:val="000000"/>
                <w:sz w:val="21"/>
                <w:szCs w:val="21"/>
              </w:rPr>
              <w:t>Histidines</w:t>
            </w:r>
            <w:proofErr w:type="spellEnd"/>
            <w:r w:rsidRPr="00731FBA">
              <w:rPr>
                <w:rFonts w:ascii="Times New Roman" w:eastAsia="等线" w:hAnsi="Times New Roman" w:cs="Times New Roman"/>
                <w:color w:val="000000"/>
                <w:sz w:val="21"/>
                <w:szCs w:val="21"/>
              </w:rPr>
              <w:t xml:space="preserve"> in a 15-amino-acid-residue window centered on the reference/mutation amino acid position.</w:t>
            </w:r>
          </w:p>
        </w:tc>
      </w:tr>
      <w:tr w:rsidR="00F65DE7" w:rsidRPr="00731FBA" w14:paraId="14D31CF0" w14:textId="77777777" w:rsidTr="00F65DE7">
        <w:trPr>
          <w:jc w:val="center"/>
        </w:trPr>
        <w:tc>
          <w:tcPr>
            <w:tcW w:w="1134" w:type="dxa"/>
            <w:vMerge/>
            <w:tcBorders>
              <w:left w:val="nil"/>
            </w:tcBorders>
            <w:vAlign w:val="center"/>
          </w:tcPr>
          <w:p w14:paraId="5532B7C8"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15C152BE"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RegCompG</w:t>
            </w:r>
            <w:proofErr w:type="spellEnd"/>
          </w:p>
        </w:tc>
        <w:tc>
          <w:tcPr>
            <w:tcW w:w="4253" w:type="dxa"/>
            <w:tcBorders>
              <w:right w:val="nil"/>
            </w:tcBorders>
            <w:vAlign w:val="center"/>
          </w:tcPr>
          <w:p w14:paraId="349009C2"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 xml:space="preserve">Proportion of </w:t>
            </w:r>
            <w:proofErr w:type="spellStart"/>
            <w:r w:rsidRPr="00731FBA">
              <w:rPr>
                <w:rFonts w:ascii="Times New Roman" w:eastAsia="等线" w:hAnsi="Times New Roman" w:cs="Times New Roman"/>
                <w:color w:val="000000"/>
                <w:sz w:val="21"/>
                <w:szCs w:val="21"/>
              </w:rPr>
              <w:t>Glycines</w:t>
            </w:r>
            <w:proofErr w:type="spellEnd"/>
            <w:r w:rsidRPr="00731FBA">
              <w:rPr>
                <w:rFonts w:ascii="Times New Roman" w:eastAsia="等线" w:hAnsi="Times New Roman" w:cs="Times New Roman"/>
                <w:color w:val="000000"/>
                <w:sz w:val="21"/>
                <w:szCs w:val="21"/>
              </w:rPr>
              <w:t xml:space="preserve"> in a 15-amino-acid-residue window centered on the reference/mutation amino acid position.</w:t>
            </w:r>
          </w:p>
        </w:tc>
      </w:tr>
      <w:tr w:rsidR="00F65DE7" w:rsidRPr="00731FBA" w14:paraId="79526B76" w14:textId="77777777" w:rsidTr="00F65DE7">
        <w:trPr>
          <w:jc w:val="center"/>
        </w:trPr>
        <w:tc>
          <w:tcPr>
            <w:tcW w:w="1134" w:type="dxa"/>
            <w:vMerge/>
            <w:tcBorders>
              <w:left w:val="nil"/>
            </w:tcBorders>
            <w:vAlign w:val="center"/>
          </w:tcPr>
          <w:p w14:paraId="0209E547"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50AD9036"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RegCompQ</w:t>
            </w:r>
            <w:proofErr w:type="spellEnd"/>
          </w:p>
        </w:tc>
        <w:tc>
          <w:tcPr>
            <w:tcW w:w="4253" w:type="dxa"/>
            <w:tcBorders>
              <w:right w:val="nil"/>
            </w:tcBorders>
            <w:vAlign w:val="center"/>
          </w:tcPr>
          <w:p w14:paraId="2D824309"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Proportion of Glutamines in a 15-amino-acid-residue window centered on the reference/mutation amino acid position.</w:t>
            </w:r>
          </w:p>
        </w:tc>
      </w:tr>
      <w:tr w:rsidR="00F65DE7" w:rsidRPr="00731FBA" w14:paraId="2B16A788" w14:textId="77777777" w:rsidTr="00F65DE7">
        <w:trPr>
          <w:jc w:val="center"/>
        </w:trPr>
        <w:tc>
          <w:tcPr>
            <w:tcW w:w="1134" w:type="dxa"/>
            <w:vMerge/>
            <w:tcBorders>
              <w:left w:val="nil"/>
            </w:tcBorders>
            <w:vAlign w:val="center"/>
          </w:tcPr>
          <w:p w14:paraId="69F17ABC"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6FFE7BA6"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RegCompILVM</w:t>
            </w:r>
            <w:proofErr w:type="spellEnd"/>
          </w:p>
        </w:tc>
        <w:tc>
          <w:tcPr>
            <w:tcW w:w="4253" w:type="dxa"/>
            <w:tcBorders>
              <w:right w:val="nil"/>
            </w:tcBorders>
            <w:vAlign w:val="center"/>
          </w:tcPr>
          <w:p w14:paraId="10DA8B17"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 xml:space="preserve">Proportion of </w:t>
            </w:r>
            <w:proofErr w:type="spellStart"/>
            <w:r w:rsidRPr="00731FBA">
              <w:rPr>
                <w:rFonts w:ascii="Times New Roman" w:eastAsia="等线" w:hAnsi="Times New Roman" w:cs="Times New Roman"/>
                <w:color w:val="000000"/>
                <w:sz w:val="21"/>
                <w:szCs w:val="21"/>
              </w:rPr>
              <w:t>Isoleucines</w:t>
            </w:r>
            <w:proofErr w:type="spellEnd"/>
            <w:r w:rsidRPr="00731FBA">
              <w:rPr>
                <w:rFonts w:ascii="Times New Roman" w:eastAsia="等线" w:hAnsi="Times New Roman" w:cs="Times New Roman"/>
                <w:color w:val="000000"/>
                <w:sz w:val="21"/>
                <w:szCs w:val="21"/>
              </w:rPr>
              <w:t xml:space="preserve">, </w:t>
            </w:r>
            <w:proofErr w:type="spellStart"/>
            <w:r w:rsidRPr="00731FBA">
              <w:rPr>
                <w:rFonts w:ascii="Times New Roman" w:eastAsia="等线" w:hAnsi="Times New Roman" w:cs="Times New Roman"/>
                <w:color w:val="000000"/>
                <w:sz w:val="21"/>
                <w:szCs w:val="21"/>
              </w:rPr>
              <w:t>Leucines</w:t>
            </w:r>
            <w:proofErr w:type="spellEnd"/>
            <w:r w:rsidRPr="00731FBA">
              <w:rPr>
                <w:rFonts w:ascii="Times New Roman" w:eastAsia="等线" w:hAnsi="Times New Roman" w:cs="Times New Roman"/>
                <w:color w:val="000000"/>
                <w:sz w:val="21"/>
                <w:szCs w:val="21"/>
              </w:rPr>
              <w:t xml:space="preserve">, Valines, and </w:t>
            </w:r>
            <w:proofErr w:type="spellStart"/>
            <w:r w:rsidRPr="00731FBA">
              <w:rPr>
                <w:rFonts w:ascii="Times New Roman" w:eastAsia="等线" w:hAnsi="Times New Roman" w:cs="Times New Roman"/>
                <w:color w:val="000000"/>
                <w:sz w:val="21"/>
                <w:szCs w:val="21"/>
              </w:rPr>
              <w:t>Methionines</w:t>
            </w:r>
            <w:proofErr w:type="spellEnd"/>
            <w:r w:rsidRPr="00731FBA">
              <w:rPr>
                <w:rFonts w:ascii="Times New Roman" w:eastAsia="等线" w:hAnsi="Times New Roman" w:cs="Times New Roman"/>
                <w:color w:val="000000"/>
                <w:sz w:val="21"/>
                <w:szCs w:val="21"/>
              </w:rPr>
              <w:t xml:space="preserve"> in a 15-amino-acid-residue window centered on the reference/mutation amino acid position.</w:t>
            </w:r>
          </w:p>
        </w:tc>
      </w:tr>
      <w:tr w:rsidR="00F65DE7" w:rsidRPr="00731FBA" w14:paraId="55E0DCE0" w14:textId="77777777" w:rsidTr="00F65DE7">
        <w:trPr>
          <w:jc w:val="center"/>
        </w:trPr>
        <w:tc>
          <w:tcPr>
            <w:tcW w:w="1134" w:type="dxa"/>
            <w:vMerge/>
            <w:tcBorders>
              <w:left w:val="nil"/>
            </w:tcBorders>
            <w:vAlign w:val="center"/>
          </w:tcPr>
          <w:p w14:paraId="1F25CC66"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081F1D2E"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RegCompWYF</w:t>
            </w:r>
            <w:proofErr w:type="spellEnd"/>
          </w:p>
        </w:tc>
        <w:tc>
          <w:tcPr>
            <w:tcW w:w="4253" w:type="dxa"/>
            <w:tcBorders>
              <w:right w:val="nil"/>
            </w:tcBorders>
            <w:vAlign w:val="center"/>
          </w:tcPr>
          <w:p w14:paraId="2CAF2310" w14:textId="77777777" w:rsidR="004325F4" w:rsidRPr="00731FBA" w:rsidRDefault="004325F4" w:rsidP="004325F4">
            <w:pPr>
              <w:widowControl/>
              <w:jc w:val="left"/>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 xml:space="preserve">Proportion of </w:t>
            </w:r>
            <w:proofErr w:type="spellStart"/>
            <w:r w:rsidRPr="00731FBA">
              <w:rPr>
                <w:rFonts w:ascii="Times New Roman" w:eastAsia="等线" w:hAnsi="Times New Roman" w:cs="Times New Roman"/>
                <w:color w:val="000000"/>
                <w:sz w:val="21"/>
                <w:szCs w:val="21"/>
              </w:rPr>
              <w:t>Tryptophans</w:t>
            </w:r>
            <w:proofErr w:type="spellEnd"/>
            <w:r w:rsidRPr="00731FBA">
              <w:rPr>
                <w:rFonts w:ascii="Times New Roman" w:eastAsia="等线" w:hAnsi="Times New Roman" w:cs="Times New Roman"/>
                <w:color w:val="000000"/>
                <w:sz w:val="21"/>
                <w:szCs w:val="21"/>
              </w:rPr>
              <w:t xml:space="preserve">, </w:t>
            </w:r>
            <w:proofErr w:type="spellStart"/>
            <w:r w:rsidRPr="00731FBA">
              <w:rPr>
                <w:rFonts w:ascii="Times New Roman" w:eastAsia="等线" w:hAnsi="Times New Roman" w:cs="Times New Roman"/>
                <w:color w:val="000000"/>
                <w:sz w:val="21"/>
                <w:szCs w:val="21"/>
              </w:rPr>
              <w:t>Tyrosines</w:t>
            </w:r>
            <w:proofErr w:type="spellEnd"/>
            <w:r w:rsidRPr="00731FBA">
              <w:rPr>
                <w:rFonts w:ascii="Times New Roman" w:eastAsia="等线" w:hAnsi="Times New Roman" w:cs="Times New Roman"/>
                <w:color w:val="000000"/>
                <w:sz w:val="21"/>
                <w:szCs w:val="21"/>
              </w:rPr>
              <w:t xml:space="preserve">, and </w:t>
            </w:r>
            <w:proofErr w:type="spellStart"/>
            <w:r w:rsidRPr="00731FBA">
              <w:rPr>
                <w:rFonts w:ascii="Times New Roman" w:eastAsia="等线" w:hAnsi="Times New Roman" w:cs="Times New Roman"/>
                <w:color w:val="000000"/>
                <w:sz w:val="21"/>
                <w:szCs w:val="21"/>
              </w:rPr>
              <w:t>Phenylalanines</w:t>
            </w:r>
            <w:proofErr w:type="spellEnd"/>
            <w:r w:rsidRPr="00731FBA">
              <w:rPr>
                <w:rFonts w:ascii="Times New Roman" w:eastAsia="等线" w:hAnsi="Times New Roman" w:cs="Times New Roman"/>
                <w:color w:val="000000"/>
                <w:sz w:val="21"/>
                <w:szCs w:val="21"/>
              </w:rPr>
              <w:t xml:space="preserve"> in a 15-amino-acid-residue window centered on the reference/mutation amino acid position.</w:t>
            </w:r>
          </w:p>
        </w:tc>
      </w:tr>
      <w:tr w:rsidR="00F65DE7" w:rsidRPr="00731FBA" w14:paraId="6187A391" w14:textId="77777777" w:rsidTr="00F65DE7">
        <w:trPr>
          <w:jc w:val="center"/>
        </w:trPr>
        <w:tc>
          <w:tcPr>
            <w:tcW w:w="1134" w:type="dxa"/>
            <w:vMerge w:val="restart"/>
            <w:tcBorders>
              <w:left w:val="nil"/>
            </w:tcBorders>
            <w:vAlign w:val="center"/>
          </w:tcPr>
          <w:p w14:paraId="4C1D000C" w14:textId="77777777" w:rsidR="004325F4" w:rsidRPr="00731FBA" w:rsidRDefault="004325F4" w:rsidP="00851887">
            <w:pPr>
              <w:pStyle w:val="a4"/>
              <w:spacing w:line="360" w:lineRule="auto"/>
              <w:jc w:val="center"/>
              <w:rPr>
                <w:rFonts w:ascii="Times New Roman" w:hAnsi="Times New Roman" w:cs="Times New Roman"/>
                <w:sz w:val="21"/>
                <w:szCs w:val="21"/>
              </w:rPr>
            </w:pPr>
            <w:bookmarkStart w:id="1" w:name="_GoBack"/>
            <w:bookmarkEnd w:id="1"/>
            <w:r w:rsidRPr="00731FBA">
              <w:rPr>
                <w:rFonts w:ascii="Times New Roman" w:eastAsia="宋体" w:hAnsi="Times New Roman" w:cs="Times New Roman"/>
                <w:sz w:val="21"/>
                <w:szCs w:val="21"/>
              </w:rPr>
              <w:t>UniProt</w:t>
            </w:r>
          </w:p>
        </w:tc>
        <w:tc>
          <w:tcPr>
            <w:tcW w:w="2410" w:type="dxa"/>
            <w:vAlign w:val="center"/>
          </w:tcPr>
          <w:p w14:paraId="0F97A322" w14:textId="77777777" w:rsidR="004325F4" w:rsidRPr="00A234D8" w:rsidRDefault="004325F4" w:rsidP="004325F4">
            <w:pPr>
              <w:spacing w:line="360" w:lineRule="auto"/>
              <w:jc w:val="left"/>
              <w:rPr>
                <w:rFonts w:ascii="Times New Roman" w:eastAsia="宋体" w:hAnsi="Times New Roman" w:cs="Times New Roman"/>
                <w:b/>
                <w:sz w:val="21"/>
                <w:szCs w:val="21"/>
              </w:rPr>
            </w:pPr>
            <w:proofErr w:type="spellStart"/>
            <w:r w:rsidRPr="00A234D8">
              <w:rPr>
                <w:rFonts w:ascii="Times New Roman" w:eastAsia="宋体" w:hAnsi="Times New Roman" w:cs="Times New Roman"/>
                <w:b/>
                <w:sz w:val="21"/>
                <w:szCs w:val="21"/>
              </w:rPr>
              <w:t>UniprotCARBOHYD</w:t>
            </w:r>
            <w:proofErr w:type="spellEnd"/>
          </w:p>
        </w:tc>
        <w:tc>
          <w:tcPr>
            <w:tcW w:w="4253" w:type="dxa"/>
            <w:tcBorders>
              <w:right w:val="nil"/>
            </w:tcBorders>
            <w:vAlign w:val="center"/>
          </w:tcPr>
          <w:p w14:paraId="4759F7E3"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Carbohydrate binding site.</w:t>
            </w:r>
          </w:p>
        </w:tc>
      </w:tr>
      <w:tr w:rsidR="00F65DE7" w:rsidRPr="00731FBA" w14:paraId="7B8A1B00" w14:textId="77777777" w:rsidTr="00F65DE7">
        <w:trPr>
          <w:jc w:val="center"/>
        </w:trPr>
        <w:tc>
          <w:tcPr>
            <w:tcW w:w="1134" w:type="dxa"/>
            <w:vMerge/>
            <w:tcBorders>
              <w:left w:val="nil"/>
            </w:tcBorders>
            <w:vAlign w:val="center"/>
          </w:tcPr>
          <w:p w14:paraId="2B9AE54B"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705B2C22"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UniprotZNFINGER</w:t>
            </w:r>
            <w:proofErr w:type="spellEnd"/>
          </w:p>
        </w:tc>
        <w:tc>
          <w:tcPr>
            <w:tcW w:w="4253" w:type="dxa"/>
            <w:tcBorders>
              <w:right w:val="nil"/>
            </w:tcBorders>
            <w:vAlign w:val="center"/>
          </w:tcPr>
          <w:p w14:paraId="74B915E6"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Site in a zinc finger.</w:t>
            </w:r>
          </w:p>
        </w:tc>
      </w:tr>
      <w:tr w:rsidR="00F65DE7" w:rsidRPr="00731FBA" w14:paraId="6DB76A30" w14:textId="77777777" w:rsidTr="00F65DE7">
        <w:trPr>
          <w:jc w:val="center"/>
        </w:trPr>
        <w:tc>
          <w:tcPr>
            <w:tcW w:w="1134" w:type="dxa"/>
            <w:vMerge/>
            <w:tcBorders>
              <w:left w:val="nil"/>
            </w:tcBorders>
            <w:vAlign w:val="center"/>
          </w:tcPr>
          <w:p w14:paraId="7C3AD857"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788A7FDB"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UniprotACTSITE</w:t>
            </w:r>
            <w:proofErr w:type="spellEnd"/>
          </w:p>
        </w:tc>
        <w:tc>
          <w:tcPr>
            <w:tcW w:w="4253" w:type="dxa"/>
            <w:tcBorders>
              <w:right w:val="nil"/>
            </w:tcBorders>
            <w:vAlign w:val="center"/>
          </w:tcPr>
          <w:p w14:paraId="7457F74E"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Sites involved in enzymatic activity.</w:t>
            </w:r>
          </w:p>
        </w:tc>
      </w:tr>
      <w:tr w:rsidR="00F65DE7" w:rsidRPr="00731FBA" w14:paraId="1FDB35D1" w14:textId="77777777" w:rsidTr="00F65DE7">
        <w:trPr>
          <w:jc w:val="center"/>
        </w:trPr>
        <w:tc>
          <w:tcPr>
            <w:tcW w:w="1134" w:type="dxa"/>
            <w:vMerge/>
            <w:tcBorders>
              <w:left w:val="nil"/>
            </w:tcBorders>
            <w:vAlign w:val="center"/>
          </w:tcPr>
          <w:p w14:paraId="3071A135"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12424C24" w14:textId="77777777" w:rsidR="004325F4" w:rsidRPr="00A234D8" w:rsidRDefault="004325F4" w:rsidP="004325F4">
            <w:pPr>
              <w:spacing w:line="360" w:lineRule="auto"/>
              <w:jc w:val="left"/>
              <w:rPr>
                <w:rFonts w:ascii="Times New Roman" w:eastAsia="宋体" w:hAnsi="Times New Roman" w:cs="Times New Roman"/>
                <w:b/>
                <w:sz w:val="21"/>
                <w:szCs w:val="21"/>
              </w:rPr>
            </w:pPr>
            <w:proofErr w:type="spellStart"/>
            <w:r w:rsidRPr="00A234D8">
              <w:rPr>
                <w:rFonts w:ascii="Times New Roman" w:eastAsia="宋体" w:hAnsi="Times New Roman" w:cs="Times New Roman"/>
                <w:b/>
                <w:sz w:val="21"/>
                <w:szCs w:val="21"/>
              </w:rPr>
              <w:t>UniprotMETAL</w:t>
            </w:r>
            <w:proofErr w:type="spellEnd"/>
          </w:p>
        </w:tc>
        <w:tc>
          <w:tcPr>
            <w:tcW w:w="4253" w:type="dxa"/>
            <w:tcBorders>
              <w:right w:val="nil"/>
            </w:tcBorders>
            <w:vAlign w:val="center"/>
          </w:tcPr>
          <w:p w14:paraId="146FCB69"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Metal binding site.</w:t>
            </w:r>
          </w:p>
        </w:tc>
      </w:tr>
      <w:tr w:rsidR="00F65DE7" w:rsidRPr="00731FBA" w14:paraId="59B81AEE" w14:textId="77777777" w:rsidTr="00F65DE7">
        <w:trPr>
          <w:jc w:val="center"/>
        </w:trPr>
        <w:tc>
          <w:tcPr>
            <w:tcW w:w="1134" w:type="dxa"/>
            <w:vMerge/>
            <w:tcBorders>
              <w:left w:val="nil"/>
            </w:tcBorders>
            <w:vAlign w:val="center"/>
          </w:tcPr>
          <w:p w14:paraId="37AC4F05"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68604037" w14:textId="77777777" w:rsidR="004325F4" w:rsidRPr="00A234D8" w:rsidRDefault="004325F4" w:rsidP="004325F4">
            <w:pPr>
              <w:spacing w:line="360" w:lineRule="auto"/>
              <w:jc w:val="left"/>
              <w:rPr>
                <w:rFonts w:ascii="Times New Roman" w:eastAsia="宋体" w:hAnsi="Times New Roman" w:cs="Times New Roman"/>
                <w:b/>
                <w:sz w:val="21"/>
                <w:szCs w:val="21"/>
              </w:rPr>
            </w:pPr>
            <w:proofErr w:type="spellStart"/>
            <w:r w:rsidRPr="00A234D8">
              <w:rPr>
                <w:rFonts w:ascii="Times New Roman" w:eastAsia="宋体" w:hAnsi="Times New Roman" w:cs="Times New Roman"/>
                <w:b/>
                <w:sz w:val="21"/>
                <w:szCs w:val="21"/>
              </w:rPr>
              <w:t>UniprotREP</w:t>
            </w:r>
            <w:proofErr w:type="spellEnd"/>
          </w:p>
        </w:tc>
        <w:tc>
          <w:tcPr>
            <w:tcW w:w="4253" w:type="dxa"/>
            <w:tcBorders>
              <w:right w:val="nil"/>
            </w:tcBorders>
            <w:vAlign w:val="center"/>
          </w:tcPr>
          <w:p w14:paraId="4F8C702C"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Repeat region.</w:t>
            </w:r>
          </w:p>
        </w:tc>
      </w:tr>
      <w:tr w:rsidR="00F65DE7" w:rsidRPr="00731FBA" w14:paraId="7F566B02" w14:textId="77777777" w:rsidTr="00F65DE7">
        <w:trPr>
          <w:jc w:val="center"/>
        </w:trPr>
        <w:tc>
          <w:tcPr>
            <w:tcW w:w="1134" w:type="dxa"/>
            <w:vMerge/>
            <w:tcBorders>
              <w:left w:val="nil"/>
            </w:tcBorders>
            <w:vAlign w:val="center"/>
          </w:tcPr>
          <w:p w14:paraId="06EDF93A"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727ED499"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UniprotMOTIF</w:t>
            </w:r>
            <w:proofErr w:type="spellEnd"/>
          </w:p>
        </w:tc>
        <w:tc>
          <w:tcPr>
            <w:tcW w:w="4253" w:type="dxa"/>
            <w:tcBorders>
              <w:right w:val="nil"/>
            </w:tcBorders>
            <w:vAlign w:val="center"/>
          </w:tcPr>
          <w:p w14:paraId="06AEEA12"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Site of known functional motif.</w:t>
            </w:r>
          </w:p>
        </w:tc>
      </w:tr>
      <w:tr w:rsidR="00F65DE7" w:rsidRPr="00731FBA" w14:paraId="21E75082" w14:textId="77777777" w:rsidTr="00F65DE7">
        <w:trPr>
          <w:jc w:val="center"/>
        </w:trPr>
        <w:tc>
          <w:tcPr>
            <w:tcW w:w="1134" w:type="dxa"/>
            <w:vMerge/>
            <w:tcBorders>
              <w:left w:val="nil"/>
            </w:tcBorders>
            <w:vAlign w:val="center"/>
          </w:tcPr>
          <w:p w14:paraId="31542DF4"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0573B7CB"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UniprotSECYS</w:t>
            </w:r>
            <w:proofErr w:type="spellEnd"/>
          </w:p>
        </w:tc>
        <w:tc>
          <w:tcPr>
            <w:tcW w:w="4253" w:type="dxa"/>
            <w:tcBorders>
              <w:right w:val="nil"/>
            </w:tcBorders>
            <w:vAlign w:val="center"/>
          </w:tcPr>
          <w:p w14:paraId="435EAB88"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 xml:space="preserve">Site of a </w:t>
            </w:r>
            <w:proofErr w:type="spellStart"/>
            <w:r w:rsidRPr="00731FBA">
              <w:rPr>
                <w:rFonts w:ascii="Times New Roman" w:eastAsia="等线" w:hAnsi="Times New Roman" w:cs="Times New Roman"/>
                <w:color w:val="000000"/>
                <w:sz w:val="21"/>
                <w:szCs w:val="21"/>
              </w:rPr>
              <w:t>selenocystein</w:t>
            </w:r>
            <w:proofErr w:type="spellEnd"/>
            <w:r w:rsidRPr="00731FBA">
              <w:rPr>
                <w:rFonts w:ascii="Times New Roman" w:eastAsia="等线" w:hAnsi="Times New Roman" w:cs="Times New Roman"/>
                <w:color w:val="000000"/>
                <w:sz w:val="21"/>
                <w:szCs w:val="21"/>
              </w:rPr>
              <w:t>.</w:t>
            </w:r>
          </w:p>
        </w:tc>
      </w:tr>
      <w:tr w:rsidR="00F65DE7" w:rsidRPr="00731FBA" w14:paraId="5536F729" w14:textId="77777777" w:rsidTr="00F65DE7">
        <w:trPr>
          <w:jc w:val="center"/>
        </w:trPr>
        <w:tc>
          <w:tcPr>
            <w:tcW w:w="1134" w:type="dxa"/>
            <w:vMerge/>
            <w:tcBorders>
              <w:left w:val="nil"/>
            </w:tcBorders>
            <w:vAlign w:val="center"/>
          </w:tcPr>
          <w:p w14:paraId="4208455F"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525A258D"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UniprotDISULFID</w:t>
            </w:r>
            <w:proofErr w:type="spellEnd"/>
          </w:p>
        </w:tc>
        <w:tc>
          <w:tcPr>
            <w:tcW w:w="4253" w:type="dxa"/>
            <w:tcBorders>
              <w:right w:val="nil"/>
            </w:tcBorders>
            <w:vAlign w:val="center"/>
          </w:tcPr>
          <w:p w14:paraId="675F7C78"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Site of disulfide bond.</w:t>
            </w:r>
          </w:p>
        </w:tc>
      </w:tr>
      <w:tr w:rsidR="00F65DE7" w:rsidRPr="00731FBA" w14:paraId="1669FC55" w14:textId="77777777" w:rsidTr="00F65DE7">
        <w:trPr>
          <w:jc w:val="center"/>
        </w:trPr>
        <w:tc>
          <w:tcPr>
            <w:tcW w:w="1134" w:type="dxa"/>
            <w:vMerge/>
            <w:tcBorders>
              <w:left w:val="nil"/>
            </w:tcBorders>
            <w:vAlign w:val="center"/>
          </w:tcPr>
          <w:p w14:paraId="38B4CB7E"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0AEF7452"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UniprotLIPID</w:t>
            </w:r>
            <w:proofErr w:type="spellEnd"/>
          </w:p>
        </w:tc>
        <w:tc>
          <w:tcPr>
            <w:tcW w:w="4253" w:type="dxa"/>
            <w:tcBorders>
              <w:right w:val="nil"/>
            </w:tcBorders>
            <w:vAlign w:val="center"/>
          </w:tcPr>
          <w:p w14:paraId="1F4E3593"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Lipid binding site.</w:t>
            </w:r>
          </w:p>
        </w:tc>
      </w:tr>
      <w:tr w:rsidR="00F65DE7" w:rsidRPr="00731FBA" w14:paraId="3D9A6479" w14:textId="77777777" w:rsidTr="00F65DE7">
        <w:trPr>
          <w:jc w:val="center"/>
        </w:trPr>
        <w:tc>
          <w:tcPr>
            <w:tcW w:w="1134" w:type="dxa"/>
            <w:vMerge/>
            <w:tcBorders>
              <w:left w:val="nil"/>
            </w:tcBorders>
            <w:vAlign w:val="center"/>
          </w:tcPr>
          <w:p w14:paraId="7B01F7A2"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1585E8E2"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UniprotSIGNAL</w:t>
            </w:r>
            <w:proofErr w:type="spellEnd"/>
          </w:p>
        </w:tc>
        <w:tc>
          <w:tcPr>
            <w:tcW w:w="4253" w:type="dxa"/>
            <w:tcBorders>
              <w:right w:val="nil"/>
            </w:tcBorders>
            <w:vAlign w:val="center"/>
          </w:tcPr>
          <w:p w14:paraId="4D43D049"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Site of localization signal (protein targeted to secretory pathway or periplasm).</w:t>
            </w:r>
          </w:p>
        </w:tc>
      </w:tr>
      <w:tr w:rsidR="00F65DE7" w:rsidRPr="00731FBA" w14:paraId="1E04AAA0" w14:textId="77777777" w:rsidTr="00F65DE7">
        <w:trPr>
          <w:jc w:val="center"/>
        </w:trPr>
        <w:tc>
          <w:tcPr>
            <w:tcW w:w="1134" w:type="dxa"/>
            <w:vMerge/>
            <w:tcBorders>
              <w:left w:val="nil"/>
            </w:tcBorders>
            <w:vAlign w:val="center"/>
          </w:tcPr>
          <w:p w14:paraId="670D5BA2"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0681425A"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UniprotCABIND</w:t>
            </w:r>
            <w:proofErr w:type="spellEnd"/>
          </w:p>
        </w:tc>
        <w:tc>
          <w:tcPr>
            <w:tcW w:w="4253" w:type="dxa"/>
            <w:tcBorders>
              <w:right w:val="nil"/>
            </w:tcBorders>
            <w:vAlign w:val="center"/>
          </w:tcPr>
          <w:p w14:paraId="27DB2AC6"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Calcium binding site.</w:t>
            </w:r>
          </w:p>
        </w:tc>
      </w:tr>
      <w:tr w:rsidR="00F65DE7" w:rsidRPr="00731FBA" w14:paraId="4F5466FD" w14:textId="77777777" w:rsidTr="00F65DE7">
        <w:trPr>
          <w:jc w:val="center"/>
        </w:trPr>
        <w:tc>
          <w:tcPr>
            <w:tcW w:w="1134" w:type="dxa"/>
            <w:vMerge/>
            <w:tcBorders>
              <w:left w:val="nil"/>
            </w:tcBorders>
            <w:vAlign w:val="center"/>
          </w:tcPr>
          <w:p w14:paraId="3412748C"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430DF015"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UniprotPROPEP</w:t>
            </w:r>
            <w:proofErr w:type="spellEnd"/>
          </w:p>
        </w:tc>
        <w:tc>
          <w:tcPr>
            <w:tcW w:w="4253" w:type="dxa"/>
            <w:tcBorders>
              <w:right w:val="nil"/>
            </w:tcBorders>
            <w:vAlign w:val="center"/>
          </w:tcPr>
          <w:p w14:paraId="08C02B93"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 xml:space="preserve">Site in the </w:t>
            </w:r>
            <w:proofErr w:type="spellStart"/>
            <w:r w:rsidRPr="00731FBA">
              <w:rPr>
                <w:rFonts w:ascii="Times New Roman" w:eastAsia="等线" w:hAnsi="Times New Roman" w:cs="Times New Roman"/>
                <w:color w:val="000000"/>
                <w:sz w:val="21"/>
                <w:szCs w:val="21"/>
              </w:rPr>
              <w:t>propeptide</w:t>
            </w:r>
            <w:proofErr w:type="spellEnd"/>
            <w:r w:rsidRPr="00731FBA">
              <w:rPr>
                <w:rFonts w:ascii="Times New Roman" w:eastAsia="等线" w:hAnsi="Times New Roman" w:cs="Times New Roman"/>
                <w:color w:val="000000"/>
                <w:sz w:val="21"/>
                <w:szCs w:val="21"/>
              </w:rPr>
              <w:t xml:space="preserve"> (cleaved in mature protein).</w:t>
            </w:r>
          </w:p>
        </w:tc>
      </w:tr>
      <w:tr w:rsidR="00F65DE7" w:rsidRPr="00731FBA" w14:paraId="20EE6FF7" w14:textId="77777777" w:rsidTr="00F65DE7">
        <w:trPr>
          <w:jc w:val="center"/>
        </w:trPr>
        <w:tc>
          <w:tcPr>
            <w:tcW w:w="1134" w:type="dxa"/>
            <w:vMerge/>
            <w:tcBorders>
              <w:left w:val="nil"/>
            </w:tcBorders>
            <w:vAlign w:val="center"/>
          </w:tcPr>
          <w:p w14:paraId="73FFE7C6"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3B6B9E67"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UniprotSITE</w:t>
            </w:r>
            <w:proofErr w:type="spellEnd"/>
          </w:p>
        </w:tc>
        <w:tc>
          <w:tcPr>
            <w:tcW w:w="4253" w:type="dxa"/>
            <w:tcBorders>
              <w:right w:val="nil"/>
            </w:tcBorders>
            <w:vAlign w:val="center"/>
          </w:tcPr>
          <w:p w14:paraId="2AA8987B"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An interesting amino acid site in the protein sequence.</w:t>
            </w:r>
          </w:p>
        </w:tc>
      </w:tr>
      <w:tr w:rsidR="00F65DE7" w:rsidRPr="00731FBA" w14:paraId="23A7398D" w14:textId="77777777" w:rsidTr="00F65DE7">
        <w:trPr>
          <w:jc w:val="center"/>
        </w:trPr>
        <w:tc>
          <w:tcPr>
            <w:tcW w:w="1134" w:type="dxa"/>
            <w:vMerge/>
            <w:tcBorders>
              <w:left w:val="nil"/>
            </w:tcBorders>
            <w:vAlign w:val="center"/>
          </w:tcPr>
          <w:p w14:paraId="764A22EE"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152AFA40"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UniprotBINDING</w:t>
            </w:r>
            <w:proofErr w:type="spellEnd"/>
          </w:p>
        </w:tc>
        <w:tc>
          <w:tcPr>
            <w:tcW w:w="4253" w:type="dxa"/>
            <w:tcBorders>
              <w:right w:val="nil"/>
            </w:tcBorders>
            <w:vAlign w:val="center"/>
          </w:tcPr>
          <w:p w14:paraId="2CCF3168"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Binding sites.</w:t>
            </w:r>
          </w:p>
        </w:tc>
      </w:tr>
      <w:tr w:rsidR="00F65DE7" w:rsidRPr="00731FBA" w14:paraId="40DE4774" w14:textId="77777777" w:rsidTr="00F65DE7">
        <w:trPr>
          <w:jc w:val="center"/>
        </w:trPr>
        <w:tc>
          <w:tcPr>
            <w:tcW w:w="1134" w:type="dxa"/>
            <w:vMerge/>
            <w:tcBorders>
              <w:left w:val="nil"/>
            </w:tcBorders>
            <w:vAlign w:val="center"/>
          </w:tcPr>
          <w:p w14:paraId="615796BC"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783E9332"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UniprotMODRES</w:t>
            </w:r>
            <w:proofErr w:type="spellEnd"/>
          </w:p>
        </w:tc>
        <w:tc>
          <w:tcPr>
            <w:tcW w:w="4253" w:type="dxa"/>
            <w:tcBorders>
              <w:right w:val="nil"/>
            </w:tcBorders>
            <w:vAlign w:val="center"/>
          </w:tcPr>
          <w:p w14:paraId="13A1CA65"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Site of modified residue.</w:t>
            </w:r>
          </w:p>
        </w:tc>
      </w:tr>
      <w:tr w:rsidR="00F65DE7" w:rsidRPr="00731FBA" w14:paraId="69651614" w14:textId="77777777" w:rsidTr="00F65DE7">
        <w:trPr>
          <w:jc w:val="center"/>
        </w:trPr>
        <w:tc>
          <w:tcPr>
            <w:tcW w:w="1134" w:type="dxa"/>
            <w:vMerge/>
            <w:tcBorders>
              <w:left w:val="nil"/>
            </w:tcBorders>
            <w:vAlign w:val="center"/>
          </w:tcPr>
          <w:p w14:paraId="2A6800E9"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72F7C754"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UniprotDNABIND</w:t>
            </w:r>
            <w:proofErr w:type="spellEnd"/>
          </w:p>
        </w:tc>
        <w:tc>
          <w:tcPr>
            <w:tcW w:w="4253" w:type="dxa"/>
            <w:tcBorders>
              <w:right w:val="nil"/>
            </w:tcBorders>
            <w:vAlign w:val="center"/>
          </w:tcPr>
          <w:p w14:paraId="26A6D5CE"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DNA binding site.</w:t>
            </w:r>
          </w:p>
        </w:tc>
      </w:tr>
      <w:tr w:rsidR="00F65DE7" w:rsidRPr="00731FBA" w14:paraId="5F2A7E39" w14:textId="77777777" w:rsidTr="00F65DE7">
        <w:trPr>
          <w:jc w:val="center"/>
        </w:trPr>
        <w:tc>
          <w:tcPr>
            <w:tcW w:w="1134" w:type="dxa"/>
            <w:vMerge/>
            <w:tcBorders>
              <w:left w:val="nil"/>
            </w:tcBorders>
            <w:vAlign w:val="center"/>
          </w:tcPr>
          <w:p w14:paraId="660CD9BA"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160993F5"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UniprotNPBIND</w:t>
            </w:r>
            <w:proofErr w:type="spellEnd"/>
          </w:p>
        </w:tc>
        <w:tc>
          <w:tcPr>
            <w:tcW w:w="4253" w:type="dxa"/>
            <w:tcBorders>
              <w:right w:val="nil"/>
            </w:tcBorders>
            <w:vAlign w:val="center"/>
          </w:tcPr>
          <w:p w14:paraId="087DDA40"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 xml:space="preserve">Nucleotide </w:t>
            </w:r>
            <w:proofErr w:type="spellStart"/>
            <w:r w:rsidRPr="00731FBA">
              <w:rPr>
                <w:rFonts w:ascii="Times New Roman" w:eastAsia="等线" w:hAnsi="Times New Roman" w:cs="Times New Roman"/>
                <w:color w:val="000000"/>
                <w:sz w:val="21"/>
                <w:szCs w:val="21"/>
              </w:rPr>
              <w:t>phosphatebinding</w:t>
            </w:r>
            <w:proofErr w:type="spellEnd"/>
            <w:r w:rsidRPr="00731FBA">
              <w:rPr>
                <w:rFonts w:ascii="Times New Roman" w:eastAsia="等线" w:hAnsi="Times New Roman" w:cs="Times New Roman"/>
                <w:color w:val="000000"/>
                <w:sz w:val="21"/>
                <w:szCs w:val="21"/>
              </w:rPr>
              <w:t xml:space="preserve"> region.</w:t>
            </w:r>
          </w:p>
        </w:tc>
      </w:tr>
      <w:tr w:rsidR="00F65DE7" w:rsidRPr="00731FBA" w14:paraId="5306ABCD" w14:textId="77777777" w:rsidTr="00F65DE7">
        <w:trPr>
          <w:jc w:val="center"/>
        </w:trPr>
        <w:tc>
          <w:tcPr>
            <w:tcW w:w="1134" w:type="dxa"/>
            <w:vMerge/>
            <w:tcBorders>
              <w:left w:val="nil"/>
            </w:tcBorders>
            <w:vAlign w:val="center"/>
          </w:tcPr>
          <w:p w14:paraId="7C393AA7"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3A8C12BA"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UniprotTRANSMEM</w:t>
            </w:r>
            <w:proofErr w:type="spellEnd"/>
          </w:p>
        </w:tc>
        <w:tc>
          <w:tcPr>
            <w:tcW w:w="4253" w:type="dxa"/>
            <w:tcBorders>
              <w:right w:val="nil"/>
            </w:tcBorders>
            <w:vAlign w:val="center"/>
          </w:tcPr>
          <w:p w14:paraId="2AB73F5D"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Transmembrane region.</w:t>
            </w:r>
          </w:p>
        </w:tc>
      </w:tr>
      <w:tr w:rsidR="00F65DE7" w:rsidRPr="00731FBA" w14:paraId="33525C44" w14:textId="77777777" w:rsidTr="00F65DE7">
        <w:trPr>
          <w:jc w:val="center"/>
        </w:trPr>
        <w:tc>
          <w:tcPr>
            <w:tcW w:w="1134" w:type="dxa"/>
            <w:vMerge/>
            <w:tcBorders>
              <w:left w:val="nil"/>
            </w:tcBorders>
            <w:vAlign w:val="center"/>
          </w:tcPr>
          <w:p w14:paraId="41F9A938" w14:textId="77777777" w:rsidR="004325F4" w:rsidRPr="00731FBA" w:rsidRDefault="004325F4" w:rsidP="00851887">
            <w:pPr>
              <w:pStyle w:val="a4"/>
              <w:spacing w:line="360" w:lineRule="auto"/>
              <w:jc w:val="center"/>
              <w:rPr>
                <w:rFonts w:ascii="Times New Roman" w:hAnsi="Times New Roman" w:cs="Times New Roman"/>
                <w:sz w:val="21"/>
                <w:szCs w:val="21"/>
              </w:rPr>
            </w:pPr>
          </w:p>
        </w:tc>
        <w:tc>
          <w:tcPr>
            <w:tcW w:w="2410" w:type="dxa"/>
            <w:vAlign w:val="center"/>
          </w:tcPr>
          <w:p w14:paraId="21DDA9B4" w14:textId="77777777" w:rsidR="004325F4" w:rsidRPr="00731FBA" w:rsidRDefault="004325F4" w:rsidP="004325F4">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UniprotCOMPBIAS</w:t>
            </w:r>
            <w:proofErr w:type="spellEnd"/>
          </w:p>
        </w:tc>
        <w:tc>
          <w:tcPr>
            <w:tcW w:w="4253" w:type="dxa"/>
            <w:tcBorders>
              <w:right w:val="nil"/>
            </w:tcBorders>
            <w:vAlign w:val="center"/>
          </w:tcPr>
          <w:p w14:paraId="4FC4287E" w14:textId="77777777" w:rsidR="004325F4" w:rsidRPr="00731FBA" w:rsidRDefault="004325F4" w:rsidP="004325F4">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Compositionally biased region.</w:t>
            </w:r>
          </w:p>
        </w:tc>
      </w:tr>
      <w:tr w:rsidR="00F65DE7" w:rsidRPr="00731FBA" w14:paraId="1E8C3504" w14:textId="77777777" w:rsidTr="00F65DE7">
        <w:trPr>
          <w:jc w:val="center"/>
        </w:trPr>
        <w:tc>
          <w:tcPr>
            <w:tcW w:w="1134" w:type="dxa"/>
            <w:vMerge/>
            <w:tcBorders>
              <w:left w:val="nil"/>
            </w:tcBorders>
            <w:vAlign w:val="center"/>
          </w:tcPr>
          <w:p w14:paraId="79AA6528" w14:textId="77777777" w:rsidR="00950B57" w:rsidRPr="00731FBA" w:rsidRDefault="00950B57" w:rsidP="00851887">
            <w:pPr>
              <w:pStyle w:val="a4"/>
              <w:spacing w:line="360" w:lineRule="auto"/>
              <w:jc w:val="center"/>
              <w:rPr>
                <w:rFonts w:ascii="Times New Roman" w:hAnsi="Times New Roman" w:cs="Times New Roman"/>
                <w:sz w:val="21"/>
                <w:szCs w:val="21"/>
              </w:rPr>
            </w:pPr>
            <w:bookmarkStart w:id="2" w:name="_Hlk55755034"/>
          </w:p>
        </w:tc>
        <w:tc>
          <w:tcPr>
            <w:tcW w:w="2410" w:type="dxa"/>
            <w:vAlign w:val="center"/>
          </w:tcPr>
          <w:p w14:paraId="18F7A22D" w14:textId="77777777" w:rsidR="00950B57" w:rsidRPr="00A234D8" w:rsidRDefault="00950B57" w:rsidP="00950B57">
            <w:pPr>
              <w:spacing w:line="360" w:lineRule="auto"/>
              <w:jc w:val="left"/>
              <w:rPr>
                <w:rFonts w:ascii="Times New Roman" w:eastAsia="宋体" w:hAnsi="Times New Roman" w:cs="Times New Roman"/>
                <w:b/>
                <w:sz w:val="21"/>
                <w:szCs w:val="21"/>
              </w:rPr>
            </w:pPr>
            <w:proofErr w:type="spellStart"/>
            <w:r w:rsidRPr="00A234D8">
              <w:rPr>
                <w:rFonts w:ascii="Times New Roman" w:eastAsia="宋体" w:hAnsi="Times New Roman" w:cs="Times New Roman"/>
                <w:b/>
                <w:sz w:val="21"/>
                <w:szCs w:val="21"/>
              </w:rPr>
              <w:t>UniprotDOM_PostModEnz</w:t>
            </w:r>
            <w:proofErr w:type="spellEnd"/>
          </w:p>
        </w:tc>
        <w:tc>
          <w:tcPr>
            <w:tcW w:w="4253" w:type="dxa"/>
            <w:tcBorders>
              <w:right w:val="nil"/>
            </w:tcBorders>
            <w:vAlign w:val="center"/>
          </w:tcPr>
          <w:p w14:paraId="6F154886" w14:textId="77777777" w:rsidR="00950B57" w:rsidRPr="00731FBA" w:rsidRDefault="00950B57" w:rsidP="00950B57">
            <w:pPr>
              <w:widowControl/>
              <w:jc w:val="left"/>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Site in an enzymatic domain responsible for any kind of post-translational modification</w:t>
            </w:r>
          </w:p>
        </w:tc>
      </w:tr>
      <w:tr w:rsidR="00F65DE7" w:rsidRPr="00731FBA" w14:paraId="09313BF2" w14:textId="77777777" w:rsidTr="00F65DE7">
        <w:trPr>
          <w:jc w:val="center"/>
        </w:trPr>
        <w:tc>
          <w:tcPr>
            <w:tcW w:w="1134" w:type="dxa"/>
            <w:vMerge/>
            <w:tcBorders>
              <w:left w:val="nil"/>
            </w:tcBorders>
            <w:vAlign w:val="center"/>
          </w:tcPr>
          <w:p w14:paraId="03DAA982" w14:textId="77777777" w:rsidR="00950B57" w:rsidRPr="00731FBA" w:rsidRDefault="00950B57" w:rsidP="00851887">
            <w:pPr>
              <w:pStyle w:val="a4"/>
              <w:spacing w:line="360" w:lineRule="auto"/>
              <w:jc w:val="center"/>
              <w:rPr>
                <w:rFonts w:ascii="Times New Roman" w:hAnsi="Times New Roman" w:cs="Times New Roman"/>
                <w:sz w:val="21"/>
                <w:szCs w:val="21"/>
              </w:rPr>
            </w:pPr>
          </w:p>
        </w:tc>
        <w:tc>
          <w:tcPr>
            <w:tcW w:w="2410" w:type="dxa"/>
            <w:vAlign w:val="center"/>
          </w:tcPr>
          <w:p w14:paraId="76A5858A" w14:textId="77777777" w:rsidR="00950B57" w:rsidRPr="00731FBA" w:rsidRDefault="00950B57" w:rsidP="00950B57">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UniprotDOM_PostModRec</w:t>
            </w:r>
            <w:proofErr w:type="spellEnd"/>
          </w:p>
        </w:tc>
        <w:tc>
          <w:tcPr>
            <w:tcW w:w="4253" w:type="dxa"/>
            <w:tcBorders>
              <w:right w:val="nil"/>
            </w:tcBorders>
            <w:vAlign w:val="center"/>
          </w:tcPr>
          <w:p w14:paraId="4700EA81" w14:textId="77777777" w:rsidR="00950B57" w:rsidRPr="00731FBA" w:rsidRDefault="00950B57" w:rsidP="00950B57">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 xml:space="preserve">Site in a domain that recognizes a </w:t>
            </w:r>
            <w:proofErr w:type="spellStart"/>
            <w:r w:rsidRPr="00731FBA">
              <w:rPr>
                <w:rFonts w:ascii="Times New Roman" w:eastAsia="等线" w:hAnsi="Times New Roman" w:cs="Times New Roman"/>
                <w:color w:val="000000"/>
                <w:sz w:val="21"/>
                <w:szCs w:val="21"/>
              </w:rPr>
              <w:t>posttranslationally</w:t>
            </w:r>
            <w:proofErr w:type="spellEnd"/>
            <w:r w:rsidRPr="00731FBA">
              <w:rPr>
                <w:rFonts w:ascii="Times New Roman" w:eastAsia="等线" w:hAnsi="Times New Roman" w:cs="Times New Roman"/>
                <w:color w:val="000000"/>
                <w:sz w:val="21"/>
                <w:szCs w:val="21"/>
              </w:rPr>
              <w:t xml:space="preserve"> modified residue</w:t>
            </w:r>
          </w:p>
        </w:tc>
      </w:tr>
      <w:tr w:rsidR="00F65DE7" w:rsidRPr="00731FBA" w14:paraId="1ED3AF01" w14:textId="77777777" w:rsidTr="00F65DE7">
        <w:trPr>
          <w:jc w:val="center"/>
        </w:trPr>
        <w:tc>
          <w:tcPr>
            <w:tcW w:w="1134" w:type="dxa"/>
            <w:vMerge/>
            <w:tcBorders>
              <w:left w:val="nil"/>
            </w:tcBorders>
            <w:vAlign w:val="center"/>
          </w:tcPr>
          <w:p w14:paraId="40D567AA" w14:textId="77777777" w:rsidR="00950B57" w:rsidRPr="00731FBA" w:rsidRDefault="00950B57" w:rsidP="00851887">
            <w:pPr>
              <w:pStyle w:val="a4"/>
              <w:spacing w:line="360" w:lineRule="auto"/>
              <w:jc w:val="center"/>
              <w:rPr>
                <w:rFonts w:ascii="Times New Roman" w:hAnsi="Times New Roman" w:cs="Times New Roman"/>
                <w:sz w:val="21"/>
                <w:szCs w:val="21"/>
              </w:rPr>
            </w:pPr>
          </w:p>
        </w:tc>
        <w:tc>
          <w:tcPr>
            <w:tcW w:w="2410" w:type="dxa"/>
            <w:vAlign w:val="center"/>
          </w:tcPr>
          <w:p w14:paraId="55F6B9CD" w14:textId="77777777" w:rsidR="00950B57" w:rsidRPr="00731FBA" w:rsidRDefault="00950B57" w:rsidP="00950B57">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UniprotDOM_LOC</w:t>
            </w:r>
            <w:proofErr w:type="spellEnd"/>
          </w:p>
        </w:tc>
        <w:tc>
          <w:tcPr>
            <w:tcW w:w="4253" w:type="dxa"/>
            <w:tcBorders>
              <w:right w:val="nil"/>
            </w:tcBorders>
            <w:vAlign w:val="center"/>
          </w:tcPr>
          <w:p w14:paraId="7542CD87" w14:textId="77777777" w:rsidR="00950B57" w:rsidRPr="00731FBA" w:rsidRDefault="00950B57" w:rsidP="00950B57">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Site in a domain that determines correct cellular localization of a protein.</w:t>
            </w:r>
          </w:p>
        </w:tc>
      </w:tr>
      <w:tr w:rsidR="00F65DE7" w:rsidRPr="00731FBA" w14:paraId="3B613B81" w14:textId="77777777" w:rsidTr="00F65DE7">
        <w:trPr>
          <w:jc w:val="center"/>
        </w:trPr>
        <w:tc>
          <w:tcPr>
            <w:tcW w:w="1134" w:type="dxa"/>
            <w:vMerge/>
            <w:tcBorders>
              <w:left w:val="nil"/>
            </w:tcBorders>
            <w:vAlign w:val="center"/>
          </w:tcPr>
          <w:p w14:paraId="39ED6FB0" w14:textId="77777777" w:rsidR="00950B57" w:rsidRPr="00731FBA" w:rsidRDefault="00950B57" w:rsidP="00851887">
            <w:pPr>
              <w:pStyle w:val="a4"/>
              <w:spacing w:line="360" w:lineRule="auto"/>
              <w:jc w:val="center"/>
              <w:rPr>
                <w:rFonts w:ascii="Times New Roman" w:hAnsi="Times New Roman" w:cs="Times New Roman"/>
                <w:sz w:val="21"/>
                <w:szCs w:val="21"/>
              </w:rPr>
            </w:pPr>
          </w:p>
        </w:tc>
        <w:tc>
          <w:tcPr>
            <w:tcW w:w="2410" w:type="dxa"/>
            <w:vAlign w:val="center"/>
          </w:tcPr>
          <w:p w14:paraId="64E280DC" w14:textId="77777777" w:rsidR="00950B57" w:rsidRPr="00731FBA" w:rsidRDefault="00950B57" w:rsidP="00950B57">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UniprotDOM_TF</w:t>
            </w:r>
            <w:proofErr w:type="spellEnd"/>
          </w:p>
        </w:tc>
        <w:tc>
          <w:tcPr>
            <w:tcW w:w="4253" w:type="dxa"/>
            <w:tcBorders>
              <w:right w:val="nil"/>
            </w:tcBorders>
            <w:vAlign w:val="center"/>
          </w:tcPr>
          <w:p w14:paraId="60767487" w14:textId="77777777" w:rsidR="00950B57" w:rsidRPr="00731FBA" w:rsidRDefault="00950B57" w:rsidP="00950B57">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 xml:space="preserve">Site in a transcription factor </w:t>
            </w:r>
            <w:proofErr w:type="spellStart"/>
            <w:r w:rsidRPr="00731FBA">
              <w:rPr>
                <w:rFonts w:ascii="Times New Roman" w:eastAsia="等线" w:hAnsi="Times New Roman" w:cs="Times New Roman"/>
                <w:color w:val="000000"/>
                <w:sz w:val="21"/>
                <w:szCs w:val="21"/>
              </w:rPr>
              <w:t>doman</w:t>
            </w:r>
            <w:proofErr w:type="spellEnd"/>
            <w:r w:rsidRPr="00731FBA">
              <w:rPr>
                <w:rFonts w:ascii="Times New Roman" w:eastAsia="等线" w:hAnsi="Times New Roman" w:cs="Times New Roman"/>
                <w:color w:val="000000"/>
                <w:sz w:val="21"/>
                <w:szCs w:val="21"/>
              </w:rPr>
              <w:t>.</w:t>
            </w:r>
          </w:p>
        </w:tc>
      </w:tr>
      <w:tr w:rsidR="00F65DE7" w:rsidRPr="00731FBA" w14:paraId="5DD41F1E" w14:textId="77777777" w:rsidTr="00F65DE7">
        <w:trPr>
          <w:jc w:val="center"/>
        </w:trPr>
        <w:tc>
          <w:tcPr>
            <w:tcW w:w="1134" w:type="dxa"/>
            <w:vMerge/>
            <w:tcBorders>
              <w:left w:val="nil"/>
            </w:tcBorders>
            <w:vAlign w:val="center"/>
          </w:tcPr>
          <w:p w14:paraId="1C34A340" w14:textId="77777777" w:rsidR="00950B57" w:rsidRPr="00731FBA" w:rsidRDefault="00950B57" w:rsidP="00851887">
            <w:pPr>
              <w:pStyle w:val="a4"/>
              <w:spacing w:line="360" w:lineRule="auto"/>
              <w:jc w:val="center"/>
              <w:rPr>
                <w:rFonts w:ascii="Times New Roman" w:hAnsi="Times New Roman" w:cs="Times New Roman"/>
                <w:sz w:val="21"/>
                <w:szCs w:val="21"/>
              </w:rPr>
            </w:pPr>
          </w:p>
        </w:tc>
        <w:tc>
          <w:tcPr>
            <w:tcW w:w="2410" w:type="dxa"/>
            <w:vAlign w:val="center"/>
          </w:tcPr>
          <w:p w14:paraId="2A678A7E" w14:textId="77777777" w:rsidR="00950B57" w:rsidRPr="00A234D8" w:rsidRDefault="00950B57" w:rsidP="00950B57">
            <w:pPr>
              <w:spacing w:line="360" w:lineRule="auto"/>
              <w:jc w:val="left"/>
              <w:rPr>
                <w:rFonts w:ascii="Times New Roman" w:eastAsia="宋体" w:hAnsi="Times New Roman" w:cs="Times New Roman"/>
                <w:b/>
                <w:sz w:val="21"/>
                <w:szCs w:val="21"/>
              </w:rPr>
            </w:pPr>
            <w:proofErr w:type="spellStart"/>
            <w:r w:rsidRPr="00A234D8">
              <w:rPr>
                <w:rFonts w:ascii="Times New Roman" w:eastAsia="宋体" w:hAnsi="Times New Roman" w:cs="Times New Roman"/>
                <w:b/>
                <w:sz w:val="21"/>
                <w:szCs w:val="21"/>
              </w:rPr>
              <w:t>UniprotDOM_MMBRBD</w:t>
            </w:r>
            <w:proofErr w:type="spellEnd"/>
          </w:p>
        </w:tc>
        <w:tc>
          <w:tcPr>
            <w:tcW w:w="4253" w:type="dxa"/>
            <w:tcBorders>
              <w:right w:val="nil"/>
            </w:tcBorders>
            <w:vAlign w:val="center"/>
          </w:tcPr>
          <w:p w14:paraId="6138DF1C" w14:textId="77777777" w:rsidR="00950B57" w:rsidRPr="00731FBA" w:rsidRDefault="00950B57" w:rsidP="00950B57">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Site in a domain that binds to the cell membrane.</w:t>
            </w:r>
          </w:p>
        </w:tc>
      </w:tr>
      <w:tr w:rsidR="00F65DE7" w:rsidRPr="00731FBA" w14:paraId="4773A58E" w14:textId="77777777" w:rsidTr="00F65DE7">
        <w:trPr>
          <w:jc w:val="center"/>
        </w:trPr>
        <w:tc>
          <w:tcPr>
            <w:tcW w:w="1134" w:type="dxa"/>
            <w:vMerge/>
            <w:tcBorders>
              <w:left w:val="nil"/>
            </w:tcBorders>
            <w:vAlign w:val="center"/>
          </w:tcPr>
          <w:p w14:paraId="2DBABBF5" w14:textId="77777777" w:rsidR="00950B57" w:rsidRPr="00731FBA" w:rsidRDefault="00950B57" w:rsidP="00851887">
            <w:pPr>
              <w:pStyle w:val="a4"/>
              <w:spacing w:line="360" w:lineRule="auto"/>
              <w:jc w:val="center"/>
              <w:rPr>
                <w:rFonts w:ascii="Times New Roman" w:hAnsi="Times New Roman" w:cs="Times New Roman"/>
                <w:sz w:val="21"/>
                <w:szCs w:val="21"/>
              </w:rPr>
            </w:pPr>
          </w:p>
        </w:tc>
        <w:tc>
          <w:tcPr>
            <w:tcW w:w="2410" w:type="dxa"/>
            <w:vAlign w:val="center"/>
          </w:tcPr>
          <w:p w14:paraId="6FC97BB8" w14:textId="77777777" w:rsidR="00950B57" w:rsidRPr="00731FBA" w:rsidRDefault="00950B57" w:rsidP="00950B57">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UniprotDOM_RNABD</w:t>
            </w:r>
            <w:proofErr w:type="spellEnd"/>
          </w:p>
        </w:tc>
        <w:tc>
          <w:tcPr>
            <w:tcW w:w="4253" w:type="dxa"/>
            <w:tcBorders>
              <w:right w:val="nil"/>
            </w:tcBorders>
            <w:vAlign w:val="center"/>
          </w:tcPr>
          <w:p w14:paraId="1F9C3A41" w14:textId="77777777" w:rsidR="00950B57" w:rsidRPr="00731FBA" w:rsidRDefault="00950B57" w:rsidP="00950B57">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Site in an RNA binding domain.</w:t>
            </w:r>
          </w:p>
        </w:tc>
      </w:tr>
      <w:tr w:rsidR="00F65DE7" w:rsidRPr="00731FBA" w14:paraId="6EC39336" w14:textId="77777777" w:rsidTr="00F65DE7">
        <w:trPr>
          <w:jc w:val="center"/>
        </w:trPr>
        <w:tc>
          <w:tcPr>
            <w:tcW w:w="1134" w:type="dxa"/>
            <w:vMerge/>
            <w:tcBorders>
              <w:left w:val="nil"/>
            </w:tcBorders>
            <w:vAlign w:val="center"/>
          </w:tcPr>
          <w:p w14:paraId="3AA31F8A" w14:textId="77777777" w:rsidR="00950B57" w:rsidRPr="00731FBA" w:rsidRDefault="00950B57" w:rsidP="00851887">
            <w:pPr>
              <w:pStyle w:val="a4"/>
              <w:spacing w:line="360" w:lineRule="auto"/>
              <w:jc w:val="center"/>
              <w:rPr>
                <w:rFonts w:ascii="Times New Roman" w:hAnsi="Times New Roman" w:cs="Times New Roman"/>
                <w:sz w:val="21"/>
                <w:szCs w:val="21"/>
              </w:rPr>
            </w:pPr>
          </w:p>
        </w:tc>
        <w:tc>
          <w:tcPr>
            <w:tcW w:w="2410" w:type="dxa"/>
            <w:vAlign w:val="center"/>
          </w:tcPr>
          <w:p w14:paraId="1EFDBAA4" w14:textId="77777777" w:rsidR="00950B57" w:rsidRPr="00731FBA" w:rsidRDefault="00950B57" w:rsidP="00950B57">
            <w:pPr>
              <w:spacing w:line="360" w:lineRule="auto"/>
              <w:jc w:val="left"/>
              <w:rPr>
                <w:rFonts w:ascii="Times New Roman" w:eastAsia="宋体" w:hAnsi="Times New Roman" w:cs="Times New Roman"/>
                <w:sz w:val="21"/>
                <w:szCs w:val="21"/>
              </w:rPr>
            </w:pPr>
            <w:proofErr w:type="spellStart"/>
            <w:r w:rsidRPr="00731FBA">
              <w:rPr>
                <w:rFonts w:ascii="Times New Roman" w:eastAsia="宋体" w:hAnsi="Times New Roman" w:cs="Times New Roman"/>
                <w:sz w:val="21"/>
                <w:szCs w:val="21"/>
              </w:rPr>
              <w:t>UniprotDOM_Chrom</w:t>
            </w:r>
            <w:proofErr w:type="spellEnd"/>
          </w:p>
        </w:tc>
        <w:tc>
          <w:tcPr>
            <w:tcW w:w="4253" w:type="dxa"/>
            <w:tcBorders>
              <w:right w:val="nil"/>
            </w:tcBorders>
            <w:vAlign w:val="center"/>
          </w:tcPr>
          <w:p w14:paraId="06EDE053" w14:textId="77777777" w:rsidR="00950B57" w:rsidRPr="00731FBA" w:rsidRDefault="00950B57" w:rsidP="00950B57">
            <w:pPr>
              <w:rPr>
                <w:rFonts w:ascii="Times New Roman" w:eastAsia="等线" w:hAnsi="Times New Roman" w:cs="Times New Roman"/>
                <w:color w:val="000000"/>
                <w:sz w:val="21"/>
                <w:szCs w:val="21"/>
              </w:rPr>
            </w:pPr>
            <w:r w:rsidRPr="00731FBA">
              <w:rPr>
                <w:rFonts w:ascii="Times New Roman" w:eastAsia="等线" w:hAnsi="Times New Roman" w:cs="Times New Roman"/>
                <w:color w:val="000000"/>
                <w:sz w:val="21"/>
                <w:szCs w:val="21"/>
              </w:rPr>
              <w:t>Site in a domain involved in chromatin structure remodeling.</w:t>
            </w:r>
          </w:p>
        </w:tc>
      </w:tr>
    </w:tbl>
    <w:bookmarkEnd w:id="2"/>
    <w:p w14:paraId="5FF36E42" w14:textId="5AAA60A7" w:rsidR="004C75F4" w:rsidRPr="006337C9" w:rsidRDefault="00C501B5">
      <w:pPr>
        <w:rPr>
          <w:rFonts w:ascii="Times New Roman" w:hAnsi="Times New Roman" w:cs="Times New Roman"/>
          <w:szCs w:val="21"/>
        </w:rPr>
      </w:pPr>
      <w:r w:rsidRPr="00731FBA">
        <w:rPr>
          <w:rFonts w:ascii="Times New Roman" w:hAnsi="Times New Roman" w:cs="Times New Roman"/>
          <w:szCs w:val="21"/>
        </w:rPr>
        <w:t xml:space="preserve">Note: these features are also included in </w:t>
      </w:r>
      <w:proofErr w:type="spellStart"/>
      <w:r w:rsidRPr="00731FBA">
        <w:rPr>
          <w:rFonts w:ascii="Times New Roman" w:hAnsi="Times New Roman" w:cs="Times New Roman"/>
          <w:szCs w:val="21"/>
        </w:rPr>
        <w:t>CanDrA</w:t>
      </w:r>
      <w:proofErr w:type="spellEnd"/>
      <w:r w:rsidRPr="00731FBA">
        <w:rPr>
          <w:rFonts w:ascii="Times New Roman" w:hAnsi="Times New Roman" w:cs="Times New Roman"/>
          <w:szCs w:val="21"/>
        </w:rPr>
        <w:t xml:space="preserve"> </w:t>
      </w:r>
      <w:r w:rsidRPr="00731FBA">
        <w:rPr>
          <w:rFonts w:ascii="Times New Roman" w:hAnsi="Times New Roman" w:cs="Times New Roman"/>
          <w:szCs w:val="21"/>
        </w:rPr>
        <w:fldChar w:fldCharType="begin"/>
      </w:r>
      <w:r w:rsidRPr="00731FBA">
        <w:rPr>
          <w:rFonts w:ascii="Times New Roman" w:hAnsi="Times New Roman" w:cs="Times New Roman"/>
          <w:szCs w:val="21"/>
        </w:rPr>
        <w:instrText xml:space="preserve"> ADDIN EN.CITE &lt;EndNote&gt;&lt;Cite&gt;&lt;Author&gt;Mao&lt;/Author&gt;&lt;Year&gt;2013&lt;/Year&gt;&lt;RecNum&gt;735&lt;/RecNum&gt;&lt;DisplayText&gt;(Mao, et al., 2013b)&lt;/DisplayText&gt;&lt;record&gt;&lt;rec-number&gt;735&lt;/rec-number&gt;&lt;foreign-keys&gt;&lt;key app="EN" db-id="frd0rvvfd5vrxme9f2nvrer1dt99xrvvf9e9" timestamp="1597056075"&gt;735&lt;/key&gt;&lt;key app="ENWeb" db-id=""&gt;0&lt;/key&gt;&lt;/foreign-keys&gt;&lt;ref-type name="Journal Article"&gt;17&lt;/ref-type&gt;&lt;contributors&gt;&lt;authors&gt;&lt;author&gt;Mao, Y.&lt;/author&gt;&lt;author&gt;Chen, H.&lt;/author&gt;&lt;author&gt;Liang, H.&lt;/author&gt;&lt;author&gt;Meric-Bernstam, F.&lt;/author&gt;&lt;author&gt;Mills, G. B.&lt;/author&gt;&lt;author&gt;Chen, K.&lt;/author&gt;&lt;/authors&gt;&lt;/contributors&gt;&lt;auth-address&gt;Department of Bioinformatics and Computational Biology, The University of Texas M.D. Anderson Cancer Center, Houston, Texas, United States of America.&lt;/auth-address&gt;&lt;titles&gt;&lt;title&gt;CanDrA: cancer-specific driver missense mutation annotation with optimized features&lt;/title&gt;&lt;secondary-title&gt;PLoS One&lt;/secondary-title&gt;&lt;/titles&gt;&lt;periodical&gt;&lt;full-title&gt;PLoS One&lt;/full-title&gt;&lt;/periodical&gt;&lt;pages&gt;e77945&lt;/pages&gt;&lt;volume&gt;8&lt;/volume&gt;&lt;number&gt;10&lt;/number&gt;&lt;edition&gt;2013/11/10&lt;/edition&gt;&lt;keywords&gt;&lt;keyword&gt;*Algorithms&lt;/keyword&gt;&lt;keyword&gt;Cell Transformation, Neoplastic/*genetics&lt;/keyword&gt;&lt;keyword&gt;Computational Biology&lt;/keyword&gt;&lt;keyword&gt;*Databases, Genetic&lt;/keyword&gt;&lt;keyword&gt;Female&lt;/keyword&gt;&lt;keyword&gt;Genome, Human&lt;/keyword&gt;&lt;keyword&gt;Glioblastoma/classification/*genetics&lt;/keyword&gt;&lt;keyword&gt;Humans&lt;/keyword&gt;&lt;keyword&gt;Mutation, Missense/*genetics&lt;/keyword&gt;&lt;keyword&gt;Ovarian Neoplasms/classification/*genetics&lt;/keyword&gt;&lt;/keywords&gt;&lt;dates&gt;&lt;year&gt;2013&lt;/year&gt;&lt;/dates&gt;&lt;isbn&gt;1932-6203 (Electronic)&amp;#xD;1932-6203 (Linking)&lt;/isbn&gt;&lt;accession-num&gt;24205039&lt;/accession-num&gt;&lt;urls&gt;&lt;related-urls&gt;&lt;url&gt;https://www.ncbi.nlm.nih.gov/pubmed/24205039&lt;/url&gt;&lt;/related-urls&gt;&lt;/urls&gt;&lt;custom2&gt;PMC3813554&lt;/custom2&gt;&lt;electronic-resource-num&gt;10.1371/journal.pone.0077945&lt;/electronic-resource-num&gt;&lt;/record&gt;&lt;/Cite&gt;&lt;/EndNote&gt;</w:instrText>
      </w:r>
      <w:r w:rsidRPr="00731FBA">
        <w:rPr>
          <w:rFonts w:ascii="Times New Roman" w:hAnsi="Times New Roman" w:cs="Times New Roman"/>
          <w:szCs w:val="21"/>
        </w:rPr>
        <w:fldChar w:fldCharType="separate"/>
      </w:r>
      <w:r w:rsidRPr="00731FBA">
        <w:rPr>
          <w:rFonts w:ascii="Times New Roman" w:hAnsi="Times New Roman" w:cs="Times New Roman"/>
          <w:noProof/>
          <w:szCs w:val="21"/>
        </w:rPr>
        <w:t>(</w:t>
      </w:r>
      <w:hyperlink w:anchor="_ENREF_28" w:tooltip="Mao, 2013 #735" w:history="1">
        <w:r w:rsidRPr="00731FBA">
          <w:rPr>
            <w:rFonts w:ascii="Times New Roman" w:hAnsi="Times New Roman" w:cs="Times New Roman"/>
            <w:noProof/>
            <w:szCs w:val="21"/>
          </w:rPr>
          <w:t>Mao, et al., 2013b</w:t>
        </w:r>
      </w:hyperlink>
      <w:r w:rsidRPr="00731FBA">
        <w:rPr>
          <w:rFonts w:ascii="Times New Roman" w:hAnsi="Times New Roman" w:cs="Times New Roman"/>
          <w:noProof/>
          <w:szCs w:val="21"/>
        </w:rPr>
        <w:t>)</w:t>
      </w:r>
      <w:r w:rsidRPr="00731FBA">
        <w:rPr>
          <w:rFonts w:ascii="Times New Roman" w:hAnsi="Times New Roman" w:cs="Times New Roman"/>
          <w:szCs w:val="21"/>
        </w:rPr>
        <w:fldChar w:fldCharType="end"/>
      </w:r>
      <w:r w:rsidR="004325F4" w:rsidRPr="00731FBA">
        <w:rPr>
          <w:rFonts w:ascii="Times New Roman" w:hAnsi="Times New Roman" w:cs="Times New Roman"/>
          <w:szCs w:val="21"/>
        </w:rPr>
        <w:t xml:space="preserve"> and the bolded features are final top 10 features used in </w:t>
      </w:r>
      <w:proofErr w:type="spellStart"/>
      <w:r w:rsidR="004325F4" w:rsidRPr="00731FBA">
        <w:rPr>
          <w:rFonts w:ascii="Times New Roman" w:hAnsi="Times New Roman" w:cs="Times New Roman"/>
          <w:szCs w:val="21"/>
        </w:rPr>
        <w:t>C</w:t>
      </w:r>
      <w:r w:rsidR="00B27E3E">
        <w:rPr>
          <w:rFonts w:ascii="Times New Roman" w:hAnsi="Times New Roman" w:cs="Times New Roman" w:hint="eastAsia"/>
          <w:szCs w:val="21"/>
        </w:rPr>
        <w:t>D</w:t>
      </w:r>
      <w:r w:rsidR="004325F4" w:rsidRPr="00731FBA">
        <w:rPr>
          <w:rFonts w:ascii="Times New Roman" w:hAnsi="Times New Roman" w:cs="Times New Roman"/>
          <w:szCs w:val="21"/>
        </w:rPr>
        <w:t>MPred</w:t>
      </w:r>
      <w:proofErr w:type="spellEnd"/>
      <w:r w:rsidR="004325F4" w:rsidRPr="00731FBA">
        <w:rPr>
          <w:rFonts w:ascii="Times New Roman" w:hAnsi="Times New Roman" w:cs="Times New Roman"/>
          <w:szCs w:val="21"/>
        </w:rPr>
        <w:t>.</w:t>
      </w:r>
    </w:p>
    <w:sectPr w:rsidR="004C75F4" w:rsidRPr="006337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CC6D8" w14:textId="77777777" w:rsidR="009474AC" w:rsidRDefault="009474AC" w:rsidP="00B3713D">
      <w:r>
        <w:separator/>
      </w:r>
    </w:p>
  </w:endnote>
  <w:endnote w:type="continuationSeparator" w:id="0">
    <w:p w14:paraId="1EB12FF7" w14:textId="77777777" w:rsidR="009474AC" w:rsidRDefault="009474AC" w:rsidP="00B3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7B2A1" w14:textId="77777777" w:rsidR="009474AC" w:rsidRDefault="009474AC" w:rsidP="00B3713D">
      <w:r>
        <w:separator/>
      </w:r>
    </w:p>
  </w:footnote>
  <w:footnote w:type="continuationSeparator" w:id="0">
    <w:p w14:paraId="791FDA0B" w14:textId="77777777" w:rsidR="009474AC" w:rsidRDefault="009474AC" w:rsidP="00B37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B5"/>
    <w:rsid w:val="00040260"/>
    <w:rsid w:val="00090872"/>
    <w:rsid w:val="000E7FE8"/>
    <w:rsid w:val="00126BB9"/>
    <w:rsid w:val="001C0592"/>
    <w:rsid w:val="001C434F"/>
    <w:rsid w:val="002276E8"/>
    <w:rsid w:val="002658AA"/>
    <w:rsid w:val="00295808"/>
    <w:rsid w:val="002B699A"/>
    <w:rsid w:val="00355393"/>
    <w:rsid w:val="003619FF"/>
    <w:rsid w:val="004325F4"/>
    <w:rsid w:val="0043728F"/>
    <w:rsid w:val="00490D63"/>
    <w:rsid w:val="004C75F4"/>
    <w:rsid w:val="005674FD"/>
    <w:rsid w:val="006337C9"/>
    <w:rsid w:val="00637399"/>
    <w:rsid w:val="006462C4"/>
    <w:rsid w:val="00670250"/>
    <w:rsid w:val="006D3083"/>
    <w:rsid w:val="0072169B"/>
    <w:rsid w:val="00731FBA"/>
    <w:rsid w:val="007649E9"/>
    <w:rsid w:val="007A3774"/>
    <w:rsid w:val="00843DC6"/>
    <w:rsid w:val="00851887"/>
    <w:rsid w:val="00892F84"/>
    <w:rsid w:val="00911CD9"/>
    <w:rsid w:val="00941F1F"/>
    <w:rsid w:val="009474AC"/>
    <w:rsid w:val="00950B57"/>
    <w:rsid w:val="009D08AB"/>
    <w:rsid w:val="00A16780"/>
    <w:rsid w:val="00A234D8"/>
    <w:rsid w:val="00AA3A92"/>
    <w:rsid w:val="00B27E3E"/>
    <w:rsid w:val="00B34A8D"/>
    <w:rsid w:val="00B3713D"/>
    <w:rsid w:val="00BE7BEF"/>
    <w:rsid w:val="00C26E35"/>
    <w:rsid w:val="00C501B5"/>
    <w:rsid w:val="00C8353B"/>
    <w:rsid w:val="00CB453F"/>
    <w:rsid w:val="00CC454E"/>
    <w:rsid w:val="00DA1909"/>
    <w:rsid w:val="00E57D06"/>
    <w:rsid w:val="00E95D11"/>
    <w:rsid w:val="00EA59B2"/>
    <w:rsid w:val="00F00525"/>
    <w:rsid w:val="00F00A99"/>
    <w:rsid w:val="00F403B7"/>
    <w:rsid w:val="00F65DE7"/>
    <w:rsid w:val="00FA1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C899A"/>
  <w15:chartTrackingRefBased/>
  <w15:docId w15:val="{B1AD8981-033B-4DB0-B78F-FF6D5AD6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1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C501B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501B5"/>
    <w:pPr>
      <w:widowControl w:val="0"/>
      <w:jc w:val="both"/>
    </w:pPr>
    <w:rPr>
      <w:noProof/>
    </w:rPr>
  </w:style>
  <w:style w:type="paragraph" w:styleId="a5">
    <w:name w:val="header"/>
    <w:basedOn w:val="a"/>
    <w:link w:val="a6"/>
    <w:uiPriority w:val="99"/>
    <w:unhideWhenUsed/>
    <w:rsid w:val="00B3713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3713D"/>
    <w:rPr>
      <w:sz w:val="18"/>
      <w:szCs w:val="18"/>
    </w:rPr>
  </w:style>
  <w:style w:type="paragraph" w:styleId="a7">
    <w:name w:val="footer"/>
    <w:basedOn w:val="a"/>
    <w:link w:val="a8"/>
    <w:uiPriority w:val="99"/>
    <w:unhideWhenUsed/>
    <w:rsid w:val="00B3713D"/>
    <w:pPr>
      <w:tabs>
        <w:tab w:val="center" w:pos="4153"/>
        <w:tab w:val="right" w:pos="8306"/>
      </w:tabs>
      <w:snapToGrid w:val="0"/>
      <w:jc w:val="left"/>
    </w:pPr>
    <w:rPr>
      <w:sz w:val="18"/>
      <w:szCs w:val="18"/>
    </w:rPr>
  </w:style>
  <w:style w:type="character" w:customStyle="1" w:styleId="a8">
    <w:name w:val="页脚 字符"/>
    <w:basedOn w:val="a0"/>
    <w:link w:val="a7"/>
    <w:uiPriority w:val="99"/>
    <w:rsid w:val="00B3713D"/>
    <w:rPr>
      <w:sz w:val="18"/>
      <w:szCs w:val="18"/>
    </w:rPr>
  </w:style>
  <w:style w:type="paragraph" w:styleId="a9">
    <w:name w:val="Balloon Text"/>
    <w:basedOn w:val="a"/>
    <w:link w:val="aa"/>
    <w:uiPriority w:val="99"/>
    <w:semiHidden/>
    <w:unhideWhenUsed/>
    <w:rsid w:val="00EA59B2"/>
    <w:rPr>
      <w:sz w:val="18"/>
      <w:szCs w:val="18"/>
    </w:rPr>
  </w:style>
  <w:style w:type="character" w:customStyle="1" w:styleId="aa">
    <w:name w:val="批注框文本 字符"/>
    <w:basedOn w:val="a0"/>
    <w:link w:val="a9"/>
    <w:uiPriority w:val="99"/>
    <w:semiHidden/>
    <w:rsid w:val="00EA59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1394</Words>
  <Characters>7948</Characters>
  <Application>Microsoft Office Word</Application>
  <DocSecurity>0</DocSecurity>
  <Lines>66</Lines>
  <Paragraphs>18</Paragraphs>
  <ScaleCrop>false</ScaleCrop>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p:lastModifiedBy>
  <cp:revision>9</cp:revision>
  <dcterms:created xsi:type="dcterms:W3CDTF">2020-12-30T02:08:00Z</dcterms:created>
  <dcterms:modified xsi:type="dcterms:W3CDTF">2024-07-14T12:07:00Z</dcterms:modified>
</cp:coreProperties>
</file>