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0260" w14:textId="77777777" w:rsidR="000618AF" w:rsidRPr="000618AF" w:rsidRDefault="000618AF" w:rsidP="000618AF">
      <w:pPr>
        <w:spacing w:line="276" w:lineRule="auto"/>
        <w:rPr>
          <w:rFonts w:ascii="Times" w:eastAsia="Arial" w:hAnsi="Times" w:cs="Arial"/>
          <w:szCs w:val="22"/>
          <w:lang w:bidi="ar-SA"/>
        </w:rPr>
      </w:pPr>
      <w:r w:rsidRPr="000618AF">
        <w:rPr>
          <w:rFonts w:ascii="Times" w:eastAsia="Arial" w:hAnsi="Times" w:cs="Arial"/>
          <w:szCs w:val="22"/>
          <w:lang w:bidi="ar-SA"/>
        </w:rPr>
        <w:t xml:space="preserve">Table </w:t>
      </w:r>
      <w:r w:rsidRPr="000618AF">
        <w:rPr>
          <w:rFonts w:ascii="Times" w:eastAsia="Arial" w:hAnsi="Times" w:cs="Arial"/>
          <w:szCs w:val="22"/>
          <w:lang w:val="en-US" w:bidi="ar-SA"/>
        </w:rPr>
        <w:t>2</w:t>
      </w:r>
      <w:r w:rsidRPr="000618AF">
        <w:rPr>
          <w:rFonts w:ascii="Times" w:eastAsia="Arial" w:hAnsi="Times" w:cs="Arial"/>
          <w:szCs w:val="22"/>
          <w:lang w:bidi="ar-SA"/>
        </w:rPr>
        <w:t>. Exposure parameters for uptake through the respiratory system of PM</w:t>
      </w:r>
      <w:r w:rsidRPr="000618AF">
        <w:rPr>
          <w:rFonts w:ascii="Times" w:eastAsia="Arial" w:hAnsi="Times" w:cs="Arial"/>
          <w:szCs w:val="22"/>
          <w:vertAlign w:val="subscript"/>
          <w:lang w:bidi="ar-SA"/>
        </w:rPr>
        <w:t>2.5</w:t>
      </w:r>
      <w:r w:rsidRPr="000618AF">
        <w:rPr>
          <w:rFonts w:ascii="Times" w:eastAsia="Arial" w:hAnsi="Times" w:cs="Arial"/>
          <w:szCs w:val="22"/>
          <w:lang w:bidi="ar-SA"/>
        </w:rPr>
        <w:t xml:space="preserve">. </w:t>
      </w:r>
    </w:p>
    <w:tbl>
      <w:tblPr>
        <w:tblW w:w="809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134"/>
        <w:gridCol w:w="1276"/>
        <w:gridCol w:w="2419"/>
      </w:tblGrid>
      <w:tr w:rsidR="000618AF" w:rsidRPr="000618AF" w14:paraId="4F75011F" w14:textId="77777777" w:rsidTr="00F97833">
        <w:trPr>
          <w:trHeight w:val="316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EB8D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Factor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4F6C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Adult (male)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BBD9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Adult (Female)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14:paraId="0EE056F7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Reference</w:t>
            </w:r>
          </w:p>
        </w:tc>
      </w:tr>
      <w:tr w:rsidR="000618AF" w:rsidRPr="000618AF" w14:paraId="673F7131" w14:textId="77777777" w:rsidTr="00F97833">
        <w:trPr>
          <w:trHeight w:val="316"/>
          <w:jc w:val="center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CF5D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Body Weight (BW) (kg)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F91B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67.3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3DE0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57.5</w:t>
            </w:r>
          </w:p>
        </w:tc>
        <w:tc>
          <w:tcPr>
            <w:tcW w:w="2419" w:type="dxa"/>
            <w:tcBorders>
              <w:top w:val="single" w:sz="4" w:space="0" w:color="auto"/>
            </w:tcBorders>
          </w:tcPr>
          <w:p w14:paraId="647E95A3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Liang et al. (2019)</w:t>
            </w:r>
          </w:p>
        </w:tc>
      </w:tr>
      <w:tr w:rsidR="000618AF" w:rsidRPr="000618AF" w14:paraId="4BB9748D" w14:textId="77777777" w:rsidTr="00F97833">
        <w:trPr>
          <w:trHeight w:val="316"/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7E662FC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Exposure Frequency (EF) (days/year)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700C87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9D6C9C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350</w:t>
            </w:r>
          </w:p>
        </w:tc>
        <w:tc>
          <w:tcPr>
            <w:tcW w:w="2419" w:type="dxa"/>
          </w:tcPr>
          <w:p w14:paraId="6F5C8724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Morakinyo et al. (2017); Olufemi et al. (2019)</w:t>
            </w:r>
          </w:p>
        </w:tc>
      </w:tr>
      <w:tr w:rsidR="000618AF" w:rsidRPr="000618AF" w14:paraId="5E358D32" w14:textId="77777777" w:rsidTr="00F97833">
        <w:trPr>
          <w:trHeight w:val="316"/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4B92475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Exposure Duration (ED) (years)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B8712C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DA8890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30</w:t>
            </w:r>
          </w:p>
        </w:tc>
        <w:tc>
          <w:tcPr>
            <w:tcW w:w="2419" w:type="dxa"/>
          </w:tcPr>
          <w:p w14:paraId="75B5E595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Morakinyo et al. (2017); Olufemi et al. (2019)</w:t>
            </w:r>
          </w:p>
        </w:tc>
      </w:tr>
      <w:tr w:rsidR="000618AF" w:rsidRPr="000618AF" w14:paraId="498A41DF" w14:textId="77777777" w:rsidTr="00F97833">
        <w:trPr>
          <w:trHeight w:val="316"/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776B1F9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Inhalation Rate (IR) (m</w:t>
            </w:r>
            <w:r w:rsidRPr="000618AF">
              <w:rPr>
                <w:rFonts w:ascii="Times" w:eastAsia="Arial" w:hAnsi="Times" w:cs="Arial"/>
                <w:szCs w:val="22"/>
                <w:vertAlign w:val="superscript"/>
                <w:lang w:bidi="ar-SA"/>
              </w:rPr>
              <w:t>3</w:t>
            </w:r>
            <w:r w:rsidRPr="000618AF">
              <w:rPr>
                <w:rFonts w:ascii="Times" w:eastAsia="Arial" w:hAnsi="Times" w:cs="Arial"/>
                <w:szCs w:val="22"/>
                <w:lang w:bidi="ar-SA"/>
              </w:rPr>
              <w:t>/day)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966C22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16.6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BF238D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13.5</w:t>
            </w:r>
          </w:p>
        </w:tc>
        <w:tc>
          <w:tcPr>
            <w:tcW w:w="2419" w:type="dxa"/>
          </w:tcPr>
          <w:p w14:paraId="17C3B1D7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Liang et al. (2019)</w:t>
            </w:r>
          </w:p>
        </w:tc>
      </w:tr>
      <w:tr w:rsidR="000618AF" w:rsidRPr="000618AF" w14:paraId="4FAE2B6B" w14:textId="77777777" w:rsidTr="00F97833">
        <w:trPr>
          <w:trHeight w:val="316"/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80DEDC3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Averaging Time (AT) (days)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67454E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10950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DA97A6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10950</w:t>
            </w:r>
          </w:p>
        </w:tc>
        <w:tc>
          <w:tcPr>
            <w:tcW w:w="2419" w:type="dxa"/>
          </w:tcPr>
          <w:p w14:paraId="51F8C519" w14:textId="77777777" w:rsidR="000618AF" w:rsidRPr="000618AF" w:rsidRDefault="000618AF" w:rsidP="000618AF">
            <w:pPr>
              <w:spacing w:line="276" w:lineRule="auto"/>
              <w:contextualSpacing/>
              <w:rPr>
                <w:rFonts w:ascii="Times" w:eastAsia="Arial" w:hAnsi="Times" w:cs="Arial"/>
                <w:szCs w:val="22"/>
                <w:lang w:bidi="ar-SA"/>
              </w:rPr>
            </w:pPr>
            <w:r w:rsidRPr="000618AF">
              <w:rPr>
                <w:rFonts w:ascii="Times" w:eastAsia="Arial" w:hAnsi="Times" w:cs="Arial"/>
                <w:szCs w:val="22"/>
                <w:lang w:bidi="ar-SA"/>
              </w:rPr>
              <w:t>Liang et al. (2019)</w:t>
            </w:r>
          </w:p>
        </w:tc>
      </w:tr>
    </w:tbl>
    <w:p w14:paraId="103C4B66" w14:textId="72A3B745" w:rsidR="00F96D6B" w:rsidRPr="000618AF" w:rsidRDefault="00F96D6B" w:rsidP="000618AF"/>
    <w:sectPr w:rsidR="00F96D6B" w:rsidRPr="00061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DE"/>
    <w:rsid w:val="000618AF"/>
    <w:rsid w:val="00317F54"/>
    <w:rsid w:val="008946C6"/>
    <w:rsid w:val="00AD33DE"/>
    <w:rsid w:val="00D31697"/>
    <w:rsid w:val="00F15A94"/>
    <w:rsid w:val="00F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66FE"/>
  <w15:chartTrackingRefBased/>
  <w15:docId w15:val="{A7741AFA-DFE4-7542-B4A9-57660D99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teerachai amnuaylojaroen</dc:creator>
  <cp:keywords/>
  <dc:description/>
  <cp:lastModifiedBy>teerachai amnuaylojaroen</cp:lastModifiedBy>
  <cp:revision>2</cp:revision>
  <cp:lastPrinted>2023-02-13T15:54:00Z</cp:lastPrinted>
  <dcterms:created xsi:type="dcterms:W3CDTF">2023-02-13T15:56:00Z</dcterms:created>
  <dcterms:modified xsi:type="dcterms:W3CDTF">2023-02-13T15:56:00Z</dcterms:modified>
</cp:coreProperties>
</file>