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104C" w14:textId="74B4635E" w:rsidR="00CF0BA5" w:rsidRPr="00602DDE" w:rsidRDefault="00CF0BA5">
      <w:pPr>
        <w:rPr>
          <w:b/>
          <w:bCs/>
          <w:u w:val="single"/>
        </w:rPr>
      </w:pPr>
      <w:r w:rsidRPr="00602DDE">
        <w:rPr>
          <w:b/>
          <w:bCs/>
          <w:u w:val="single"/>
        </w:rPr>
        <w:t>Site Class Descriptions</w:t>
      </w:r>
    </w:p>
    <w:p w14:paraId="23CBBFF8" w14:textId="71BDE28E" w:rsidR="00CF0BA5" w:rsidRPr="00CF0BA5" w:rsidRDefault="00CF1969">
      <w:r w:rsidRPr="00CF1969">
        <w:rPr>
          <w:b/>
          <w:bCs/>
        </w:rPr>
        <w:t>Table S1.</w:t>
      </w:r>
      <w:r>
        <w:t xml:space="preserve"> Site class descriptions.</w:t>
      </w:r>
    </w:p>
    <w:tbl>
      <w:tblPr>
        <w:tblStyle w:val="TableGrid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602DDE" w:rsidRPr="00602DDE" w14:paraId="17E3896F" w14:textId="77777777" w:rsidTr="00AB5BE9">
        <w:tc>
          <w:tcPr>
            <w:tcW w:w="2065" w:type="dxa"/>
            <w:tcBorders>
              <w:top w:val="single" w:sz="4" w:space="0" w:color="auto"/>
              <w:bottom w:val="single" w:sz="4" w:space="0" w:color="auto"/>
            </w:tcBorders>
          </w:tcPr>
          <w:p w14:paraId="0A0BB3D1" w14:textId="77777777" w:rsidR="00602DDE" w:rsidRPr="00602DDE" w:rsidRDefault="00602DDE" w:rsidP="00602DDE">
            <w:pPr>
              <w:keepNext/>
              <w:keepLines/>
              <w:widowControl w:val="0"/>
              <w:spacing w:before="40" w:after="40"/>
              <w:jc w:val="center"/>
              <w:rPr>
                <w:rFonts w:ascii="Arial" w:hAnsi="Arial"/>
                <w:b/>
                <w:kern w:val="0"/>
                <w:sz w:val="18"/>
                <w:szCs w:val="24"/>
                <w14:ligatures w14:val="none"/>
              </w:rPr>
            </w:pPr>
            <w:r w:rsidRPr="00602DDE">
              <w:rPr>
                <w:rFonts w:ascii="Arial" w:hAnsi="Arial"/>
                <w:b/>
                <w:kern w:val="0"/>
                <w:sz w:val="18"/>
                <w:szCs w:val="24"/>
                <w14:ligatures w14:val="none"/>
              </w:rPr>
              <w:t>Site Class</w:t>
            </w:r>
          </w:p>
        </w:tc>
        <w:tc>
          <w:tcPr>
            <w:tcW w:w="7285" w:type="dxa"/>
            <w:tcBorders>
              <w:top w:val="single" w:sz="4" w:space="0" w:color="auto"/>
              <w:bottom w:val="single" w:sz="4" w:space="0" w:color="auto"/>
            </w:tcBorders>
          </w:tcPr>
          <w:p w14:paraId="7DFE17CA" w14:textId="77777777" w:rsidR="00602DDE" w:rsidRPr="00602DDE" w:rsidRDefault="00602DDE" w:rsidP="00602DDE">
            <w:pPr>
              <w:keepNext/>
              <w:keepLines/>
              <w:widowControl w:val="0"/>
              <w:spacing w:before="40" w:after="40"/>
              <w:jc w:val="center"/>
              <w:rPr>
                <w:rFonts w:ascii="Arial" w:hAnsi="Arial"/>
                <w:b/>
                <w:kern w:val="0"/>
                <w:sz w:val="18"/>
                <w:szCs w:val="24"/>
                <w14:ligatures w14:val="none"/>
              </w:rPr>
            </w:pPr>
            <w:r w:rsidRPr="00602DDE">
              <w:rPr>
                <w:rFonts w:ascii="Arial" w:hAnsi="Arial"/>
                <w:b/>
                <w:kern w:val="0"/>
                <w:sz w:val="18"/>
                <w:szCs w:val="24"/>
                <w14:ligatures w14:val="none"/>
              </w:rPr>
              <w:t>Level 4 Ecoregions</w:t>
            </w:r>
          </w:p>
        </w:tc>
      </w:tr>
      <w:tr w:rsidR="00602DDE" w:rsidRPr="00602DDE" w14:paraId="682693A7" w14:textId="77777777" w:rsidTr="00AB5BE9">
        <w:tc>
          <w:tcPr>
            <w:tcW w:w="2065" w:type="dxa"/>
            <w:tcBorders>
              <w:top w:val="single" w:sz="4" w:space="0" w:color="auto"/>
              <w:bottom w:val="single" w:sz="4" w:space="0" w:color="BFBFBF" w:themeColor="background1" w:themeShade="BF"/>
            </w:tcBorders>
          </w:tcPr>
          <w:p w14:paraId="0F1C3447" w14:textId="77777777" w:rsidR="00602DDE" w:rsidRPr="00602DDE" w:rsidRDefault="00602DDE" w:rsidP="00602DDE">
            <w:pPr>
              <w:keepNext/>
              <w:keepLines/>
              <w:widowControl w:val="0"/>
              <w:spacing w:before="40" w:after="40"/>
              <w:rPr>
                <w:rFonts w:ascii="Arial" w:hAnsi="Arial"/>
                <w:kern w:val="0"/>
                <w:sz w:val="18"/>
                <w:szCs w:val="24"/>
                <w14:ligatures w14:val="none"/>
              </w:rPr>
            </w:pPr>
            <w:r w:rsidRPr="00602DDE">
              <w:rPr>
                <w:rFonts w:ascii="Arial" w:hAnsi="Arial"/>
                <w:kern w:val="0"/>
                <w:sz w:val="18"/>
                <w:szCs w:val="24"/>
                <w14:ligatures w14:val="none"/>
              </w:rPr>
              <w:t>Mountains</w:t>
            </w:r>
          </w:p>
        </w:tc>
        <w:tc>
          <w:tcPr>
            <w:tcW w:w="7285" w:type="dxa"/>
            <w:tcBorders>
              <w:top w:val="single" w:sz="4" w:space="0" w:color="auto"/>
              <w:bottom w:val="single" w:sz="4" w:space="0" w:color="BFBFBF" w:themeColor="background1" w:themeShade="BF"/>
            </w:tcBorders>
          </w:tcPr>
          <w:p w14:paraId="480E502C" w14:textId="77777777" w:rsidR="00602DDE" w:rsidRPr="00602DDE" w:rsidRDefault="00602DDE" w:rsidP="00602DDE">
            <w:pPr>
              <w:keepNext/>
              <w:keepLines/>
              <w:widowControl w:val="0"/>
              <w:spacing w:before="40" w:after="40"/>
              <w:rPr>
                <w:rFonts w:ascii="Arial" w:hAnsi="Arial"/>
                <w:kern w:val="0"/>
                <w:sz w:val="18"/>
                <w:szCs w:val="24"/>
                <w14:ligatures w14:val="none"/>
              </w:rPr>
            </w:pPr>
            <w:r w:rsidRPr="00602DDE">
              <w:rPr>
                <w:rFonts w:ascii="Arial" w:hAnsi="Arial"/>
                <w:kern w:val="0"/>
                <w:sz w:val="18"/>
                <w:szCs w:val="24"/>
                <w14:ligatures w14:val="none"/>
              </w:rPr>
              <w:t>The Wasatch-Unita mountains and selected sub-ecoregions of the Northern Rockies, Idaho Batholith, and the Middle Rockies (15i, 15o, 15p, 15y, 16 (except 16f), 17ad, 173, 19)</w:t>
            </w:r>
          </w:p>
        </w:tc>
      </w:tr>
      <w:tr w:rsidR="00602DDE" w:rsidRPr="00602DDE" w14:paraId="6A362CFA" w14:textId="77777777" w:rsidTr="00AB5BE9">
        <w:tc>
          <w:tcPr>
            <w:tcW w:w="2065" w:type="dxa"/>
            <w:tcBorders>
              <w:top w:val="single" w:sz="4" w:space="0" w:color="BFBFBF" w:themeColor="background1" w:themeShade="BF"/>
              <w:bottom w:val="single" w:sz="4" w:space="0" w:color="BFBFBF" w:themeColor="background1" w:themeShade="BF"/>
            </w:tcBorders>
          </w:tcPr>
          <w:p w14:paraId="2AFB6E8C" w14:textId="77777777" w:rsidR="00602DDE" w:rsidRPr="00602DDE" w:rsidRDefault="00602DDE" w:rsidP="00602DDE">
            <w:pPr>
              <w:keepNext/>
              <w:keepLines/>
              <w:widowControl w:val="0"/>
              <w:spacing w:before="40" w:after="40"/>
              <w:rPr>
                <w:rFonts w:ascii="Arial" w:hAnsi="Arial"/>
                <w:kern w:val="0"/>
                <w:sz w:val="18"/>
                <w:szCs w:val="24"/>
                <w14:ligatures w14:val="none"/>
              </w:rPr>
            </w:pPr>
            <w:r w:rsidRPr="00602DDE">
              <w:rPr>
                <w:rFonts w:ascii="Arial" w:hAnsi="Arial"/>
                <w:kern w:val="0"/>
                <w:sz w:val="18"/>
                <w:szCs w:val="24"/>
                <w14:ligatures w14:val="none"/>
              </w:rPr>
              <w:t>Foothills</w:t>
            </w:r>
          </w:p>
        </w:tc>
        <w:tc>
          <w:tcPr>
            <w:tcW w:w="7285" w:type="dxa"/>
            <w:tcBorders>
              <w:top w:val="single" w:sz="4" w:space="0" w:color="BFBFBF" w:themeColor="background1" w:themeShade="BF"/>
              <w:bottom w:val="single" w:sz="4" w:space="0" w:color="BFBFBF" w:themeColor="background1" w:themeShade="BF"/>
            </w:tcBorders>
          </w:tcPr>
          <w:p w14:paraId="0ACCB486" w14:textId="77777777" w:rsidR="00602DDE" w:rsidRPr="00602DDE" w:rsidRDefault="00602DDE" w:rsidP="00602DDE">
            <w:pPr>
              <w:keepNext/>
              <w:keepLines/>
              <w:widowControl w:val="0"/>
              <w:spacing w:before="40" w:after="40"/>
              <w:rPr>
                <w:rFonts w:ascii="Arial" w:hAnsi="Arial"/>
                <w:kern w:val="0"/>
                <w:sz w:val="18"/>
                <w:szCs w:val="24"/>
                <w14:ligatures w14:val="none"/>
              </w:rPr>
            </w:pPr>
            <w:r w:rsidRPr="00602DDE">
              <w:rPr>
                <w:rFonts w:ascii="Arial" w:hAnsi="Arial"/>
                <w:kern w:val="0"/>
                <w:sz w:val="18"/>
                <w:szCs w:val="24"/>
                <w14:ligatures w14:val="none"/>
              </w:rPr>
              <w:t>The Blue mountains and selected sub-ecoregions of the Northern Rockies and Middle Rockies (11, 15j, 15f, 15m, 15n, 15s, 15u, 15v, 15w, 170, 17ab, 17j)</w:t>
            </w:r>
          </w:p>
        </w:tc>
      </w:tr>
      <w:tr w:rsidR="00602DDE" w:rsidRPr="00602DDE" w14:paraId="24FACA9D" w14:textId="77777777" w:rsidTr="00AB5BE9">
        <w:tc>
          <w:tcPr>
            <w:tcW w:w="2065" w:type="dxa"/>
            <w:tcBorders>
              <w:top w:val="single" w:sz="4" w:space="0" w:color="BFBFBF" w:themeColor="background1" w:themeShade="BF"/>
              <w:bottom w:val="single" w:sz="4" w:space="0" w:color="auto"/>
            </w:tcBorders>
          </w:tcPr>
          <w:p w14:paraId="3B686AC8" w14:textId="77777777" w:rsidR="00602DDE" w:rsidRPr="00602DDE" w:rsidRDefault="00602DDE" w:rsidP="00602DDE">
            <w:pPr>
              <w:keepNext/>
              <w:keepLines/>
              <w:widowControl w:val="0"/>
              <w:spacing w:before="40" w:after="40"/>
              <w:rPr>
                <w:rFonts w:ascii="Arial" w:hAnsi="Arial"/>
                <w:kern w:val="0"/>
                <w:sz w:val="18"/>
                <w:szCs w:val="24"/>
                <w14:ligatures w14:val="none"/>
              </w:rPr>
            </w:pPr>
            <w:r w:rsidRPr="00602DDE">
              <w:rPr>
                <w:rFonts w:ascii="Arial" w:hAnsi="Arial"/>
                <w:kern w:val="0"/>
                <w:sz w:val="18"/>
                <w:szCs w:val="24"/>
                <w14:ligatures w14:val="none"/>
              </w:rPr>
              <w:t>Plains Plateaus and Broad Valleys (PPBV)</w:t>
            </w:r>
          </w:p>
        </w:tc>
        <w:tc>
          <w:tcPr>
            <w:tcW w:w="7285" w:type="dxa"/>
            <w:tcBorders>
              <w:top w:val="single" w:sz="4" w:space="0" w:color="BFBFBF" w:themeColor="background1" w:themeShade="BF"/>
              <w:bottom w:val="single" w:sz="4" w:space="0" w:color="auto"/>
            </w:tcBorders>
          </w:tcPr>
          <w:p w14:paraId="2FD54D14" w14:textId="77777777" w:rsidR="00602DDE" w:rsidRPr="00602DDE" w:rsidRDefault="00602DDE" w:rsidP="00602DDE">
            <w:pPr>
              <w:keepNext/>
              <w:keepLines/>
              <w:widowControl w:val="0"/>
              <w:spacing w:before="40" w:after="40"/>
              <w:rPr>
                <w:rFonts w:ascii="Arial" w:hAnsi="Arial"/>
                <w:kern w:val="0"/>
                <w:sz w:val="18"/>
                <w:szCs w:val="24"/>
                <w14:ligatures w14:val="none"/>
              </w:rPr>
            </w:pPr>
            <w:r w:rsidRPr="00602DDE">
              <w:rPr>
                <w:rFonts w:ascii="Arial" w:hAnsi="Arial"/>
                <w:kern w:val="0"/>
                <w:sz w:val="18"/>
                <w:szCs w:val="24"/>
                <w14:ligatures w14:val="none"/>
              </w:rPr>
              <w:t xml:space="preserve">The Columbia Plateau, Northern Basin and Range, Central Basin and Range, Snake River Plain, Wyoming Basin and selected sub-ecoregions of the Middle Rockies and Idaho Batholith (10, 12, 13, 17aa, 17n, 18, 80). </w:t>
            </w:r>
          </w:p>
        </w:tc>
      </w:tr>
    </w:tbl>
    <w:p w14:paraId="07B443B2" w14:textId="77777777" w:rsidR="00CF0BA5" w:rsidRDefault="00CF0BA5">
      <w:pPr>
        <w:rPr>
          <w:u w:val="single"/>
        </w:rPr>
      </w:pPr>
    </w:p>
    <w:p w14:paraId="331AAF29" w14:textId="03A6139A" w:rsidR="000A78D6" w:rsidRDefault="00CF1969">
      <w:r>
        <w:t xml:space="preserve">Site classes development is described in detail in Jessup (2011) </w:t>
      </w:r>
      <w:proofErr w:type="gramStart"/>
      <w:r>
        <w:t>and also</w:t>
      </w:r>
      <w:proofErr w:type="gramEnd"/>
      <w:r>
        <w:t xml:space="preserve"> in Jessup and Pappani (2015) and DEQ (2016).  </w:t>
      </w:r>
    </w:p>
    <w:p w14:paraId="154AACDA" w14:textId="77777777" w:rsidR="000A78D6" w:rsidRDefault="000A78D6">
      <w:r>
        <w:br w:type="page"/>
      </w:r>
    </w:p>
    <w:p w14:paraId="6118125D" w14:textId="6C81EF65" w:rsidR="00CF1969" w:rsidRDefault="00CF1969">
      <w:pPr>
        <w:rPr>
          <w:b/>
          <w:bCs/>
          <w:u w:val="single"/>
        </w:rPr>
      </w:pPr>
      <w:r>
        <w:rPr>
          <w:b/>
          <w:bCs/>
          <w:u w:val="single"/>
        </w:rPr>
        <w:lastRenderedPageBreak/>
        <w:t xml:space="preserve">Physical Variable Relationships to </w:t>
      </w:r>
      <w:r w:rsidR="000A78D6">
        <w:rPr>
          <w:b/>
          <w:bCs/>
          <w:u w:val="single"/>
        </w:rPr>
        <w:t>% fines &lt; 2.5 mm</w:t>
      </w:r>
      <w:r w:rsidR="00966BB6">
        <w:rPr>
          <w:b/>
          <w:bCs/>
          <w:u w:val="single"/>
        </w:rPr>
        <w:t xml:space="preserve"> (BURP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A78D6" w14:paraId="35C5FFB8" w14:textId="77777777" w:rsidTr="000A78D6">
        <w:tc>
          <w:tcPr>
            <w:tcW w:w="4675" w:type="dxa"/>
          </w:tcPr>
          <w:p w14:paraId="10A372AF" w14:textId="77777777" w:rsidR="001B3B21" w:rsidRDefault="00966BB6">
            <w:pPr>
              <w:rPr>
                <w:b/>
                <w:bCs/>
                <w:u w:val="single"/>
              </w:rPr>
            </w:pPr>
            <w:r>
              <w:rPr>
                <w:b/>
                <w:bCs/>
                <w:noProof/>
                <w:u w:val="single"/>
              </w:rPr>
              <w:drawing>
                <wp:inline distT="0" distB="0" distL="0" distR="0" wp14:anchorId="3BD0E66F" wp14:editId="25B7885C">
                  <wp:extent cx="2830982" cy="2607483"/>
                  <wp:effectExtent l="0" t="0" r="7620" b="2540"/>
                  <wp:docPr id="53031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0995" cy="2616706"/>
                          </a:xfrm>
                          <a:prstGeom prst="rect">
                            <a:avLst/>
                          </a:prstGeom>
                          <a:noFill/>
                        </pic:spPr>
                      </pic:pic>
                    </a:graphicData>
                  </a:graphic>
                </wp:inline>
              </w:drawing>
            </w:r>
          </w:p>
          <w:p w14:paraId="27984A07" w14:textId="0EE59134" w:rsidR="000A78D6" w:rsidRPr="000A78D6" w:rsidRDefault="000A78D6">
            <w:r w:rsidRPr="000A78D6">
              <w:rPr>
                <w:b/>
                <w:bCs/>
              </w:rPr>
              <w:t xml:space="preserve">Figure S1. </w:t>
            </w:r>
            <w:r>
              <w:t>BURP reference site correlations</w:t>
            </w:r>
            <w:r w:rsidRPr="000A78D6">
              <w:t xml:space="preserve">. Size and color indicate coefficient magnitude. </w:t>
            </w:r>
          </w:p>
        </w:tc>
        <w:tc>
          <w:tcPr>
            <w:tcW w:w="4675" w:type="dxa"/>
          </w:tcPr>
          <w:p w14:paraId="441B1161" w14:textId="77777777" w:rsidR="001B3B21" w:rsidRDefault="000A78D6">
            <w:pPr>
              <w:rPr>
                <w:b/>
                <w:bCs/>
                <w:u w:val="single"/>
              </w:rPr>
            </w:pPr>
            <w:r>
              <w:rPr>
                <w:b/>
                <w:bCs/>
                <w:noProof/>
                <w:u w:val="single"/>
              </w:rPr>
              <w:drawing>
                <wp:inline distT="0" distB="0" distL="0" distR="0" wp14:anchorId="5C06D327" wp14:editId="3A152653">
                  <wp:extent cx="2830987" cy="2607488"/>
                  <wp:effectExtent l="0" t="0" r="7620" b="2540"/>
                  <wp:docPr id="6257188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704" cy="2621964"/>
                          </a:xfrm>
                          <a:prstGeom prst="rect">
                            <a:avLst/>
                          </a:prstGeom>
                          <a:noFill/>
                        </pic:spPr>
                      </pic:pic>
                    </a:graphicData>
                  </a:graphic>
                </wp:inline>
              </w:drawing>
            </w:r>
          </w:p>
          <w:p w14:paraId="185CA8D7" w14:textId="3E0B8059" w:rsidR="000A78D6" w:rsidRPr="000A78D6" w:rsidRDefault="000A78D6">
            <w:r w:rsidRPr="000A78D6">
              <w:rPr>
                <w:b/>
                <w:bCs/>
              </w:rPr>
              <w:t xml:space="preserve">Figure </w:t>
            </w:r>
            <w:r>
              <w:rPr>
                <w:b/>
                <w:bCs/>
              </w:rPr>
              <w:t>S</w:t>
            </w:r>
            <w:r w:rsidRPr="000A78D6">
              <w:rPr>
                <w:b/>
                <w:bCs/>
              </w:rPr>
              <w:t>2</w:t>
            </w:r>
            <w:r w:rsidRPr="000A78D6">
              <w:t xml:space="preserve">. </w:t>
            </w:r>
            <w:r w:rsidR="0014274B" w:rsidRPr="000A78D6">
              <w:t>Relationship</w:t>
            </w:r>
            <w:r w:rsidRPr="000A78D6">
              <w:t xml:space="preserve"> between </w:t>
            </w:r>
            <w:proofErr w:type="spellStart"/>
            <w:r w:rsidRPr="000A78D6">
              <w:t>bankfull</w:t>
            </w:r>
            <w:proofErr w:type="spellEnd"/>
            <w:r w:rsidRPr="000A78D6">
              <w:t xml:space="preserve"> width and % fines &lt; 2.5 mm among BURP reference sites by stream order. </w:t>
            </w:r>
          </w:p>
        </w:tc>
      </w:tr>
      <w:tr w:rsidR="000A78D6" w14:paraId="2CB62A5D" w14:textId="77777777" w:rsidTr="000A78D6">
        <w:tc>
          <w:tcPr>
            <w:tcW w:w="4675" w:type="dxa"/>
          </w:tcPr>
          <w:p w14:paraId="1F452A51" w14:textId="77777777" w:rsidR="000A78D6" w:rsidRDefault="000A78D6">
            <w:pPr>
              <w:rPr>
                <w:b/>
                <w:bCs/>
                <w:noProof/>
                <w:u w:val="single"/>
              </w:rPr>
            </w:pPr>
            <w:r>
              <w:rPr>
                <w:b/>
                <w:bCs/>
                <w:noProof/>
                <w:u w:val="single"/>
              </w:rPr>
              <w:drawing>
                <wp:inline distT="0" distB="0" distL="0" distR="0" wp14:anchorId="6915192A" wp14:editId="100442D8">
                  <wp:extent cx="2787718" cy="2567635"/>
                  <wp:effectExtent l="0" t="0" r="0" b="4445"/>
                  <wp:docPr id="11845582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650" cy="2577704"/>
                          </a:xfrm>
                          <a:prstGeom prst="rect">
                            <a:avLst/>
                          </a:prstGeom>
                          <a:noFill/>
                        </pic:spPr>
                      </pic:pic>
                    </a:graphicData>
                  </a:graphic>
                </wp:inline>
              </w:drawing>
            </w:r>
          </w:p>
          <w:p w14:paraId="70054F00" w14:textId="0212C620" w:rsidR="000A78D6" w:rsidRPr="000A78D6" w:rsidRDefault="000A78D6">
            <w:pPr>
              <w:rPr>
                <w:b/>
                <w:bCs/>
                <w:noProof/>
              </w:rPr>
            </w:pPr>
            <w:r w:rsidRPr="000A78D6">
              <w:rPr>
                <w:b/>
                <w:bCs/>
                <w:noProof/>
              </w:rPr>
              <w:t xml:space="preserve">Figure S3. </w:t>
            </w:r>
            <w:r w:rsidRPr="000A78D6">
              <w:rPr>
                <w:noProof/>
              </w:rPr>
              <w:t>Relationship between stream order and % fines &lt; 2.5 mm among BURP reference sites.</w:t>
            </w:r>
          </w:p>
        </w:tc>
        <w:tc>
          <w:tcPr>
            <w:tcW w:w="4675" w:type="dxa"/>
          </w:tcPr>
          <w:p w14:paraId="16B4AF4F" w14:textId="77777777" w:rsidR="000A78D6" w:rsidRDefault="000A78D6">
            <w:pPr>
              <w:rPr>
                <w:b/>
                <w:bCs/>
                <w:noProof/>
                <w:u w:val="single"/>
              </w:rPr>
            </w:pPr>
          </w:p>
        </w:tc>
      </w:tr>
    </w:tbl>
    <w:p w14:paraId="302A899F" w14:textId="77777777" w:rsidR="00CF1969" w:rsidRDefault="00CF1969">
      <w:pPr>
        <w:rPr>
          <w:b/>
          <w:bCs/>
          <w:u w:val="single"/>
        </w:rPr>
      </w:pPr>
    </w:p>
    <w:p w14:paraId="7480516A" w14:textId="79C04B5C" w:rsidR="00CF1969" w:rsidRDefault="00CF1969">
      <w:pPr>
        <w:rPr>
          <w:b/>
          <w:bCs/>
          <w:u w:val="single"/>
        </w:rPr>
      </w:pPr>
      <w:r>
        <w:rPr>
          <w:b/>
          <w:bCs/>
          <w:u w:val="single"/>
        </w:rPr>
        <w:br w:type="page"/>
      </w:r>
    </w:p>
    <w:p w14:paraId="4503983A" w14:textId="1B8F53AB" w:rsidR="00CF1969" w:rsidRPr="00CF1969" w:rsidRDefault="00CF1969">
      <w:r w:rsidRPr="00CF1969">
        <w:rPr>
          <w:b/>
          <w:bCs/>
        </w:rPr>
        <w:lastRenderedPageBreak/>
        <w:t>Table S2</w:t>
      </w:r>
      <w:r w:rsidRPr="00CF1969">
        <w:t xml:space="preserve">. </w:t>
      </w:r>
      <w:r>
        <w:t xml:space="preserve">Comparison of BURP, PIBO, and AIM monitoring programs. </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610"/>
        <w:gridCol w:w="2340"/>
        <w:gridCol w:w="2605"/>
      </w:tblGrid>
      <w:tr w:rsidR="00CF1969" w:rsidRPr="00CF1969" w14:paraId="0F521D41" w14:textId="77777777" w:rsidTr="0062504A">
        <w:tc>
          <w:tcPr>
            <w:tcW w:w="1795" w:type="dxa"/>
            <w:tcBorders>
              <w:top w:val="single" w:sz="4" w:space="0" w:color="auto"/>
              <w:bottom w:val="single" w:sz="4" w:space="0" w:color="auto"/>
            </w:tcBorders>
          </w:tcPr>
          <w:p w14:paraId="064B5424" w14:textId="77777777" w:rsidR="00CF1969" w:rsidRPr="00CF1969" w:rsidRDefault="00CF1969" w:rsidP="0062504A">
            <w:pPr>
              <w:spacing w:after="0"/>
              <w:rPr>
                <w:rFonts w:ascii="Calibri" w:hAnsi="Calibri"/>
                <w:b/>
                <w:bCs/>
                <w:sz w:val="16"/>
                <w:szCs w:val="16"/>
              </w:rPr>
            </w:pPr>
          </w:p>
        </w:tc>
        <w:tc>
          <w:tcPr>
            <w:tcW w:w="2610" w:type="dxa"/>
            <w:tcBorders>
              <w:top w:val="single" w:sz="4" w:space="0" w:color="auto"/>
              <w:bottom w:val="single" w:sz="4" w:space="0" w:color="auto"/>
            </w:tcBorders>
          </w:tcPr>
          <w:p w14:paraId="12E7A972" w14:textId="77777777" w:rsidR="00CF1969" w:rsidRPr="00CF1969" w:rsidRDefault="00CF1969" w:rsidP="0062504A">
            <w:pPr>
              <w:spacing w:after="0"/>
              <w:rPr>
                <w:rFonts w:ascii="Calibri" w:hAnsi="Calibri"/>
                <w:b/>
                <w:bCs/>
                <w:sz w:val="16"/>
                <w:szCs w:val="16"/>
              </w:rPr>
            </w:pPr>
            <w:r w:rsidRPr="00CF1969">
              <w:rPr>
                <w:rFonts w:ascii="Calibri" w:hAnsi="Calibri"/>
                <w:b/>
                <w:bCs/>
                <w:sz w:val="16"/>
                <w:szCs w:val="16"/>
              </w:rPr>
              <w:t>BURP</w:t>
            </w:r>
          </w:p>
        </w:tc>
        <w:tc>
          <w:tcPr>
            <w:tcW w:w="2340" w:type="dxa"/>
            <w:tcBorders>
              <w:top w:val="single" w:sz="4" w:space="0" w:color="auto"/>
              <w:bottom w:val="single" w:sz="4" w:space="0" w:color="auto"/>
            </w:tcBorders>
          </w:tcPr>
          <w:p w14:paraId="5C5C2F03" w14:textId="77777777" w:rsidR="00CF1969" w:rsidRPr="00CF1969" w:rsidRDefault="00CF1969" w:rsidP="0062504A">
            <w:pPr>
              <w:spacing w:after="0"/>
              <w:rPr>
                <w:rFonts w:ascii="Calibri" w:hAnsi="Calibri"/>
                <w:b/>
                <w:bCs/>
                <w:sz w:val="16"/>
                <w:szCs w:val="16"/>
              </w:rPr>
            </w:pPr>
            <w:r w:rsidRPr="00CF1969">
              <w:rPr>
                <w:rFonts w:ascii="Calibri" w:hAnsi="Calibri"/>
                <w:b/>
                <w:bCs/>
                <w:sz w:val="16"/>
                <w:szCs w:val="16"/>
              </w:rPr>
              <w:t>PIBO</w:t>
            </w:r>
          </w:p>
        </w:tc>
        <w:tc>
          <w:tcPr>
            <w:tcW w:w="2605" w:type="dxa"/>
            <w:tcBorders>
              <w:top w:val="single" w:sz="4" w:space="0" w:color="auto"/>
              <w:bottom w:val="single" w:sz="4" w:space="0" w:color="auto"/>
            </w:tcBorders>
          </w:tcPr>
          <w:p w14:paraId="5784738F" w14:textId="77777777" w:rsidR="00CF1969" w:rsidRPr="00CF1969" w:rsidRDefault="00CF1969" w:rsidP="0062504A">
            <w:pPr>
              <w:spacing w:after="0"/>
              <w:rPr>
                <w:rFonts w:ascii="Calibri" w:hAnsi="Calibri"/>
                <w:b/>
                <w:bCs/>
                <w:sz w:val="16"/>
                <w:szCs w:val="16"/>
              </w:rPr>
            </w:pPr>
            <w:r w:rsidRPr="00CF1969">
              <w:rPr>
                <w:rFonts w:ascii="Calibri" w:hAnsi="Calibri"/>
                <w:b/>
                <w:bCs/>
                <w:sz w:val="16"/>
                <w:szCs w:val="16"/>
              </w:rPr>
              <w:t>AIM</w:t>
            </w:r>
          </w:p>
        </w:tc>
      </w:tr>
      <w:tr w:rsidR="00CF1969" w:rsidRPr="00CF1969" w14:paraId="3B946EF5" w14:textId="77777777" w:rsidTr="0062504A">
        <w:tc>
          <w:tcPr>
            <w:tcW w:w="1795" w:type="dxa"/>
            <w:tcBorders>
              <w:top w:val="single" w:sz="4" w:space="0" w:color="auto"/>
              <w:bottom w:val="single" w:sz="4" w:space="0" w:color="BFBFBF" w:themeColor="background1" w:themeShade="BF"/>
            </w:tcBorders>
          </w:tcPr>
          <w:p w14:paraId="5C38F418" w14:textId="77777777" w:rsidR="00CF1969" w:rsidRPr="00CF1969" w:rsidRDefault="00CF1969" w:rsidP="0062504A">
            <w:pPr>
              <w:spacing w:after="0"/>
              <w:rPr>
                <w:rFonts w:ascii="Calibri" w:hAnsi="Calibri"/>
                <w:sz w:val="16"/>
                <w:szCs w:val="16"/>
              </w:rPr>
            </w:pPr>
            <w:r w:rsidRPr="00CF1969">
              <w:rPr>
                <w:rFonts w:ascii="Calibri" w:hAnsi="Calibri"/>
                <w:sz w:val="16"/>
                <w:szCs w:val="16"/>
              </w:rPr>
              <w:t>Agency</w:t>
            </w:r>
          </w:p>
        </w:tc>
        <w:tc>
          <w:tcPr>
            <w:tcW w:w="2610" w:type="dxa"/>
            <w:tcBorders>
              <w:top w:val="single" w:sz="4" w:space="0" w:color="auto"/>
              <w:bottom w:val="single" w:sz="4" w:space="0" w:color="BFBFBF" w:themeColor="background1" w:themeShade="BF"/>
            </w:tcBorders>
          </w:tcPr>
          <w:p w14:paraId="0FF92060" w14:textId="77777777" w:rsidR="00CF1969" w:rsidRPr="00CF1969" w:rsidRDefault="00CF1969" w:rsidP="0062504A">
            <w:pPr>
              <w:spacing w:after="0"/>
              <w:rPr>
                <w:rFonts w:ascii="Calibri" w:hAnsi="Calibri"/>
                <w:sz w:val="16"/>
                <w:szCs w:val="16"/>
              </w:rPr>
            </w:pPr>
            <w:r w:rsidRPr="00CF1969">
              <w:rPr>
                <w:rFonts w:ascii="Calibri" w:hAnsi="Calibri"/>
                <w:sz w:val="16"/>
                <w:szCs w:val="16"/>
              </w:rPr>
              <w:t>DEQ</w:t>
            </w:r>
          </w:p>
        </w:tc>
        <w:tc>
          <w:tcPr>
            <w:tcW w:w="2340" w:type="dxa"/>
            <w:tcBorders>
              <w:top w:val="single" w:sz="4" w:space="0" w:color="auto"/>
              <w:bottom w:val="single" w:sz="4" w:space="0" w:color="BFBFBF" w:themeColor="background1" w:themeShade="BF"/>
            </w:tcBorders>
          </w:tcPr>
          <w:p w14:paraId="635BCCAD" w14:textId="77777777" w:rsidR="00CF1969" w:rsidRPr="00CF1969" w:rsidRDefault="00CF1969" w:rsidP="0062504A">
            <w:pPr>
              <w:spacing w:after="0"/>
              <w:rPr>
                <w:rFonts w:ascii="Calibri" w:hAnsi="Calibri"/>
                <w:sz w:val="16"/>
                <w:szCs w:val="16"/>
              </w:rPr>
            </w:pPr>
            <w:r w:rsidRPr="00CF1969">
              <w:rPr>
                <w:rFonts w:ascii="Calibri" w:hAnsi="Calibri"/>
                <w:sz w:val="16"/>
                <w:szCs w:val="16"/>
              </w:rPr>
              <w:t>USFS</w:t>
            </w:r>
          </w:p>
        </w:tc>
        <w:tc>
          <w:tcPr>
            <w:tcW w:w="2605" w:type="dxa"/>
            <w:tcBorders>
              <w:top w:val="single" w:sz="4" w:space="0" w:color="auto"/>
              <w:bottom w:val="single" w:sz="4" w:space="0" w:color="BFBFBF" w:themeColor="background1" w:themeShade="BF"/>
            </w:tcBorders>
          </w:tcPr>
          <w:p w14:paraId="53C805D4" w14:textId="77777777" w:rsidR="00CF1969" w:rsidRPr="00CF1969" w:rsidRDefault="00CF1969" w:rsidP="0062504A">
            <w:pPr>
              <w:spacing w:after="0"/>
              <w:rPr>
                <w:rFonts w:ascii="Calibri" w:hAnsi="Calibri"/>
                <w:sz w:val="16"/>
                <w:szCs w:val="16"/>
              </w:rPr>
            </w:pPr>
            <w:r w:rsidRPr="00CF1969">
              <w:rPr>
                <w:rFonts w:ascii="Calibri" w:hAnsi="Calibri"/>
                <w:sz w:val="16"/>
                <w:szCs w:val="16"/>
              </w:rPr>
              <w:t>BLM</w:t>
            </w:r>
          </w:p>
        </w:tc>
      </w:tr>
      <w:tr w:rsidR="00CF1969" w:rsidRPr="00CF1969" w14:paraId="44FB33E0" w14:textId="77777777" w:rsidTr="0062504A">
        <w:tc>
          <w:tcPr>
            <w:tcW w:w="1795" w:type="dxa"/>
            <w:tcBorders>
              <w:top w:val="single" w:sz="4" w:space="0" w:color="BFBFBF" w:themeColor="background1" w:themeShade="BF"/>
              <w:bottom w:val="single" w:sz="4" w:space="0" w:color="BFBFBF" w:themeColor="background1" w:themeShade="BF"/>
            </w:tcBorders>
          </w:tcPr>
          <w:p w14:paraId="487177C8" w14:textId="77777777" w:rsidR="00CF1969" w:rsidRPr="00CF1969" w:rsidRDefault="00CF1969" w:rsidP="0062504A">
            <w:pPr>
              <w:spacing w:after="0"/>
              <w:rPr>
                <w:rFonts w:ascii="Calibri" w:hAnsi="Calibri"/>
                <w:sz w:val="16"/>
                <w:szCs w:val="16"/>
              </w:rPr>
            </w:pPr>
            <w:r w:rsidRPr="00CF1969">
              <w:rPr>
                <w:rFonts w:ascii="Calibri" w:hAnsi="Calibri"/>
                <w:sz w:val="16"/>
                <w:szCs w:val="16"/>
              </w:rPr>
              <w:t>Stream types sampled</w:t>
            </w:r>
          </w:p>
        </w:tc>
        <w:tc>
          <w:tcPr>
            <w:tcW w:w="2610" w:type="dxa"/>
            <w:tcBorders>
              <w:top w:val="single" w:sz="4" w:space="0" w:color="BFBFBF" w:themeColor="background1" w:themeShade="BF"/>
              <w:bottom w:val="single" w:sz="4" w:space="0" w:color="BFBFBF" w:themeColor="background1" w:themeShade="BF"/>
            </w:tcBorders>
          </w:tcPr>
          <w:p w14:paraId="440D1823" w14:textId="77777777" w:rsidR="00CF1969" w:rsidRPr="00CF1969" w:rsidRDefault="00CF1969" w:rsidP="0062504A">
            <w:pPr>
              <w:spacing w:after="0"/>
              <w:rPr>
                <w:rFonts w:ascii="Calibri" w:hAnsi="Calibri"/>
                <w:sz w:val="16"/>
                <w:szCs w:val="16"/>
              </w:rPr>
            </w:pPr>
            <w:r w:rsidRPr="00CF1969">
              <w:rPr>
                <w:rFonts w:ascii="Calibri" w:hAnsi="Calibri"/>
                <w:sz w:val="16"/>
                <w:szCs w:val="16"/>
              </w:rPr>
              <w:t>wadable 1</w:t>
            </w:r>
            <w:r w:rsidRPr="00CF1969">
              <w:rPr>
                <w:rFonts w:ascii="Calibri" w:hAnsi="Calibri"/>
                <w:sz w:val="16"/>
                <w:szCs w:val="16"/>
                <w:vertAlign w:val="superscript"/>
              </w:rPr>
              <w:t>st</w:t>
            </w:r>
            <w:r w:rsidRPr="00CF1969">
              <w:rPr>
                <w:rFonts w:ascii="Calibri" w:hAnsi="Calibri"/>
                <w:sz w:val="16"/>
                <w:szCs w:val="16"/>
              </w:rPr>
              <w:t>-4</w:t>
            </w:r>
            <w:r w:rsidRPr="00CF1969">
              <w:rPr>
                <w:rFonts w:ascii="Calibri" w:hAnsi="Calibri"/>
                <w:sz w:val="16"/>
                <w:szCs w:val="16"/>
                <w:vertAlign w:val="superscript"/>
              </w:rPr>
              <w:t>th</w:t>
            </w:r>
            <w:r w:rsidRPr="00CF1969">
              <w:rPr>
                <w:rFonts w:ascii="Calibri" w:hAnsi="Calibri"/>
                <w:sz w:val="16"/>
                <w:szCs w:val="16"/>
              </w:rPr>
              <w:t xml:space="preserve"> order</w:t>
            </w:r>
          </w:p>
        </w:tc>
        <w:tc>
          <w:tcPr>
            <w:tcW w:w="2340" w:type="dxa"/>
            <w:tcBorders>
              <w:top w:val="single" w:sz="4" w:space="0" w:color="BFBFBF" w:themeColor="background1" w:themeShade="BF"/>
              <w:bottom w:val="single" w:sz="4" w:space="0" w:color="BFBFBF" w:themeColor="background1" w:themeShade="BF"/>
            </w:tcBorders>
          </w:tcPr>
          <w:p w14:paraId="4563C072" w14:textId="77777777" w:rsidR="00CF1969" w:rsidRPr="00CF1969" w:rsidRDefault="00CF1969" w:rsidP="0062504A">
            <w:pPr>
              <w:spacing w:after="0"/>
              <w:rPr>
                <w:rFonts w:ascii="Calibri" w:hAnsi="Calibri"/>
                <w:sz w:val="16"/>
                <w:szCs w:val="16"/>
              </w:rPr>
            </w:pPr>
            <w:r w:rsidRPr="00CF1969">
              <w:rPr>
                <w:rFonts w:ascii="Calibri" w:hAnsi="Calibri"/>
                <w:sz w:val="16"/>
                <w:szCs w:val="16"/>
              </w:rPr>
              <w:t>wadable 1</w:t>
            </w:r>
            <w:r w:rsidRPr="00CF1969">
              <w:rPr>
                <w:rFonts w:ascii="Calibri" w:hAnsi="Calibri"/>
                <w:sz w:val="16"/>
                <w:szCs w:val="16"/>
                <w:vertAlign w:val="superscript"/>
              </w:rPr>
              <w:t>st</w:t>
            </w:r>
            <w:r w:rsidRPr="00CF1969">
              <w:rPr>
                <w:rFonts w:ascii="Calibri" w:hAnsi="Calibri"/>
                <w:sz w:val="16"/>
                <w:szCs w:val="16"/>
              </w:rPr>
              <w:t>-4</w:t>
            </w:r>
            <w:r w:rsidRPr="00CF1969">
              <w:rPr>
                <w:rFonts w:ascii="Calibri" w:hAnsi="Calibri"/>
                <w:sz w:val="16"/>
                <w:szCs w:val="16"/>
                <w:vertAlign w:val="superscript"/>
              </w:rPr>
              <w:t>th</w:t>
            </w:r>
            <w:r w:rsidRPr="00CF1969">
              <w:rPr>
                <w:rFonts w:ascii="Calibri" w:hAnsi="Calibri"/>
                <w:sz w:val="16"/>
                <w:szCs w:val="16"/>
              </w:rPr>
              <w:t xml:space="preserve"> order streams with &lt; 4% gradient with and </w:t>
            </w:r>
            <w:r w:rsidRPr="00CF1969">
              <w:rPr>
                <w:rFonts w:ascii="Calibri" w:hAnsi="Calibri" w:cstheme="minorHAnsi"/>
                <w:sz w:val="16"/>
                <w:szCs w:val="16"/>
              </w:rPr>
              <w:t>≥</w:t>
            </w:r>
            <w:r w:rsidRPr="00CF1969">
              <w:rPr>
                <w:rFonts w:ascii="Calibri" w:hAnsi="Calibri"/>
                <w:sz w:val="16"/>
                <w:szCs w:val="16"/>
              </w:rPr>
              <w:t xml:space="preserve"> 50% federal ownership</w:t>
            </w:r>
          </w:p>
        </w:tc>
        <w:tc>
          <w:tcPr>
            <w:tcW w:w="2605" w:type="dxa"/>
            <w:tcBorders>
              <w:top w:val="single" w:sz="4" w:space="0" w:color="BFBFBF" w:themeColor="background1" w:themeShade="BF"/>
              <w:bottom w:val="single" w:sz="4" w:space="0" w:color="BFBFBF" w:themeColor="background1" w:themeShade="BF"/>
            </w:tcBorders>
          </w:tcPr>
          <w:p w14:paraId="1EDAA511" w14:textId="77777777" w:rsidR="00CF1969" w:rsidRPr="00CF1969" w:rsidRDefault="00CF1969" w:rsidP="0062504A">
            <w:pPr>
              <w:spacing w:after="0"/>
              <w:rPr>
                <w:rFonts w:ascii="Calibri" w:hAnsi="Calibri"/>
                <w:sz w:val="16"/>
                <w:szCs w:val="16"/>
              </w:rPr>
            </w:pPr>
            <w:r w:rsidRPr="00CF1969">
              <w:rPr>
                <w:rFonts w:ascii="Calibri" w:hAnsi="Calibri"/>
                <w:sz w:val="16"/>
                <w:szCs w:val="16"/>
              </w:rPr>
              <w:t>Wadable 1</w:t>
            </w:r>
            <w:r w:rsidRPr="00CF1969">
              <w:rPr>
                <w:rFonts w:ascii="Calibri" w:hAnsi="Calibri"/>
                <w:sz w:val="16"/>
                <w:szCs w:val="16"/>
                <w:vertAlign w:val="superscript"/>
              </w:rPr>
              <w:t>st</w:t>
            </w:r>
            <w:r w:rsidRPr="00CF1969">
              <w:rPr>
                <w:rFonts w:ascii="Calibri" w:hAnsi="Calibri"/>
                <w:sz w:val="16"/>
                <w:szCs w:val="16"/>
              </w:rPr>
              <w:t>-4</w:t>
            </w:r>
            <w:r w:rsidRPr="00CF1969">
              <w:rPr>
                <w:rFonts w:ascii="Calibri" w:hAnsi="Calibri"/>
                <w:sz w:val="16"/>
                <w:szCs w:val="16"/>
                <w:vertAlign w:val="superscript"/>
              </w:rPr>
              <w:t>th</w:t>
            </w:r>
            <w:r w:rsidRPr="00CF1969">
              <w:rPr>
                <w:rFonts w:ascii="Calibri" w:hAnsi="Calibri"/>
                <w:sz w:val="16"/>
                <w:szCs w:val="16"/>
              </w:rPr>
              <w:t xml:space="preserve"> order streams, and some large rivers using a boat-based protocol</w:t>
            </w:r>
          </w:p>
        </w:tc>
      </w:tr>
      <w:tr w:rsidR="00CF1969" w:rsidRPr="00CF1969" w14:paraId="5351E096" w14:textId="77777777" w:rsidTr="0062504A">
        <w:tc>
          <w:tcPr>
            <w:tcW w:w="1795" w:type="dxa"/>
            <w:tcBorders>
              <w:top w:val="single" w:sz="4" w:space="0" w:color="BFBFBF" w:themeColor="background1" w:themeShade="BF"/>
              <w:bottom w:val="single" w:sz="4" w:space="0" w:color="BFBFBF" w:themeColor="background1" w:themeShade="BF"/>
            </w:tcBorders>
          </w:tcPr>
          <w:p w14:paraId="7401E2C7" w14:textId="77777777" w:rsidR="00CF1969" w:rsidRPr="00CF1969" w:rsidRDefault="00CF1969" w:rsidP="0062504A">
            <w:pPr>
              <w:spacing w:after="0"/>
              <w:rPr>
                <w:rFonts w:ascii="Calibri" w:hAnsi="Calibri"/>
                <w:sz w:val="16"/>
                <w:szCs w:val="16"/>
              </w:rPr>
            </w:pPr>
            <w:r w:rsidRPr="00CF1969">
              <w:rPr>
                <w:rFonts w:ascii="Calibri" w:hAnsi="Calibri"/>
                <w:sz w:val="16"/>
                <w:szCs w:val="16"/>
              </w:rPr>
              <w:t>Coverage</w:t>
            </w:r>
          </w:p>
        </w:tc>
        <w:tc>
          <w:tcPr>
            <w:tcW w:w="2610" w:type="dxa"/>
            <w:tcBorders>
              <w:top w:val="single" w:sz="4" w:space="0" w:color="BFBFBF" w:themeColor="background1" w:themeShade="BF"/>
              <w:bottom w:val="single" w:sz="4" w:space="0" w:color="BFBFBF" w:themeColor="background1" w:themeShade="BF"/>
            </w:tcBorders>
          </w:tcPr>
          <w:p w14:paraId="0765D44C" w14:textId="77777777" w:rsidR="00CF1969" w:rsidRPr="00CF1969" w:rsidRDefault="00CF1969" w:rsidP="0062504A">
            <w:pPr>
              <w:spacing w:after="0"/>
              <w:rPr>
                <w:rFonts w:ascii="Calibri" w:hAnsi="Calibri"/>
                <w:sz w:val="16"/>
                <w:szCs w:val="16"/>
              </w:rPr>
            </w:pPr>
            <w:r w:rsidRPr="00CF1969">
              <w:rPr>
                <w:rFonts w:ascii="Calibri" w:hAnsi="Calibri"/>
                <w:sz w:val="16"/>
                <w:szCs w:val="16"/>
              </w:rPr>
              <w:t>Idaho streams outside wilderness, including private and public lands</w:t>
            </w:r>
          </w:p>
        </w:tc>
        <w:tc>
          <w:tcPr>
            <w:tcW w:w="2340" w:type="dxa"/>
            <w:tcBorders>
              <w:top w:val="single" w:sz="4" w:space="0" w:color="BFBFBF" w:themeColor="background1" w:themeShade="BF"/>
              <w:bottom w:val="single" w:sz="4" w:space="0" w:color="BFBFBF" w:themeColor="background1" w:themeShade="BF"/>
            </w:tcBorders>
          </w:tcPr>
          <w:p w14:paraId="688E1F94" w14:textId="77777777" w:rsidR="00CF1969" w:rsidRPr="00CF1969" w:rsidRDefault="00CF1969" w:rsidP="0062504A">
            <w:pPr>
              <w:spacing w:after="0"/>
              <w:rPr>
                <w:rFonts w:ascii="Calibri" w:hAnsi="Calibri"/>
                <w:sz w:val="16"/>
                <w:szCs w:val="16"/>
              </w:rPr>
            </w:pPr>
            <w:r w:rsidRPr="00CF1969">
              <w:rPr>
                <w:rFonts w:ascii="Calibri" w:hAnsi="Calibri"/>
                <w:sz w:val="16"/>
                <w:szCs w:val="16"/>
              </w:rPr>
              <w:t>USFS and BLM lands</w:t>
            </w:r>
          </w:p>
        </w:tc>
        <w:tc>
          <w:tcPr>
            <w:tcW w:w="2605" w:type="dxa"/>
            <w:tcBorders>
              <w:top w:val="single" w:sz="4" w:space="0" w:color="BFBFBF" w:themeColor="background1" w:themeShade="BF"/>
              <w:bottom w:val="single" w:sz="4" w:space="0" w:color="BFBFBF" w:themeColor="background1" w:themeShade="BF"/>
            </w:tcBorders>
          </w:tcPr>
          <w:p w14:paraId="2F5E64E8" w14:textId="77777777" w:rsidR="00CF1969" w:rsidRPr="00CF1969" w:rsidRDefault="00CF1969" w:rsidP="0062504A">
            <w:pPr>
              <w:spacing w:after="0"/>
              <w:rPr>
                <w:rFonts w:ascii="Calibri" w:hAnsi="Calibri"/>
                <w:sz w:val="16"/>
                <w:szCs w:val="16"/>
              </w:rPr>
            </w:pPr>
            <w:r w:rsidRPr="00CF1969">
              <w:rPr>
                <w:rFonts w:ascii="Calibri" w:hAnsi="Calibri"/>
                <w:sz w:val="16"/>
                <w:szCs w:val="16"/>
              </w:rPr>
              <w:t>BLM lands</w:t>
            </w:r>
          </w:p>
        </w:tc>
      </w:tr>
      <w:tr w:rsidR="00CF1969" w:rsidRPr="00CF1969" w14:paraId="70A0B7AB" w14:textId="77777777" w:rsidTr="0062504A">
        <w:tc>
          <w:tcPr>
            <w:tcW w:w="1795" w:type="dxa"/>
            <w:tcBorders>
              <w:top w:val="single" w:sz="4" w:space="0" w:color="BFBFBF" w:themeColor="background1" w:themeShade="BF"/>
              <w:bottom w:val="single" w:sz="4" w:space="0" w:color="BFBFBF" w:themeColor="background1" w:themeShade="BF"/>
            </w:tcBorders>
          </w:tcPr>
          <w:p w14:paraId="0721BF33" w14:textId="77777777" w:rsidR="00CF1969" w:rsidRPr="00CF1969" w:rsidRDefault="00CF1969" w:rsidP="0062504A">
            <w:pPr>
              <w:spacing w:after="0"/>
              <w:rPr>
                <w:rFonts w:ascii="Calibri" w:hAnsi="Calibri"/>
                <w:sz w:val="16"/>
                <w:szCs w:val="16"/>
              </w:rPr>
            </w:pPr>
            <w:r w:rsidRPr="00CF1969">
              <w:rPr>
                <w:rFonts w:ascii="Calibri" w:hAnsi="Calibri"/>
                <w:sz w:val="16"/>
                <w:szCs w:val="16"/>
              </w:rPr>
              <w:t>Sample design</w:t>
            </w:r>
          </w:p>
        </w:tc>
        <w:tc>
          <w:tcPr>
            <w:tcW w:w="2610" w:type="dxa"/>
            <w:tcBorders>
              <w:top w:val="single" w:sz="4" w:space="0" w:color="BFBFBF" w:themeColor="background1" w:themeShade="BF"/>
              <w:bottom w:val="single" w:sz="4" w:space="0" w:color="BFBFBF" w:themeColor="background1" w:themeShade="BF"/>
            </w:tcBorders>
          </w:tcPr>
          <w:p w14:paraId="34B0BFCD" w14:textId="77777777" w:rsidR="00CF1969" w:rsidRPr="00CF1969" w:rsidRDefault="00CF1969" w:rsidP="0062504A">
            <w:pPr>
              <w:spacing w:after="0"/>
              <w:rPr>
                <w:rFonts w:ascii="Calibri" w:hAnsi="Calibri"/>
                <w:sz w:val="16"/>
                <w:szCs w:val="16"/>
              </w:rPr>
            </w:pPr>
            <w:r w:rsidRPr="00CF1969">
              <w:rPr>
                <w:rFonts w:ascii="Calibri" w:hAnsi="Calibri"/>
                <w:sz w:val="16"/>
                <w:szCs w:val="16"/>
              </w:rPr>
              <w:t>Targeted nonrandom</w:t>
            </w:r>
          </w:p>
        </w:tc>
        <w:tc>
          <w:tcPr>
            <w:tcW w:w="2340" w:type="dxa"/>
            <w:tcBorders>
              <w:top w:val="single" w:sz="4" w:space="0" w:color="BFBFBF" w:themeColor="background1" w:themeShade="BF"/>
              <w:bottom w:val="single" w:sz="4" w:space="0" w:color="BFBFBF" w:themeColor="background1" w:themeShade="BF"/>
            </w:tcBorders>
          </w:tcPr>
          <w:p w14:paraId="7BBADEC1" w14:textId="29389FDB" w:rsidR="00CF1969" w:rsidRPr="00CF1969" w:rsidRDefault="00CF1969" w:rsidP="0062504A">
            <w:pPr>
              <w:spacing w:after="0"/>
              <w:rPr>
                <w:rFonts w:ascii="Calibri" w:hAnsi="Calibri"/>
                <w:sz w:val="16"/>
                <w:szCs w:val="16"/>
              </w:rPr>
            </w:pPr>
            <w:r>
              <w:rPr>
                <w:rFonts w:ascii="Calibri" w:hAnsi="Calibri"/>
                <w:sz w:val="16"/>
                <w:szCs w:val="16"/>
              </w:rPr>
              <w:t>Rotating panel</w:t>
            </w:r>
            <w:r w:rsidRPr="00CF1969">
              <w:rPr>
                <w:rFonts w:ascii="Calibri" w:hAnsi="Calibri"/>
                <w:sz w:val="16"/>
                <w:szCs w:val="16"/>
              </w:rPr>
              <w:t xml:space="preserve"> survey design, plus some targeted nonrandom sites</w:t>
            </w:r>
          </w:p>
        </w:tc>
        <w:tc>
          <w:tcPr>
            <w:tcW w:w="2605" w:type="dxa"/>
            <w:tcBorders>
              <w:top w:val="single" w:sz="4" w:space="0" w:color="BFBFBF" w:themeColor="background1" w:themeShade="BF"/>
              <w:bottom w:val="single" w:sz="4" w:space="0" w:color="BFBFBF" w:themeColor="background1" w:themeShade="BF"/>
            </w:tcBorders>
          </w:tcPr>
          <w:p w14:paraId="4B0096A9" w14:textId="77777777" w:rsidR="00CF1969" w:rsidRPr="00CF1969" w:rsidRDefault="00CF1969" w:rsidP="0062504A">
            <w:pPr>
              <w:spacing w:after="0"/>
              <w:rPr>
                <w:rFonts w:ascii="Calibri" w:hAnsi="Calibri"/>
                <w:sz w:val="16"/>
                <w:szCs w:val="16"/>
              </w:rPr>
            </w:pPr>
            <w:r w:rsidRPr="00CF1969">
              <w:rPr>
                <w:rFonts w:ascii="Calibri" w:hAnsi="Calibri"/>
                <w:sz w:val="16"/>
                <w:szCs w:val="16"/>
              </w:rPr>
              <w:t>Probability survey design, plus some targeted nonrandom sites</w:t>
            </w:r>
          </w:p>
        </w:tc>
      </w:tr>
      <w:tr w:rsidR="00CF1969" w:rsidRPr="00CF1969" w14:paraId="30F1EE06" w14:textId="77777777" w:rsidTr="0062504A">
        <w:tc>
          <w:tcPr>
            <w:tcW w:w="1795" w:type="dxa"/>
            <w:tcBorders>
              <w:top w:val="single" w:sz="4" w:space="0" w:color="BFBFBF" w:themeColor="background1" w:themeShade="BF"/>
              <w:bottom w:val="single" w:sz="4" w:space="0" w:color="BFBFBF" w:themeColor="background1" w:themeShade="BF"/>
            </w:tcBorders>
          </w:tcPr>
          <w:p w14:paraId="60B31900" w14:textId="77777777" w:rsidR="00CF1969" w:rsidRPr="00CF1969" w:rsidRDefault="00CF1969" w:rsidP="0062504A">
            <w:pPr>
              <w:spacing w:after="0"/>
              <w:rPr>
                <w:rFonts w:ascii="Calibri" w:hAnsi="Calibri"/>
                <w:sz w:val="16"/>
                <w:szCs w:val="16"/>
              </w:rPr>
            </w:pPr>
            <w:r w:rsidRPr="00CF1969">
              <w:rPr>
                <w:rFonts w:ascii="Calibri" w:hAnsi="Calibri"/>
                <w:sz w:val="16"/>
                <w:szCs w:val="16"/>
              </w:rPr>
              <w:t>Sample timing</w:t>
            </w:r>
          </w:p>
        </w:tc>
        <w:tc>
          <w:tcPr>
            <w:tcW w:w="2610" w:type="dxa"/>
            <w:tcBorders>
              <w:top w:val="single" w:sz="4" w:space="0" w:color="BFBFBF" w:themeColor="background1" w:themeShade="BF"/>
              <w:bottom w:val="single" w:sz="4" w:space="0" w:color="BFBFBF" w:themeColor="background1" w:themeShade="BF"/>
            </w:tcBorders>
          </w:tcPr>
          <w:p w14:paraId="51D2F4D5"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Summer baseflow </w:t>
            </w:r>
          </w:p>
        </w:tc>
        <w:tc>
          <w:tcPr>
            <w:tcW w:w="2340" w:type="dxa"/>
            <w:tcBorders>
              <w:top w:val="single" w:sz="4" w:space="0" w:color="BFBFBF" w:themeColor="background1" w:themeShade="BF"/>
              <w:bottom w:val="single" w:sz="4" w:space="0" w:color="BFBFBF" w:themeColor="background1" w:themeShade="BF"/>
            </w:tcBorders>
          </w:tcPr>
          <w:p w14:paraId="2507756F" w14:textId="77777777" w:rsidR="00CF1969" w:rsidRPr="00CF1969" w:rsidRDefault="00CF1969" w:rsidP="0062504A">
            <w:pPr>
              <w:spacing w:after="0"/>
              <w:rPr>
                <w:rFonts w:ascii="Calibri" w:hAnsi="Calibri"/>
                <w:sz w:val="16"/>
                <w:szCs w:val="16"/>
              </w:rPr>
            </w:pPr>
            <w:r w:rsidRPr="00CF1969">
              <w:rPr>
                <w:rFonts w:ascii="Calibri" w:hAnsi="Calibri"/>
                <w:sz w:val="16"/>
                <w:szCs w:val="16"/>
              </w:rPr>
              <w:t>Summer baseflow</w:t>
            </w:r>
          </w:p>
        </w:tc>
        <w:tc>
          <w:tcPr>
            <w:tcW w:w="2605" w:type="dxa"/>
            <w:tcBorders>
              <w:top w:val="single" w:sz="4" w:space="0" w:color="BFBFBF" w:themeColor="background1" w:themeShade="BF"/>
              <w:bottom w:val="single" w:sz="4" w:space="0" w:color="BFBFBF" w:themeColor="background1" w:themeShade="BF"/>
            </w:tcBorders>
          </w:tcPr>
          <w:p w14:paraId="2A30E5F0" w14:textId="77777777" w:rsidR="00CF1969" w:rsidRPr="00CF1969" w:rsidRDefault="00CF1969" w:rsidP="0062504A">
            <w:pPr>
              <w:spacing w:after="0"/>
              <w:rPr>
                <w:rFonts w:ascii="Calibri" w:hAnsi="Calibri"/>
                <w:sz w:val="16"/>
                <w:szCs w:val="16"/>
              </w:rPr>
            </w:pPr>
            <w:r w:rsidRPr="00CF1969">
              <w:rPr>
                <w:rFonts w:ascii="Calibri" w:hAnsi="Calibri"/>
                <w:sz w:val="16"/>
                <w:szCs w:val="16"/>
              </w:rPr>
              <w:t>Summer baseflow</w:t>
            </w:r>
          </w:p>
        </w:tc>
      </w:tr>
      <w:tr w:rsidR="00CF1969" w:rsidRPr="00CF1969" w14:paraId="0BFF3178" w14:textId="77777777" w:rsidTr="0062504A">
        <w:tc>
          <w:tcPr>
            <w:tcW w:w="1795" w:type="dxa"/>
            <w:tcBorders>
              <w:top w:val="single" w:sz="4" w:space="0" w:color="BFBFBF" w:themeColor="background1" w:themeShade="BF"/>
              <w:bottom w:val="single" w:sz="4" w:space="0" w:color="BFBFBF" w:themeColor="background1" w:themeShade="BF"/>
            </w:tcBorders>
          </w:tcPr>
          <w:p w14:paraId="4C451ABF" w14:textId="77777777" w:rsidR="00CF1969" w:rsidRPr="00CF1969" w:rsidRDefault="00CF1969" w:rsidP="0062504A">
            <w:pPr>
              <w:spacing w:after="0"/>
              <w:rPr>
                <w:rFonts w:ascii="Calibri" w:hAnsi="Calibri"/>
                <w:sz w:val="16"/>
                <w:szCs w:val="16"/>
              </w:rPr>
            </w:pPr>
            <w:r w:rsidRPr="00CF1969">
              <w:rPr>
                <w:rFonts w:ascii="Calibri" w:hAnsi="Calibri"/>
                <w:sz w:val="16"/>
                <w:szCs w:val="16"/>
              </w:rPr>
              <w:t>Repeat sampling of same reach across years</w:t>
            </w:r>
          </w:p>
        </w:tc>
        <w:tc>
          <w:tcPr>
            <w:tcW w:w="2610" w:type="dxa"/>
            <w:tcBorders>
              <w:top w:val="single" w:sz="4" w:space="0" w:color="BFBFBF" w:themeColor="background1" w:themeShade="BF"/>
              <w:bottom w:val="single" w:sz="4" w:space="0" w:color="BFBFBF" w:themeColor="background1" w:themeShade="BF"/>
            </w:tcBorders>
          </w:tcPr>
          <w:p w14:paraId="121FDE91" w14:textId="77777777" w:rsidR="00CF1969" w:rsidRPr="00CF1969" w:rsidRDefault="00CF1969" w:rsidP="0062504A">
            <w:pPr>
              <w:spacing w:after="0"/>
              <w:rPr>
                <w:rFonts w:ascii="Calibri" w:hAnsi="Calibri"/>
                <w:sz w:val="16"/>
                <w:szCs w:val="16"/>
              </w:rPr>
            </w:pPr>
            <w:r w:rsidRPr="00CF1969">
              <w:rPr>
                <w:rFonts w:ascii="Calibri" w:hAnsi="Calibri"/>
                <w:sz w:val="16"/>
                <w:szCs w:val="16"/>
              </w:rPr>
              <w:t>No</w:t>
            </w:r>
          </w:p>
        </w:tc>
        <w:tc>
          <w:tcPr>
            <w:tcW w:w="2340" w:type="dxa"/>
            <w:tcBorders>
              <w:top w:val="single" w:sz="4" w:space="0" w:color="BFBFBF" w:themeColor="background1" w:themeShade="BF"/>
              <w:bottom w:val="single" w:sz="4" w:space="0" w:color="BFBFBF" w:themeColor="background1" w:themeShade="BF"/>
            </w:tcBorders>
          </w:tcPr>
          <w:p w14:paraId="6BAA1799" w14:textId="77777777" w:rsidR="00CF1969" w:rsidRPr="00CF1969" w:rsidRDefault="00CF1969" w:rsidP="0062504A">
            <w:pPr>
              <w:spacing w:after="0"/>
              <w:rPr>
                <w:rFonts w:ascii="Calibri" w:hAnsi="Calibri"/>
                <w:sz w:val="16"/>
                <w:szCs w:val="16"/>
              </w:rPr>
            </w:pPr>
            <w:r w:rsidRPr="00CF1969">
              <w:rPr>
                <w:rFonts w:ascii="Calibri" w:hAnsi="Calibri"/>
                <w:sz w:val="16"/>
                <w:szCs w:val="16"/>
              </w:rPr>
              <w:t>Yes - most sites sampled every 5 years, a subset sampled annually or biennially</w:t>
            </w:r>
          </w:p>
        </w:tc>
        <w:tc>
          <w:tcPr>
            <w:tcW w:w="2605" w:type="dxa"/>
            <w:tcBorders>
              <w:top w:val="single" w:sz="4" w:space="0" w:color="BFBFBF" w:themeColor="background1" w:themeShade="BF"/>
              <w:bottom w:val="single" w:sz="4" w:space="0" w:color="BFBFBF" w:themeColor="background1" w:themeShade="BF"/>
            </w:tcBorders>
          </w:tcPr>
          <w:p w14:paraId="775827E3" w14:textId="77777777" w:rsidR="00CF1969" w:rsidRPr="00CF1969" w:rsidRDefault="00CF1969" w:rsidP="0062504A">
            <w:pPr>
              <w:spacing w:after="0"/>
              <w:rPr>
                <w:rFonts w:ascii="Calibri" w:hAnsi="Calibri"/>
                <w:sz w:val="16"/>
                <w:szCs w:val="16"/>
              </w:rPr>
            </w:pPr>
            <w:r w:rsidRPr="00CF1969">
              <w:rPr>
                <w:rFonts w:ascii="Calibri" w:hAnsi="Calibri"/>
                <w:sz w:val="16"/>
                <w:szCs w:val="16"/>
              </w:rPr>
              <w:t>Yes - most sites sampled every 5 years</w:t>
            </w:r>
          </w:p>
        </w:tc>
      </w:tr>
      <w:tr w:rsidR="00CF1969" w:rsidRPr="00CF1969" w14:paraId="010DC771" w14:textId="77777777" w:rsidTr="0062504A">
        <w:tc>
          <w:tcPr>
            <w:tcW w:w="1795" w:type="dxa"/>
            <w:tcBorders>
              <w:top w:val="single" w:sz="4" w:space="0" w:color="BFBFBF" w:themeColor="background1" w:themeShade="BF"/>
              <w:bottom w:val="single" w:sz="4" w:space="0" w:color="BFBFBF" w:themeColor="background1" w:themeShade="BF"/>
            </w:tcBorders>
          </w:tcPr>
          <w:p w14:paraId="581981C3" w14:textId="51C5D19C" w:rsidR="00CF1969" w:rsidRPr="00CF1969" w:rsidRDefault="00CF1969" w:rsidP="0062504A">
            <w:pPr>
              <w:spacing w:after="0"/>
              <w:rPr>
                <w:rFonts w:ascii="Calibri" w:hAnsi="Calibri"/>
                <w:sz w:val="16"/>
                <w:szCs w:val="16"/>
              </w:rPr>
            </w:pPr>
            <w:r w:rsidRPr="00CF1969">
              <w:rPr>
                <w:rFonts w:ascii="Calibri" w:hAnsi="Calibri"/>
                <w:sz w:val="16"/>
                <w:szCs w:val="16"/>
              </w:rPr>
              <w:t xml:space="preserve">Reference sites </w:t>
            </w:r>
            <w:r>
              <w:rPr>
                <w:rFonts w:ascii="Calibri" w:hAnsi="Calibri"/>
                <w:sz w:val="16"/>
                <w:szCs w:val="16"/>
              </w:rPr>
              <w:t>definition</w:t>
            </w:r>
          </w:p>
        </w:tc>
        <w:tc>
          <w:tcPr>
            <w:tcW w:w="2610" w:type="dxa"/>
            <w:tcBorders>
              <w:top w:val="single" w:sz="4" w:space="0" w:color="BFBFBF" w:themeColor="background1" w:themeShade="BF"/>
              <w:bottom w:val="single" w:sz="4" w:space="0" w:color="BFBFBF" w:themeColor="background1" w:themeShade="BF"/>
            </w:tcBorders>
          </w:tcPr>
          <w:p w14:paraId="65940661" w14:textId="0D675FCF" w:rsidR="00CF1969" w:rsidRPr="00CF1969" w:rsidRDefault="00CF1969" w:rsidP="0062504A">
            <w:pPr>
              <w:spacing w:after="0"/>
              <w:rPr>
                <w:rFonts w:ascii="Calibri" w:hAnsi="Calibri"/>
                <w:sz w:val="16"/>
                <w:szCs w:val="16"/>
              </w:rPr>
            </w:pPr>
            <w:r w:rsidRPr="00CF1969">
              <w:rPr>
                <w:rFonts w:ascii="Calibri" w:hAnsi="Calibri"/>
                <w:sz w:val="16"/>
                <w:szCs w:val="16"/>
              </w:rPr>
              <w:t xml:space="preserve">Among 1998-2007 BURP sites, 10% least-disturbed sites based on </w:t>
            </w:r>
            <w:r>
              <w:rPr>
                <w:rFonts w:ascii="Calibri" w:hAnsi="Calibri"/>
                <w:sz w:val="16"/>
                <w:szCs w:val="16"/>
              </w:rPr>
              <w:t>9</w:t>
            </w:r>
            <w:r w:rsidRPr="00CF1969">
              <w:rPr>
                <w:rFonts w:ascii="Calibri" w:hAnsi="Calibri"/>
                <w:sz w:val="16"/>
                <w:szCs w:val="16"/>
              </w:rPr>
              <w:t xml:space="preserve"> different land use criteria (Jessup and Pappani 2015).</w:t>
            </w:r>
          </w:p>
        </w:tc>
        <w:tc>
          <w:tcPr>
            <w:tcW w:w="2340" w:type="dxa"/>
            <w:tcBorders>
              <w:top w:val="single" w:sz="4" w:space="0" w:color="BFBFBF" w:themeColor="background1" w:themeShade="BF"/>
              <w:bottom w:val="single" w:sz="4" w:space="0" w:color="BFBFBF" w:themeColor="background1" w:themeShade="BF"/>
            </w:tcBorders>
          </w:tcPr>
          <w:p w14:paraId="7AC5B0B2"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Sites within Wilderness or meet all </w:t>
            </w:r>
            <w:proofErr w:type="gramStart"/>
            <w:r w:rsidRPr="00CF1969">
              <w:rPr>
                <w:rFonts w:ascii="Calibri" w:hAnsi="Calibri"/>
                <w:sz w:val="16"/>
                <w:szCs w:val="16"/>
              </w:rPr>
              <w:t>of:</w:t>
            </w:r>
            <w:proofErr w:type="gramEnd"/>
            <w:r w:rsidRPr="00CF1969">
              <w:rPr>
                <w:rFonts w:ascii="Calibri" w:hAnsi="Calibri"/>
                <w:sz w:val="16"/>
                <w:szCs w:val="16"/>
              </w:rPr>
              <w:t xml:space="preserve"> no obvious mining, no grazing within 30 years, &lt; 5% timber harvest, road density &lt; 0.5 km/km</w:t>
            </w:r>
            <w:r w:rsidRPr="00CF1969">
              <w:rPr>
                <w:rFonts w:ascii="Calibri" w:hAnsi="Calibri"/>
                <w:sz w:val="16"/>
                <w:szCs w:val="16"/>
                <w:vertAlign w:val="superscript"/>
              </w:rPr>
              <w:t>2</w:t>
            </w:r>
          </w:p>
        </w:tc>
        <w:tc>
          <w:tcPr>
            <w:tcW w:w="2605" w:type="dxa"/>
            <w:tcBorders>
              <w:top w:val="single" w:sz="4" w:space="0" w:color="BFBFBF" w:themeColor="background1" w:themeShade="BF"/>
              <w:bottom w:val="single" w:sz="4" w:space="0" w:color="BFBFBF" w:themeColor="background1" w:themeShade="BF"/>
            </w:tcBorders>
          </w:tcPr>
          <w:p w14:paraId="0D18875E" w14:textId="1A85AC2B" w:rsidR="00CF1969" w:rsidRPr="00CF1969" w:rsidRDefault="00CF1969" w:rsidP="0062504A">
            <w:pPr>
              <w:spacing w:after="0"/>
              <w:rPr>
                <w:rFonts w:ascii="Calibri" w:hAnsi="Calibri"/>
                <w:sz w:val="16"/>
                <w:szCs w:val="16"/>
              </w:rPr>
            </w:pPr>
            <w:r>
              <w:rPr>
                <w:rFonts w:ascii="Calibri" w:hAnsi="Calibri"/>
                <w:sz w:val="16"/>
                <w:szCs w:val="16"/>
              </w:rPr>
              <w:t>No program-specific reference sites</w:t>
            </w:r>
          </w:p>
        </w:tc>
      </w:tr>
      <w:tr w:rsidR="00CF1969" w:rsidRPr="00CF1969" w14:paraId="7CF85BE0" w14:textId="77777777" w:rsidTr="0062504A">
        <w:tc>
          <w:tcPr>
            <w:tcW w:w="1795" w:type="dxa"/>
            <w:tcBorders>
              <w:top w:val="single" w:sz="4" w:space="0" w:color="BFBFBF" w:themeColor="background1" w:themeShade="BF"/>
              <w:bottom w:val="single" w:sz="4" w:space="0" w:color="BFBFBF" w:themeColor="background1" w:themeShade="BF"/>
            </w:tcBorders>
          </w:tcPr>
          <w:p w14:paraId="08A8E690" w14:textId="77777777" w:rsidR="00CF1969" w:rsidRPr="00CF1969" w:rsidRDefault="00CF1969" w:rsidP="0062504A">
            <w:pPr>
              <w:spacing w:after="0"/>
              <w:rPr>
                <w:rFonts w:ascii="Calibri" w:hAnsi="Calibri"/>
                <w:sz w:val="16"/>
                <w:szCs w:val="16"/>
              </w:rPr>
            </w:pPr>
            <w:r w:rsidRPr="00CF1969">
              <w:rPr>
                <w:rFonts w:ascii="Calibri" w:hAnsi="Calibri"/>
                <w:sz w:val="16"/>
                <w:szCs w:val="16"/>
              </w:rPr>
              <w:t>Reach delineation</w:t>
            </w:r>
          </w:p>
        </w:tc>
        <w:tc>
          <w:tcPr>
            <w:tcW w:w="2610" w:type="dxa"/>
            <w:tcBorders>
              <w:top w:val="single" w:sz="4" w:space="0" w:color="BFBFBF" w:themeColor="background1" w:themeShade="BF"/>
              <w:bottom w:val="single" w:sz="4" w:space="0" w:color="BFBFBF" w:themeColor="background1" w:themeShade="BF"/>
            </w:tcBorders>
          </w:tcPr>
          <w:p w14:paraId="52A1D1BE"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30 x </w:t>
            </w:r>
            <w:proofErr w:type="spellStart"/>
            <w:r w:rsidRPr="00CF1969">
              <w:rPr>
                <w:rFonts w:ascii="Calibri" w:hAnsi="Calibri"/>
                <w:sz w:val="16"/>
                <w:szCs w:val="16"/>
              </w:rPr>
              <w:t>bankfull</w:t>
            </w:r>
            <w:proofErr w:type="spellEnd"/>
            <w:r w:rsidRPr="00CF1969">
              <w:rPr>
                <w:rFonts w:ascii="Calibri" w:hAnsi="Calibri"/>
                <w:sz w:val="16"/>
                <w:szCs w:val="16"/>
              </w:rPr>
              <w:t xml:space="preserve"> width, 100 m minimum</w:t>
            </w:r>
          </w:p>
        </w:tc>
        <w:tc>
          <w:tcPr>
            <w:tcW w:w="2340" w:type="dxa"/>
            <w:tcBorders>
              <w:top w:val="single" w:sz="4" w:space="0" w:color="BFBFBF" w:themeColor="background1" w:themeShade="BF"/>
              <w:bottom w:val="single" w:sz="4" w:space="0" w:color="BFBFBF" w:themeColor="background1" w:themeShade="BF"/>
            </w:tcBorders>
          </w:tcPr>
          <w:p w14:paraId="24F84A8B"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20 x </w:t>
            </w:r>
            <w:proofErr w:type="spellStart"/>
            <w:r w:rsidRPr="00CF1969">
              <w:rPr>
                <w:rFonts w:ascii="Calibri" w:hAnsi="Calibri"/>
                <w:sz w:val="16"/>
                <w:szCs w:val="16"/>
              </w:rPr>
              <w:t>bankfull</w:t>
            </w:r>
            <w:proofErr w:type="spellEnd"/>
            <w:r w:rsidRPr="00CF1969">
              <w:rPr>
                <w:rFonts w:ascii="Calibri" w:hAnsi="Calibri"/>
                <w:sz w:val="16"/>
                <w:szCs w:val="16"/>
              </w:rPr>
              <w:t xml:space="preserve"> width, 160 m min and 500 m max length. </w:t>
            </w:r>
          </w:p>
        </w:tc>
        <w:tc>
          <w:tcPr>
            <w:tcW w:w="2605" w:type="dxa"/>
            <w:tcBorders>
              <w:top w:val="single" w:sz="4" w:space="0" w:color="BFBFBF" w:themeColor="background1" w:themeShade="BF"/>
              <w:bottom w:val="single" w:sz="4" w:space="0" w:color="BFBFBF" w:themeColor="background1" w:themeShade="BF"/>
            </w:tcBorders>
          </w:tcPr>
          <w:p w14:paraId="6450707D"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20 x </w:t>
            </w:r>
            <w:proofErr w:type="spellStart"/>
            <w:r w:rsidRPr="00CF1969">
              <w:rPr>
                <w:rFonts w:ascii="Calibri" w:hAnsi="Calibri"/>
                <w:sz w:val="16"/>
                <w:szCs w:val="16"/>
              </w:rPr>
              <w:t>bankfull</w:t>
            </w:r>
            <w:proofErr w:type="spellEnd"/>
            <w:r w:rsidRPr="00CF1969">
              <w:rPr>
                <w:rFonts w:ascii="Calibri" w:hAnsi="Calibri"/>
                <w:sz w:val="16"/>
                <w:szCs w:val="16"/>
              </w:rPr>
              <w:t xml:space="preserve"> width, 150 m min, 4 km max</w:t>
            </w:r>
          </w:p>
        </w:tc>
      </w:tr>
      <w:tr w:rsidR="00CF1969" w:rsidRPr="00CF1969" w14:paraId="1C31FF01" w14:textId="77777777" w:rsidTr="0062504A">
        <w:tc>
          <w:tcPr>
            <w:tcW w:w="1795" w:type="dxa"/>
            <w:tcBorders>
              <w:top w:val="single" w:sz="4" w:space="0" w:color="BFBFBF" w:themeColor="background1" w:themeShade="BF"/>
              <w:bottom w:val="single" w:sz="4" w:space="0" w:color="BFBFBF" w:themeColor="background1" w:themeShade="BF"/>
            </w:tcBorders>
          </w:tcPr>
          <w:p w14:paraId="5EE992DD" w14:textId="77777777" w:rsidR="00CF1969" w:rsidRPr="00CF1969" w:rsidRDefault="00CF1969" w:rsidP="0062504A">
            <w:pPr>
              <w:spacing w:after="0"/>
              <w:rPr>
                <w:rFonts w:ascii="Calibri" w:hAnsi="Calibri"/>
                <w:sz w:val="16"/>
                <w:szCs w:val="16"/>
              </w:rPr>
            </w:pPr>
            <w:r w:rsidRPr="00CF1969">
              <w:rPr>
                <w:rFonts w:ascii="Calibri" w:hAnsi="Calibri"/>
                <w:sz w:val="16"/>
                <w:szCs w:val="16"/>
              </w:rPr>
              <w:t>Pebble count</w:t>
            </w:r>
          </w:p>
        </w:tc>
        <w:tc>
          <w:tcPr>
            <w:tcW w:w="2610" w:type="dxa"/>
            <w:tcBorders>
              <w:top w:val="single" w:sz="4" w:space="0" w:color="BFBFBF" w:themeColor="background1" w:themeShade="BF"/>
              <w:bottom w:val="single" w:sz="4" w:space="0" w:color="BFBFBF" w:themeColor="background1" w:themeShade="BF"/>
            </w:tcBorders>
          </w:tcPr>
          <w:p w14:paraId="41B4171B" w14:textId="77777777" w:rsidR="00CF1969" w:rsidRPr="00CF1969" w:rsidRDefault="00CF1969" w:rsidP="0062504A">
            <w:pPr>
              <w:spacing w:after="0"/>
              <w:rPr>
                <w:rFonts w:ascii="Calibri" w:hAnsi="Calibri"/>
                <w:sz w:val="16"/>
                <w:szCs w:val="16"/>
              </w:rPr>
            </w:pPr>
            <w:r w:rsidRPr="00CF1969">
              <w:rPr>
                <w:rFonts w:ascii="Calibri" w:hAnsi="Calibri"/>
                <w:sz w:val="16"/>
                <w:szCs w:val="16"/>
              </w:rPr>
              <w:t>Modified Wolman method, % &lt; 2.5 mm, based on at least 50 particles from each of 3 riffle transects</w:t>
            </w:r>
          </w:p>
        </w:tc>
        <w:tc>
          <w:tcPr>
            <w:tcW w:w="2340" w:type="dxa"/>
            <w:tcBorders>
              <w:top w:val="single" w:sz="4" w:space="0" w:color="BFBFBF" w:themeColor="background1" w:themeShade="BF"/>
              <w:bottom w:val="single" w:sz="4" w:space="0" w:color="BFBFBF" w:themeColor="background1" w:themeShade="BF"/>
            </w:tcBorders>
          </w:tcPr>
          <w:p w14:paraId="34E73316" w14:textId="77777777" w:rsidR="00CF1969" w:rsidRPr="00CF1969" w:rsidRDefault="00CF1969" w:rsidP="0062504A">
            <w:pPr>
              <w:spacing w:after="0"/>
              <w:rPr>
                <w:rFonts w:ascii="Calibri" w:hAnsi="Calibri"/>
                <w:sz w:val="16"/>
                <w:szCs w:val="16"/>
              </w:rPr>
            </w:pPr>
            <w:r w:rsidRPr="00CF1969">
              <w:rPr>
                <w:rFonts w:ascii="Calibri" w:hAnsi="Calibri"/>
                <w:sz w:val="16"/>
                <w:szCs w:val="16"/>
              </w:rPr>
              <w:t>Modified Wolman method, % &lt; 2mm, based on 5 particles from each of 20 transects within reach</w:t>
            </w:r>
          </w:p>
        </w:tc>
        <w:tc>
          <w:tcPr>
            <w:tcW w:w="2605" w:type="dxa"/>
            <w:tcBorders>
              <w:top w:val="single" w:sz="4" w:space="0" w:color="BFBFBF" w:themeColor="background1" w:themeShade="BF"/>
              <w:bottom w:val="single" w:sz="4" w:space="0" w:color="BFBFBF" w:themeColor="background1" w:themeShade="BF"/>
            </w:tcBorders>
          </w:tcPr>
          <w:p w14:paraId="249FA963" w14:textId="77777777" w:rsidR="00CF1969" w:rsidRPr="00CF1969" w:rsidRDefault="00CF1969" w:rsidP="0062504A">
            <w:pPr>
              <w:spacing w:after="0"/>
              <w:rPr>
                <w:rFonts w:ascii="Calibri" w:hAnsi="Calibri"/>
                <w:sz w:val="16"/>
                <w:szCs w:val="16"/>
              </w:rPr>
            </w:pPr>
            <w:r w:rsidRPr="00CF1969">
              <w:rPr>
                <w:rFonts w:ascii="Calibri" w:hAnsi="Calibri"/>
                <w:sz w:val="16"/>
                <w:szCs w:val="16"/>
              </w:rPr>
              <w:t>Modified Wolman method, % &lt; 2 mm, based on 10 particles from each of 21 transects within reach</w:t>
            </w:r>
          </w:p>
        </w:tc>
      </w:tr>
      <w:tr w:rsidR="00CF1969" w:rsidRPr="00CF1969" w14:paraId="64C671F0" w14:textId="77777777" w:rsidTr="0062504A">
        <w:tc>
          <w:tcPr>
            <w:tcW w:w="1795" w:type="dxa"/>
            <w:tcBorders>
              <w:top w:val="single" w:sz="4" w:space="0" w:color="BFBFBF" w:themeColor="background1" w:themeShade="BF"/>
              <w:bottom w:val="single" w:sz="4" w:space="0" w:color="BFBFBF" w:themeColor="background1" w:themeShade="BF"/>
            </w:tcBorders>
          </w:tcPr>
          <w:p w14:paraId="45107A24" w14:textId="77777777" w:rsidR="00CF1969" w:rsidRPr="00CF1969" w:rsidRDefault="00CF1969" w:rsidP="0062504A">
            <w:pPr>
              <w:spacing w:after="0"/>
              <w:rPr>
                <w:rFonts w:ascii="Calibri" w:hAnsi="Calibri"/>
                <w:sz w:val="16"/>
                <w:szCs w:val="16"/>
              </w:rPr>
            </w:pPr>
            <w:r w:rsidRPr="00CF1969">
              <w:rPr>
                <w:rFonts w:ascii="Calibri" w:hAnsi="Calibri"/>
                <w:sz w:val="16"/>
                <w:szCs w:val="16"/>
              </w:rPr>
              <w:t>Macroinvertebrate sample collection</w:t>
            </w:r>
          </w:p>
        </w:tc>
        <w:tc>
          <w:tcPr>
            <w:tcW w:w="2610" w:type="dxa"/>
            <w:tcBorders>
              <w:top w:val="single" w:sz="4" w:space="0" w:color="BFBFBF" w:themeColor="background1" w:themeShade="BF"/>
              <w:bottom w:val="single" w:sz="4" w:space="0" w:color="BFBFBF" w:themeColor="background1" w:themeShade="BF"/>
            </w:tcBorders>
          </w:tcPr>
          <w:p w14:paraId="242A9A6F"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Composite of 3 500 </w:t>
            </w:r>
            <w:r w:rsidRPr="00CF1969">
              <w:rPr>
                <w:rFonts w:ascii="Calibri" w:hAnsi="Calibri" w:cstheme="minorHAnsi"/>
                <w:sz w:val="16"/>
                <w:szCs w:val="16"/>
              </w:rPr>
              <w:t>µ</w:t>
            </w:r>
            <w:r w:rsidRPr="00CF1969">
              <w:rPr>
                <w:rFonts w:ascii="Calibri" w:hAnsi="Calibri"/>
                <w:sz w:val="16"/>
                <w:szCs w:val="16"/>
              </w:rPr>
              <w:t>m mesh Hess samples from 3 riffle habitats</w:t>
            </w:r>
          </w:p>
        </w:tc>
        <w:tc>
          <w:tcPr>
            <w:tcW w:w="2340" w:type="dxa"/>
            <w:tcBorders>
              <w:top w:val="single" w:sz="4" w:space="0" w:color="BFBFBF" w:themeColor="background1" w:themeShade="BF"/>
              <w:bottom w:val="single" w:sz="4" w:space="0" w:color="BFBFBF" w:themeColor="background1" w:themeShade="BF"/>
            </w:tcBorders>
          </w:tcPr>
          <w:p w14:paraId="1173689F"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Composite of 8 500 </w:t>
            </w:r>
            <w:r w:rsidRPr="00CF1969">
              <w:rPr>
                <w:rFonts w:ascii="Calibri" w:hAnsi="Calibri" w:cstheme="minorHAnsi"/>
                <w:sz w:val="16"/>
                <w:szCs w:val="16"/>
              </w:rPr>
              <w:t>µ</w:t>
            </w:r>
            <w:r w:rsidRPr="00CF1969">
              <w:rPr>
                <w:rFonts w:ascii="Calibri" w:hAnsi="Calibri"/>
                <w:sz w:val="16"/>
                <w:szCs w:val="16"/>
              </w:rPr>
              <w:t>m mesh Surber net samples from riffle habitats</w:t>
            </w:r>
          </w:p>
        </w:tc>
        <w:tc>
          <w:tcPr>
            <w:tcW w:w="2605" w:type="dxa"/>
            <w:tcBorders>
              <w:top w:val="single" w:sz="4" w:space="0" w:color="BFBFBF" w:themeColor="background1" w:themeShade="BF"/>
              <w:bottom w:val="single" w:sz="4" w:space="0" w:color="BFBFBF" w:themeColor="background1" w:themeShade="BF"/>
            </w:tcBorders>
          </w:tcPr>
          <w:p w14:paraId="13815C81"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Composite of 8 500 </w:t>
            </w:r>
            <w:r w:rsidRPr="00CF1969">
              <w:rPr>
                <w:rFonts w:ascii="Calibri" w:hAnsi="Calibri" w:cstheme="minorHAnsi"/>
                <w:sz w:val="16"/>
                <w:szCs w:val="16"/>
              </w:rPr>
              <w:t>µ</w:t>
            </w:r>
            <w:r w:rsidRPr="00CF1969">
              <w:rPr>
                <w:rFonts w:ascii="Calibri" w:hAnsi="Calibri"/>
                <w:sz w:val="16"/>
                <w:szCs w:val="16"/>
              </w:rPr>
              <w:t>m mesh Surber net samples from riffle habitats or of 11 Surber samples spanning multiple habitat types</w:t>
            </w:r>
          </w:p>
        </w:tc>
      </w:tr>
      <w:tr w:rsidR="00CF1969" w:rsidRPr="00CF1969" w14:paraId="03DF308C" w14:textId="77777777" w:rsidTr="0062504A">
        <w:tc>
          <w:tcPr>
            <w:tcW w:w="1795" w:type="dxa"/>
            <w:tcBorders>
              <w:top w:val="single" w:sz="4" w:space="0" w:color="BFBFBF" w:themeColor="background1" w:themeShade="BF"/>
              <w:bottom w:val="single" w:sz="4" w:space="0" w:color="BFBFBF" w:themeColor="background1" w:themeShade="BF"/>
            </w:tcBorders>
          </w:tcPr>
          <w:p w14:paraId="2C0E036B" w14:textId="77777777" w:rsidR="00CF1969" w:rsidRPr="00CF1969" w:rsidRDefault="00CF1969" w:rsidP="0062504A">
            <w:pPr>
              <w:spacing w:after="0"/>
              <w:rPr>
                <w:rFonts w:ascii="Calibri" w:hAnsi="Calibri"/>
                <w:sz w:val="16"/>
                <w:szCs w:val="16"/>
              </w:rPr>
            </w:pPr>
            <w:r w:rsidRPr="00CF1969">
              <w:rPr>
                <w:rFonts w:ascii="Calibri" w:hAnsi="Calibri"/>
                <w:sz w:val="16"/>
                <w:szCs w:val="16"/>
              </w:rPr>
              <w:t>Taxonomic laboratory</w:t>
            </w:r>
          </w:p>
        </w:tc>
        <w:tc>
          <w:tcPr>
            <w:tcW w:w="2610" w:type="dxa"/>
            <w:tcBorders>
              <w:top w:val="single" w:sz="4" w:space="0" w:color="BFBFBF" w:themeColor="background1" w:themeShade="BF"/>
              <w:bottom w:val="single" w:sz="4" w:space="0" w:color="BFBFBF" w:themeColor="background1" w:themeShade="BF"/>
            </w:tcBorders>
          </w:tcPr>
          <w:p w14:paraId="30A5E3AF" w14:textId="77777777" w:rsidR="00CF1969" w:rsidRPr="00CF1969" w:rsidRDefault="00CF1969" w:rsidP="0062504A">
            <w:pPr>
              <w:spacing w:after="0"/>
              <w:rPr>
                <w:rFonts w:ascii="Calibri" w:hAnsi="Calibri"/>
                <w:sz w:val="16"/>
                <w:szCs w:val="16"/>
              </w:rPr>
            </w:pPr>
            <w:proofErr w:type="spellStart"/>
            <w:r w:rsidRPr="00CF1969">
              <w:rPr>
                <w:rFonts w:ascii="Calibri" w:hAnsi="Calibri"/>
                <w:sz w:val="16"/>
                <w:szCs w:val="16"/>
              </w:rPr>
              <w:t>EcoAnalysts</w:t>
            </w:r>
            <w:proofErr w:type="spellEnd"/>
          </w:p>
        </w:tc>
        <w:tc>
          <w:tcPr>
            <w:tcW w:w="2340" w:type="dxa"/>
            <w:tcBorders>
              <w:top w:val="single" w:sz="4" w:space="0" w:color="BFBFBF" w:themeColor="background1" w:themeShade="BF"/>
              <w:bottom w:val="single" w:sz="4" w:space="0" w:color="BFBFBF" w:themeColor="background1" w:themeShade="BF"/>
            </w:tcBorders>
          </w:tcPr>
          <w:p w14:paraId="671C72CF" w14:textId="77777777" w:rsidR="00CF1969" w:rsidRPr="00CF1969" w:rsidRDefault="00CF1969" w:rsidP="0062504A">
            <w:pPr>
              <w:spacing w:after="0"/>
              <w:rPr>
                <w:rFonts w:ascii="Calibri" w:hAnsi="Calibri"/>
                <w:sz w:val="16"/>
                <w:szCs w:val="16"/>
              </w:rPr>
            </w:pPr>
            <w:r w:rsidRPr="00CF1969">
              <w:rPr>
                <w:rFonts w:ascii="Calibri" w:hAnsi="Calibri"/>
                <w:sz w:val="16"/>
                <w:szCs w:val="16"/>
              </w:rPr>
              <w:t>Utah State University / National Aquatic Monitoring Center</w:t>
            </w:r>
          </w:p>
        </w:tc>
        <w:tc>
          <w:tcPr>
            <w:tcW w:w="2605" w:type="dxa"/>
            <w:tcBorders>
              <w:top w:val="single" w:sz="4" w:space="0" w:color="BFBFBF" w:themeColor="background1" w:themeShade="BF"/>
              <w:bottom w:val="single" w:sz="4" w:space="0" w:color="BFBFBF" w:themeColor="background1" w:themeShade="BF"/>
            </w:tcBorders>
          </w:tcPr>
          <w:p w14:paraId="496D5EEB" w14:textId="77777777" w:rsidR="00CF1969" w:rsidRPr="00CF1969" w:rsidRDefault="00CF1969" w:rsidP="0062504A">
            <w:pPr>
              <w:spacing w:after="0"/>
              <w:rPr>
                <w:rFonts w:ascii="Calibri" w:hAnsi="Calibri"/>
                <w:sz w:val="16"/>
                <w:szCs w:val="16"/>
              </w:rPr>
            </w:pPr>
            <w:r w:rsidRPr="00CF1969">
              <w:rPr>
                <w:rFonts w:ascii="Calibri" w:hAnsi="Calibri"/>
                <w:sz w:val="16"/>
                <w:szCs w:val="16"/>
              </w:rPr>
              <w:t>Utah State University / National Aquatic Monitoring Center</w:t>
            </w:r>
          </w:p>
        </w:tc>
      </w:tr>
      <w:tr w:rsidR="00CF1969" w:rsidRPr="00CF1969" w14:paraId="70B47752" w14:textId="77777777" w:rsidTr="0062504A">
        <w:tc>
          <w:tcPr>
            <w:tcW w:w="1795" w:type="dxa"/>
            <w:tcBorders>
              <w:top w:val="single" w:sz="4" w:space="0" w:color="BFBFBF" w:themeColor="background1" w:themeShade="BF"/>
              <w:bottom w:val="single" w:sz="4" w:space="0" w:color="BFBFBF" w:themeColor="background1" w:themeShade="BF"/>
            </w:tcBorders>
          </w:tcPr>
          <w:p w14:paraId="24560FCD" w14:textId="2657F975" w:rsidR="00CF1969" w:rsidRPr="00CF1969" w:rsidRDefault="00CF1969" w:rsidP="0062504A">
            <w:pPr>
              <w:spacing w:after="0"/>
              <w:rPr>
                <w:rFonts w:ascii="Calibri" w:hAnsi="Calibri"/>
                <w:sz w:val="16"/>
                <w:szCs w:val="16"/>
              </w:rPr>
            </w:pPr>
            <w:r w:rsidRPr="00CF1969">
              <w:rPr>
                <w:rFonts w:ascii="Calibri" w:hAnsi="Calibri"/>
                <w:sz w:val="16"/>
                <w:szCs w:val="16"/>
              </w:rPr>
              <w:t xml:space="preserve">Macroinvertebrate </w:t>
            </w:r>
            <w:r>
              <w:rPr>
                <w:rFonts w:ascii="Calibri" w:hAnsi="Calibri"/>
                <w:sz w:val="16"/>
                <w:szCs w:val="16"/>
              </w:rPr>
              <w:t xml:space="preserve">condition </w:t>
            </w:r>
            <w:r w:rsidRPr="00CF1969">
              <w:rPr>
                <w:rFonts w:ascii="Calibri" w:hAnsi="Calibri"/>
                <w:sz w:val="16"/>
                <w:szCs w:val="16"/>
              </w:rPr>
              <w:t>assessment approach</w:t>
            </w:r>
          </w:p>
        </w:tc>
        <w:tc>
          <w:tcPr>
            <w:tcW w:w="2610" w:type="dxa"/>
            <w:tcBorders>
              <w:top w:val="single" w:sz="4" w:space="0" w:color="BFBFBF" w:themeColor="background1" w:themeShade="BF"/>
              <w:bottom w:val="single" w:sz="4" w:space="0" w:color="BFBFBF" w:themeColor="background1" w:themeShade="BF"/>
            </w:tcBorders>
          </w:tcPr>
          <w:p w14:paraId="14A8F402" w14:textId="77777777" w:rsidR="00CF1969" w:rsidRPr="00CF1969" w:rsidRDefault="00CF1969" w:rsidP="0062504A">
            <w:pPr>
              <w:spacing w:after="0"/>
              <w:rPr>
                <w:rFonts w:ascii="Calibri" w:hAnsi="Calibri"/>
                <w:sz w:val="16"/>
                <w:szCs w:val="16"/>
              </w:rPr>
            </w:pPr>
            <w:r w:rsidRPr="00CF1969">
              <w:rPr>
                <w:rFonts w:ascii="Calibri" w:hAnsi="Calibri"/>
                <w:sz w:val="16"/>
                <w:szCs w:val="16"/>
              </w:rPr>
              <w:t xml:space="preserve">MMI (SMI2 </w:t>
            </w:r>
            <w:r w:rsidRPr="00CF1969">
              <w:rPr>
                <w:rFonts w:ascii="Calibri" w:hAnsi="Calibri" w:cstheme="minorHAnsi"/>
                <w:sz w:val="16"/>
                <w:szCs w:val="16"/>
              </w:rPr>
              <w:t>≥</w:t>
            </w:r>
            <w:r w:rsidRPr="00CF1969">
              <w:rPr>
                <w:rFonts w:ascii="Calibri" w:hAnsi="Calibri"/>
                <w:sz w:val="16"/>
                <w:szCs w:val="16"/>
              </w:rPr>
              <w:t xml:space="preserve"> 2)</w:t>
            </w:r>
          </w:p>
        </w:tc>
        <w:tc>
          <w:tcPr>
            <w:tcW w:w="2340" w:type="dxa"/>
            <w:tcBorders>
              <w:top w:val="single" w:sz="4" w:space="0" w:color="BFBFBF" w:themeColor="background1" w:themeShade="BF"/>
              <w:bottom w:val="single" w:sz="4" w:space="0" w:color="BFBFBF" w:themeColor="background1" w:themeShade="BF"/>
            </w:tcBorders>
          </w:tcPr>
          <w:p w14:paraId="30A59D9C" w14:textId="77777777" w:rsidR="00CF1969" w:rsidRPr="00CF1969" w:rsidRDefault="00CF1969" w:rsidP="0062504A">
            <w:pPr>
              <w:spacing w:after="0"/>
              <w:rPr>
                <w:rFonts w:ascii="Calibri" w:hAnsi="Calibri"/>
                <w:sz w:val="16"/>
                <w:szCs w:val="16"/>
              </w:rPr>
            </w:pPr>
            <w:r w:rsidRPr="00CF1969">
              <w:rPr>
                <w:rFonts w:ascii="Calibri" w:hAnsi="Calibri"/>
                <w:sz w:val="16"/>
                <w:szCs w:val="16"/>
              </w:rPr>
              <w:t>PIBO RIVPACS O/E model; target O/E &gt; 0.78</w:t>
            </w:r>
          </w:p>
        </w:tc>
        <w:tc>
          <w:tcPr>
            <w:tcW w:w="2605" w:type="dxa"/>
            <w:tcBorders>
              <w:top w:val="single" w:sz="4" w:space="0" w:color="BFBFBF" w:themeColor="background1" w:themeShade="BF"/>
              <w:bottom w:val="single" w:sz="4" w:space="0" w:color="BFBFBF" w:themeColor="background1" w:themeShade="BF"/>
            </w:tcBorders>
          </w:tcPr>
          <w:p w14:paraId="5C9C3BF1" w14:textId="77777777" w:rsidR="00CF1969" w:rsidRPr="00CF1969" w:rsidRDefault="00CF1969" w:rsidP="0062504A">
            <w:pPr>
              <w:spacing w:after="0"/>
              <w:rPr>
                <w:rFonts w:ascii="Calibri" w:hAnsi="Calibri"/>
                <w:sz w:val="16"/>
                <w:szCs w:val="16"/>
              </w:rPr>
            </w:pPr>
            <w:r w:rsidRPr="00CF1969">
              <w:rPr>
                <w:rFonts w:ascii="Calibri" w:hAnsi="Calibri"/>
                <w:sz w:val="16"/>
                <w:szCs w:val="16"/>
              </w:rPr>
              <w:t>PIBO RIVPACS O/E model; target O/E &gt; 0.63</w:t>
            </w:r>
          </w:p>
        </w:tc>
      </w:tr>
      <w:tr w:rsidR="00CF1969" w:rsidRPr="00CF1969" w14:paraId="15CF4084" w14:textId="77777777" w:rsidTr="0062504A">
        <w:tc>
          <w:tcPr>
            <w:tcW w:w="1795" w:type="dxa"/>
            <w:tcBorders>
              <w:top w:val="single" w:sz="4" w:space="0" w:color="BFBFBF" w:themeColor="background1" w:themeShade="BF"/>
              <w:bottom w:val="single" w:sz="4" w:space="0" w:color="BFBFBF" w:themeColor="background1" w:themeShade="BF"/>
            </w:tcBorders>
          </w:tcPr>
          <w:p w14:paraId="56527EC5" w14:textId="77777777" w:rsidR="00CF1969" w:rsidRPr="00CF1969" w:rsidRDefault="00CF1969" w:rsidP="0062504A">
            <w:pPr>
              <w:spacing w:after="0"/>
              <w:rPr>
                <w:rFonts w:ascii="Calibri" w:hAnsi="Calibri"/>
                <w:sz w:val="16"/>
                <w:szCs w:val="16"/>
              </w:rPr>
            </w:pPr>
            <w:r w:rsidRPr="00CF1969">
              <w:rPr>
                <w:rFonts w:ascii="Calibri" w:hAnsi="Calibri"/>
                <w:sz w:val="16"/>
                <w:szCs w:val="16"/>
              </w:rPr>
              <w:t>FSBI calculation</w:t>
            </w:r>
          </w:p>
        </w:tc>
        <w:tc>
          <w:tcPr>
            <w:tcW w:w="2610" w:type="dxa"/>
            <w:tcBorders>
              <w:top w:val="single" w:sz="4" w:space="0" w:color="BFBFBF" w:themeColor="background1" w:themeShade="BF"/>
              <w:bottom w:val="single" w:sz="4" w:space="0" w:color="BFBFBF" w:themeColor="background1" w:themeShade="BF"/>
            </w:tcBorders>
          </w:tcPr>
          <w:p w14:paraId="35D640AE" w14:textId="77777777" w:rsidR="00CF1969" w:rsidRPr="00CF1969" w:rsidRDefault="00CF1969" w:rsidP="0062504A">
            <w:pPr>
              <w:spacing w:after="0"/>
              <w:rPr>
                <w:rFonts w:ascii="Calibri" w:hAnsi="Calibri"/>
                <w:sz w:val="16"/>
                <w:szCs w:val="16"/>
              </w:rPr>
            </w:pPr>
            <w:r w:rsidRPr="00CF1969">
              <w:rPr>
                <w:rFonts w:ascii="Calibri" w:hAnsi="Calibri"/>
                <w:sz w:val="16"/>
                <w:szCs w:val="16"/>
              </w:rPr>
              <w:t>Yes. Calculated for each BURP sample 1998-present. See methods in supporting materials.</w:t>
            </w:r>
          </w:p>
        </w:tc>
        <w:tc>
          <w:tcPr>
            <w:tcW w:w="2340" w:type="dxa"/>
            <w:tcBorders>
              <w:top w:val="single" w:sz="4" w:space="0" w:color="BFBFBF" w:themeColor="background1" w:themeShade="BF"/>
              <w:bottom w:val="single" w:sz="4" w:space="0" w:color="BFBFBF" w:themeColor="background1" w:themeShade="BF"/>
            </w:tcBorders>
          </w:tcPr>
          <w:p w14:paraId="777C2960" w14:textId="2705D6A4" w:rsidR="00CF1969" w:rsidRPr="00CF1969" w:rsidRDefault="00CF1969" w:rsidP="0062504A">
            <w:pPr>
              <w:spacing w:after="0"/>
              <w:rPr>
                <w:rFonts w:ascii="Calibri" w:hAnsi="Calibri"/>
                <w:sz w:val="16"/>
                <w:szCs w:val="16"/>
              </w:rPr>
            </w:pPr>
            <w:r w:rsidRPr="00CF1969">
              <w:rPr>
                <w:rFonts w:ascii="Calibri" w:hAnsi="Calibri"/>
                <w:sz w:val="16"/>
                <w:szCs w:val="16"/>
              </w:rPr>
              <w:t>Not calculated. Calculated for this study</w:t>
            </w:r>
            <w:r>
              <w:rPr>
                <w:rFonts w:ascii="Calibri" w:hAnsi="Calibri"/>
                <w:sz w:val="16"/>
                <w:szCs w:val="16"/>
              </w:rPr>
              <w:t>.</w:t>
            </w:r>
          </w:p>
        </w:tc>
        <w:tc>
          <w:tcPr>
            <w:tcW w:w="2605" w:type="dxa"/>
            <w:tcBorders>
              <w:top w:val="single" w:sz="4" w:space="0" w:color="BFBFBF" w:themeColor="background1" w:themeShade="BF"/>
              <w:bottom w:val="single" w:sz="4" w:space="0" w:color="BFBFBF" w:themeColor="background1" w:themeShade="BF"/>
            </w:tcBorders>
          </w:tcPr>
          <w:p w14:paraId="714C43BB" w14:textId="679FBA31" w:rsidR="00CF1969" w:rsidRPr="00CF1969" w:rsidRDefault="00CF1969" w:rsidP="0062504A">
            <w:pPr>
              <w:spacing w:after="0"/>
              <w:rPr>
                <w:rFonts w:ascii="Calibri" w:hAnsi="Calibri"/>
                <w:sz w:val="16"/>
                <w:szCs w:val="16"/>
              </w:rPr>
            </w:pPr>
            <w:r w:rsidRPr="00CF1969">
              <w:rPr>
                <w:rFonts w:ascii="Calibri" w:hAnsi="Calibri"/>
                <w:sz w:val="16"/>
                <w:szCs w:val="16"/>
              </w:rPr>
              <w:t>Not calculated. Calculated for this study</w:t>
            </w:r>
            <w:r>
              <w:rPr>
                <w:rFonts w:ascii="Calibri" w:hAnsi="Calibri"/>
                <w:sz w:val="16"/>
                <w:szCs w:val="16"/>
              </w:rPr>
              <w:t>.</w:t>
            </w:r>
          </w:p>
        </w:tc>
      </w:tr>
      <w:tr w:rsidR="00CF1969" w:rsidRPr="00CF1969" w14:paraId="058DE385" w14:textId="77777777" w:rsidTr="0062504A">
        <w:tc>
          <w:tcPr>
            <w:tcW w:w="1795" w:type="dxa"/>
            <w:tcBorders>
              <w:top w:val="single" w:sz="4" w:space="0" w:color="BFBFBF" w:themeColor="background1" w:themeShade="BF"/>
              <w:bottom w:val="single" w:sz="4" w:space="0" w:color="auto"/>
            </w:tcBorders>
          </w:tcPr>
          <w:p w14:paraId="4AEACADD" w14:textId="77777777" w:rsidR="00CF1969" w:rsidRPr="00CF1969" w:rsidRDefault="00CF1969" w:rsidP="0062504A">
            <w:pPr>
              <w:spacing w:after="0"/>
              <w:rPr>
                <w:rFonts w:ascii="Calibri" w:hAnsi="Calibri"/>
                <w:sz w:val="16"/>
                <w:szCs w:val="16"/>
              </w:rPr>
            </w:pPr>
            <w:r w:rsidRPr="00CF1969">
              <w:rPr>
                <w:rFonts w:ascii="Calibri" w:hAnsi="Calibri"/>
                <w:sz w:val="16"/>
                <w:szCs w:val="16"/>
              </w:rPr>
              <w:t>Data used in this study</w:t>
            </w:r>
          </w:p>
        </w:tc>
        <w:tc>
          <w:tcPr>
            <w:tcW w:w="2610" w:type="dxa"/>
            <w:tcBorders>
              <w:top w:val="single" w:sz="4" w:space="0" w:color="BFBFBF" w:themeColor="background1" w:themeShade="BF"/>
              <w:bottom w:val="single" w:sz="4" w:space="0" w:color="auto"/>
            </w:tcBorders>
          </w:tcPr>
          <w:p w14:paraId="2C7561FE" w14:textId="30104876" w:rsidR="00CF1969" w:rsidRPr="00CF1969" w:rsidRDefault="00CF1969" w:rsidP="0062504A">
            <w:pPr>
              <w:spacing w:after="0"/>
              <w:rPr>
                <w:rFonts w:ascii="Calibri" w:hAnsi="Calibri"/>
                <w:sz w:val="16"/>
                <w:szCs w:val="16"/>
              </w:rPr>
            </w:pPr>
            <w:r w:rsidRPr="00CF1969">
              <w:rPr>
                <w:rFonts w:ascii="Calibri" w:hAnsi="Calibri"/>
                <w:sz w:val="16"/>
                <w:szCs w:val="16"/>
              </w:rPr>
              <w:t>1998-2007 for reference benchmarks; 1998-2021 for stressor-response</w:t>
            </w:r>
            <w:r>
              <w:rPr>
                <w:rFonts w:ascii="Calibri" w:hAnsi="Calibri"/>
                <w:sz w:val="16"/>
                <w:szCs w:val="16"/>
              </w:rPr>
              <w:t xml:space="preserve"> benchmarks and framework performance analysis.</w:t>
            </w:r>
          </w:p>
        </w:tc>
        <w:tc>
          <w:tcPr>
            <w:tcW w:w="2340" w:type="dxa"/>
            <w:tcBorders>
              <w:top w:val="single" w:sz="4" w:space="0" w:color="BFBFBF" w:themeColor="background1" w:themeShade="BF"/>
              <w:bottom w:val="single" w:sz="4" w:space="0" w:color="auto"/>
            </w:tcBorders>
          </w:tcPr>
          <w:p w14:paraId="2E3D21B8" w14:textId="7D4BD696" w:rsidR="00CF1969" w:rsidRPr="00CF1969" w:rsidRDefault="00CF1969" w:rsidP="0062504A">
            <w:pPr>
              <w:spacing w:after="0"/>
              <w:rPr>
                <w:rFonts w:ascii="Calibri" w:hAnsi="Calibri"/>
                <w:sz w:val="16"/>
                <w:szCs w:val="16"/>
              </w:rPr>
            </w:pPr>
            <w:r>
              <w:rPr>
                <w:rFonts w:ascii="Calibri" w:hAnsi="Calibri"/>
                <w:sz w:val="16"/>
                <w:szCs w:val="16"/>
              </w:rPr>
              <w:t>1</w:t>
            </w:r>
            <w:r w:rsidRPr="00CF1969">
              <w:rPr>
                <w:rFonts w:ascii="Calibri" w:hAnsi="Calibri"/>
                <w:sz w:val="16"/>
                <w:szCs w:val="16"/>
                <w:vertAlign w:val="superscript"/>
              </w:rPr>
              <w:t>st</w:t>
            </w:r>
            <w:r>
              <w:rPr>
                <w:rFonts w:ascii="Calibri" w:hAnsi="Calibri"/>
                <w:sz w:val="16"/>
                <w:szCs w:val="16"/>
              </w:rPr>
              <w:t>-4</w:t>
            </w:r>
            <w:r w:rsidRPr="00CF1969">
              <w:rPr>
                <w:rFonts w:ascii="Calibri" w:hAnsi="Calibri"/>
                <w:sz w:val="16"/>
                <w:szCs w:val="16"/>
                <w:vertAlign w:val="superscript"/>
              </w:rPr>
              <w:t>th</w:t>
            </w:r>
            <w:r>
              <w:rPr>
                <w:rFonts w:ascii="Calibri" w:hAnsi="Calibri"/>
                <w:sz w:val="16"/>
                <w:szCs w:val="16"/>
              </w:rPr>
              <w:t xml:space="preserve"> order reaches sampled by PIBO in Idaho 2004-2019 </w:t>
            </w:r>
          </w:p>
        </w:tc>
        <w:tc>
          <w:tcPr>
            <w:tcW w:w="2605" w:type="dxa"/>
            <w:tcBorders>
              <w:top w:val="single" w:sz="4" w:space="0" w:color="BFBFBF" w:themeColor="background1" w:themeShade="BF"/>
              <w:bottom w:val="single" w:sz="4" w:space="0" w:color="auto"/>
            </w:tcBorders>
          </w:tcPr>
          <w:p w14:paraId="7A435E84" w14:textId="0FD813BA" w:rsidR="00CF1969" w:rsidRPr="00CF1969" w:rsidRDefault="00CF1969" w:rsidP="0062504A">
            <w:pPr>
              <w:spacing w:after="0"/>
              <w:rPr>
                <w:rFonts w:ascii="Calibri" w:hAnsi="Calibri"/>
                <w:sz w:val="16"/>
                <w:szCs w:val="16"/>
              </w:rPr>
            </w:pPr>
            <w:r>
              <w:rPr>
                <w:rFonts w:ascii="Calibri" w:hAnsi="Calibri"/>
                <w:sz w:val="16"/>
                <w:szCs w:val="16"/>
              </w:rPr>
              <w:t>1</w:t>
            </w:r>
            <w:r w:rsidRPr="00CF1969">
              <w:rPr>
                <w:rFonts w:ascii="Calibri" w:hAnsi="Calibri"/>
                <w:sz w:val="16"/>
                <w:szCs w:val="16"/>
                <w:vertAlign w:val="superscript"/>
              </w:rPr>
              <w:t>st</w:t>
            </w:r>
            <w:r>
              <w:rPr>
                <w:rFonts w:ascii="Calibri" w:hAnsi="Calibri"/>
                <w:sz w:val="16"/>
                <w:szCs w:val="16"/>
              </w:rPr>
              <w:t>-4</w:t>
            </w:r>
            <w:r w:rsidRPr="00CF1969">
              <w:rPr>
                <w:rFonts w:ascii="Calibri" w:hAnsi="Calibri"/>
                <w:sz w:val="16"/>
                <w:szCs w:val="16"/>
                <w:vertAlign w:val="superscript"/>
              </w:rPr>
              <w:t>th</w:t>
            </w:r>
            <w:r>
              <w:rPr>
                <w:rFonts w:ascii="Calibri" w:hAnsi="Calibri"/>
                <w:sz w:val="16"/>
                <w:szCs w:val="16"/>
              </w:rPr>
              <w:t xml:space="preserve"> order reaches sampled by AIM in Idaho 2013-2022. </w:t>
            </w:r>
          </w:p>
        </w:tc>
      </w:tr>
    </w:tbl>
    <w:p w14:paraId="5894EBAA" w14:textId="77777777" w:rsidR="00CF1969" w:rsidRDefault="00CF1969">
      <w:pPr>
        <w:rPr>
          <w:b/>
          <w:bCs/>
          <w:u w:val="single"/>
        </w:rPr>
      </w:pPr>
    </w:p>
    <w:p w14:paraId="214C1B8B" w14:textId="7FC96C19" w:rsidR="00CF1969" w:rsidRDefault="00CF1969">
      <w:pPr>
        <w:rPr>
          <w:b/>
          <w:bCs/>
          <w:u w:val="single"/>
        </w:rPr>
      </w:pPr>
      <w:r>
        <w:rPr>
          <w:b/>
          <w:bCs/>
          <w:u w:val="single"/>
        </w:rPr>
        <w:br w:type="page"/>
      </w:r>
    </w:p>
    <w:p w14:paraId="0501BC31" w14:textId="3D16B405" w:rsidR="003D43EA" w:rsidRPr="00713383" w:rsidRDefault="003D43EA">
      <w:pPr>
        <w:rPr>
          <w:b/>
          <w:bCs/>
          <w:u w:val="single"/>
        </w:rPr>
      </w:pPr>
      <w:r w:rsidRPr="00602DDE">
        <w:rPr>
          <w:b/>
          <w:bCs/>
          <w:u w:val="single"/>
        </w:rPr>
        <w:lastRenderedPageBreak/>
        <w:t xml:space="preserve">Logistic Regression </w:t>
      </w:r>
      <w:r w:rsidR="00713383">
        <w:rPr>
          <w:b/>
          <w:bCs/>
          <w:u w:val="single"/>
        </w:rPr>
        <w:t>Curves</w:t>
      </w:r>
    </w:p>
    <w:p w14:paraId="329CCE28" w14:textId="77777777" w:rsidR="007912B2" w:rsidRDefault="007912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16C2D" w14:paraId="230F9547" w14:textId="77777777" w:rsidTr="00D56C6E">
        <w:tc>
          <w:tcPr>
            <w:tcW w:w="4788" w:type="dxa"/>
          </w:tcPr>
          <w:p w14:paraId="788F77DB" w14:textId="4CC77831" w:rsidR="003D43EA" w:rsidRDefault="00A16C2D">
            <w:r>
              <w:rPr>
                <w:noProof/>
              </w:rPr>
              <w:drawing>
                <wp:inline distT="0" distB="0" distL="0" distR="0" wp14:anchorId="147B3326" wp14:editId="270D84CE">
                  <wp:extent cx="2783588" cy="2686050"/>
                  <wp:effectExtent l="0" t="0" r="0" b="0"/>
                  <wp:docPr id="724664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1853" cy="2694026"/>
                          </a:xfrm>
                          <a:prstGeom prst="rect">
                            <a:avLst/>
                          </a:prstGeom>
                          <a:noFill/>
                        </pic:spPr>
                      </pic:pic>
                    </a:graphicData>
                  </a:graphic>
                </wp:inline>
              </w:drawing>
            </w:r>
          </w:p>
        </w:tc>
        <w:tc>
          <w:tcPr>
            <w:tcW w:w="4788" w:type="dxa"/>
          </w:tcPr>
          <w:p w14:paraId="32F6044C" w14:textId="22F3CE58" w:rsidR="003D43EA" w:rsidRDefault="00A16C2D">
            <w:r>
              <w:rPr>
                <w:noProof/>
              </w:rPr>
              <w:drawing>
                <wp:inline distT="0" distB="0" distL="0" distR="0" wp14:anchorId="4CCF8CEC" wp14:editId="2BBD1402">
                  <wp:extent cx="2793459" cy="2695575"/>
                  <wp:effectExtent l="0" t="0" r="6985" b="0"/>
                  <wp:docPr id="856697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9513" cy="2701417"/>
                          </a:xfrm>
                          <a:prstGeom prst="rect">
                            <a:avLst/>
                          </a:prstGeom>
                          <a:noFill/>
                        </pic:spPr>
                      </pic:pic>
                    </a:graphicData>
                  </a:graphic>
                </wp:inline>
              </w:drawing>
            </w:r>
          </w:p>
        </w:tc>
      </w:tr>
      <w:tr w:rsidR="00A16C2D" w14:paraId="15D0BE9C" w14:textId="77777777" w:rsidTr="00D56C6E">
        <w:trPr>
          <w:trHeight w:val="3608"/>
        </w:trPr>
        <w:tc>
          <w:tcPr>
            <w:tcW w:w="4788" w:type="dxa"/>
          </w:tcPr>
          <w:p w14:paraId="27DE8B14" w14:textId="3FD57DAE" w:rsidR="003D43EA" w:rsidRDefault="00A16C2D">
            <w:r>
              <w:rPr>
                <w:noProof/>
              </w:rPr>
              <w:drawing>
                <wp:inline distT="0" distB="0" distL="0" distR="0" wp14:anchorId="5935D9C7" wp14:editId="3188E2B4">
                  <wp:extent cx="2803330" cy="2705100"/>
                  <wp:effectExtent l="0" t="0" r="0" b="0"/>
                  <wp:docPr id="19367633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848" cy="2715249"/>
                          </a:xfrm>
                          <a:prstGeom prst="rect">
                            <a:avLst/>
                          </a:prstGeom>
                          <a:noFill/>
                        </pic:spPr>
                      </pic:pic>
                    </a:graphicData>
                  </a:graphic>
                </wp:inline>
              </w:drawing>
            </w:r>
          </w:p>
        </w:tc>
        <w:tc>
          <w:tcPr>
            <w:tcW w:w="4788" w:type="dxa"/>
          </w:tcPr>
          <w:p w14:paraId="1F8A4048" w14:textId="26BCBD50" w:rsidR="003D43EA" w:rsidRDefault="00A16C2D">
            <w:r>
              <w:rPr>
                <w:noProof/>
              </w:rPr>
              <w:drawing>
                <wp:inline distT="0" distB="0" distL="0" distR="0" wp14:anchorId="14606968" wp14:editId="4169F53A">
                  <wp:extent cx="2803330" cy="2705100"/>
                  <wp:effectExtent l="0" t="0" r="0" b="0"/>
                  <wp:docPr id="1593424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721" cy="2712232"/>
                          </a:xfrm>
                          <a:prstGeom prst="rect">
                            <a:avLst/>
                          </a:prstGeom>
                          <a:noFill/>
                        </pic:spPr>
                      </pic:pic>
                    </a:graphicData>
                  </a:graphic>
                </wp:inline>
              </w:drawing>
            </w:r>
          </w:p>
        </w:tc>
      </w:tr>
    </w:tbl>
    <w:p w14:paraId="33CD82D0" w14:textId="52911354" w:rsidR="006A3A91" w:rsidRDefault="001158A6">
      <w:r w:rsidRPr="001158A6">
        <w:rPr>
          <w:b/>
          <w:bCs/>
        </w:rPr>
        <w:t>Figure S1</w:t>
      </w:r>
      <w:r>
        <w:t>. Stressor-response logistic regressions for the Mountains site</w:t>
      </w:r>
      <w:r w:rsidR="00CA7C05">
        <w:t xml:space="preserve"> </w:t>
      </w:r>
      <w:r>
        <w:t xml:space="preserve">class. </w:t>
      </w:r>
    </w:p>
    <w:p w14:paraId="7DE46BCF" w14:textId="46A75B52" w:rsidR="003D43EA" w:rsidRDefault="003D43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643FD0" w14:paraId="3EFA09EE" w14:textId="77777777" w:rsidTr="00D56C6E">
        <w:tc>
          <w:tcPr>
            <w:tcW w:w="4675" w:type="dxa"/>
          </w:tcPr>
          <w:p w14:paraId="4C258FBB" w14:textId="6EEB5D52" w:rsidR="003D43EA" w:rsidRDefault="00087FFC">
            <w:r>
              <w:rPr>
                <w:noProof/>
              </w:rPr>
              <w:lastRenderedPageBreak/>
              <w:drawing>
                <wp:inline distT="0" distB="0" distL="0" distR="0" wp14:anchorId="4A7EC027" wp14:editId="36366999">
                  <wp:extent cx="2902039" cy="2800350"/>
                  <wp:effectExtent l="0" t="0" r="0" b="0"/>
                  <wp:docPr id="1443379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9009" cy="2807076"/>
                          </a:xfrm>
                          <a:prstGeom prst="rect">
                            <a:avLst/>
                          </a:prstGeom>
                          <a:noFill/>
                        </pic:spPr>
                      </pic:pic>
                    </a:graphicData>
                  </a:graphic>
                </wp:inline>
              </w:drawing>
            </w:r>
          </w:p>
        </w:tc>
        <w:tc>
          <w:tcPr>
            <w:tcW w:w="4675" w:type="dxa"/>
          </w:tcPr>
          <w:p w14:paraId="5807D16C" w14:textId="6BD60649" w:rsidR="003D43EA" w:rsidRDefault="00643FD0">
            <w:r>
              <w:rPr>
                <w:noProof/>
              </w:rPr>
              <w:drawing>
                <wp:inline distT="0" distB="0" distL="0" distR="0" wp14:anchorId="7C84A507" wp14:editId="7D1AB0C4">
                  <wp:extent cx="2872426" cy="2771775"/>
                  <wp:effectExtent l="0" t="0" r="4445" b="0"/>
                  <wp:docPr id="11904751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357" cy="2778463"/>
                          </a:xfrm>
                          <a:prstGeom prst="rect">
                            <a:avLst/>
                          </a:prstGeom>
                          <a:noFill/>
                        </pic:spPr>
                      </pic:pic>
                    </a:graphicData>
                  </a:graphic>
                </wp:inline>
              </w:drawing>
            </w:r>
          </w:p>
        </w:tc>
      </w:tr>
      <w:tr w:rsidR="00643FD0" w14:paraId="78F5E7B4" w14:textId="77777777" w:rsidTr="00D56C6E">
        <w:tc>
          <w:tcPr>
            <w:tcW w:w="4675" w:type="dxa"/>
          </w:tcPr>
          <w:p w14:paraId="195BC64E" w14:textId="7A4CA6E1" w:rsidR="003D43EA" w:rsidRDefault="00643FD0">
            <w:r>
              <w:rPr>
                <w:noProof/>
              </w:rPr>
              <w:drawing>
                <wp:inline distT="0" distB="0" distL="0" distR="0" wp14:anchorId="4DC1C69A" wp14:editId="345D3A27">
                  <wp:extent cx="2872426" cy="2771775"/>
                  <wp:effectExtent l="0" t="0" r="4445" b="0"/>
                  <wp:docPr id="927173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762" cy="2777889"/>
                          </a:xfrm>
                          <a:prstGeom prst="rect">
                            <a:avLst/>
                          </a:prstGeom>
                          <a:noFill/>
                        </pic:spPr>
                      </pic:pic>
                    </a:graphicData>
                  </a:graphic>
                </wp:inline>
              </w:drawing>
            </w:r>
          </w:p>
        </w:tc>
        <w:tc>
          <w:tcPr>
            <w:tcW w:w="4675" w:type="dxa"/>
          </w:tcPr>
          <w:p w14:paraId="70D365D1" w14:textId="40772950" w:rsidR="003D43EA" w:rsidRDefault="006D0271">
            <w:r>
              <w:rPr>
                <w:noProof/>
              </w:rPr>
              <w:drawing>
                <wp:inline distT="0" distB="0" distL="0" distR="0" wp14:anchorId="4F0CE883" wp14:editId="6DA4B1E4">
                  <wp:extent cx="2886075" cy="2784946"/>
                  <wp:effectExtent l="0" t="0" r="0" b="0"/>
                  <wp:docPr id="12830031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4070" cy="2792661"/>
                          </a:xfrm>
                          <a:prstGeom prst="rect">
                            <a:avLst/>
                          </a:prstGeom>
                          <a:noFill/>
                        </pic:spPr>
                      </pic:pic>
                    </a:graphicData>
                  </a:graphic>
                </wp:inline>
              </w:drawing>
            </w:r>
          </w:p>
        </w:tc>
      </w:tr>
    </w:tbl>
    <w:p w14:paraId="53B5B423" w14:textId="3BAAF975" w:rsidR="001158A6" w:rsidRDefault="001158A6" w:rsidP="001158A6">
      <w:r w:rsidRPr="001158A6">
        <w:rPr>
          <w:b/>
          <w:bCs/>
        </w:rPr>
        <w:t>Figure S</w:t>
      </w:r>
      <w:r>
        <w:rPr>
          <w:b/>
          <w:bCs/>
        </w:rPr>
        <w:t>2</w:t>
      </w:r>
      <w:r>
        <w:t>. Stressor-response logistic regressions for the Foothills site</w:t>
      </w:r>
      <w:r w:rsidR="00CA7C05">
        <w:t xml:space="preserve"> </w:t>
      </w:r>
      <w:r>
        <w:t xml:space="preserve">class. </w:t>
      </w:r>
    </w:p>
    <w:p w14:paraId="1D67224C" w14:textId="77777777" w:rsidR="003D43EA" w:rsidRDefault="003D43EA"/>
    <w:p w14:paraId="6333665C" w14:textId="105852A6" w:rsidR="003D43EA" w:rsidRDefault="003D43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D56C6E" w14:paraId="1AA84741" w14:textId="77777777" w:rsidTr="00D56C6E">
        <w:tc>
          <w:tcPr>
            <w:tcW w:w="4675" w:type="dxa"/>
          </w:tcPr>
          <w:p w14:paraId="58F88857" w14:textId="6081B099" w:rsidR="003D43EA" w:rsidRDefault="006D0271">
            <w:r>
              <w:rPr>
                <w:noProof/>
              </w:rPr>
              <w:lastRenderedPageBreak/>
              <w:drawing>
                <wp:inline distT="0" distB="0" distL="0" distR="0" wp14:anchorId="4DDB9EAE" wp14:editId="4F1FFA23">
                  <wp:extent cx="2828925" cy="2729798"/>
                  <wp:effectExtent l="0" t="0" r="0" b="0"/>
                  <wp:docPr id="5341506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076" cy="2735733"/>
                          </a:xfrm>
                          <a:prstGeom prst="rect">
                            <a:avLst/>
                          </a:prstGeom>
                          <a:noFill/>
                        </pic:spPr>
                      </pic:pic>
                    </a:graphicData>
                  </a:graphic>
                </wp:inline>
              </w:drawing>
            </w:r>
          </w:p>
        </w:tc>
        <w:tc>
          <w:tcPr>
            <w:tcW w:w="4675" w:type="dxa"/>
          </w:tcPr>
          <w:p w14:paraId="51934AC5" w14:textId="16985280" w:rsidR="003D43EA" w:rsidRDefault="006D0271">
            <w:r>
              <w:rPr>
                <w:noProof/>
              </w:rPr>
              <w:drawing>
                <wp:inline distT="0" distB="0" distL="0" distR="0" wp14:anchorId="6A0A5ABD" wp14:editId="4DDF2B6B">
                  <wp:extent cx="2842813" cy="2743200"/>
                  <wp:effectExtent l="0" t="0" r="0" b="0"/>
                  <wp:docPr id="13103574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0568" cy="2750683"/>
                          </a:xfrm>
                          <a:prstGeom prst="rect">
                            <a:avLst/>
                          </a:prstGeom>
                          <a:noFill/>
                        </pic:spPr>
                      </pic:pic>
                    </a:graphicData>
                  </a:graphic>
                </wp:inline>
              </w:drawing>
            </w:r>
          </w:p>
        </w:tc>
      </w:tr>
      <w:tr w:rsidR="00D56C6E" w14:paraId="18883273" w14:textId="77777777" w:rsidTr="00D56C6E">
        <w:tc>
          <w:tcPr>
            <w:tcW w:w="4675" w:type="dxa"/>
          </w:tcPr>
          <w:p w14:paraId="44C23A5E" w14:textId="578A91D2" w:rsidR="003D43EA" w:rsidRDefault="006D0271">
            <w:r>
              <w:rPr>
                <w:noProof/>
              </w:rPr>
              <w:drawing>
                <wp:inline distT="0" distB="0" distL="0" distR="0" wp14:anchorId="1CDF8D01" wp14:editId="4E63A3A2">
                  <wp:extent cx="2862555" cy="2762250"/>
                  <wp:effectExtent l="0" t="0" r="0" b="0"/>
                  <wp:docPr id="2943793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0185" cy="2769612"/>
                          </a:xfrm>
                          <a:prstGeom prst="rect">
                            <a:avLst/>
                          </a:prstGeom>
                          <a:noFill/>
                        </pic:spPr>
                      </pic:pic>
                    </a:graphicData>
                  </a:graphic>
                </wp:inline>
              </w:drawing>
            </w:r>
          </w:p>
        </w:tc>
        <w:tc>
          <w:tcPr>
            <w:tcW w:w="4675" w:type="dxa"/>
          </w:tcPr>
          <w:p w14:paraId="6A45F300" w14:textId="5FFC95AE" w:rsidR="003D43EA" w:rsidRDefault="00D56C6E">
            <w:r>
              <w:rPr>
                <w:noProof/>
              </w:rPr>
              <w:drawing>
                <wp:inline distT="0" distB="0" distL="0" distR="0" wp14:anchorId="0158027F" wp14:editId="3AA4C7D8">
                  <wp:extent cx="2857500" cy="2757372"/>
                  <wp:effectExtent l="0" t="0" r="0" b="5080"/>
                  <wp:docPr id="8318600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6608" cy="2766161"/>
                          </a:xfrm>
                          <a:prstGeom prst="rect">
                            <a:avLst/>
                          </a:prstGeom>
                          <a:noFill/>
                        </pic:spPr>
                      </pic:pic>
                    </a:graphicData>
                  </a:graphic>
                </wp:inline>
              </w:drawing>
            </w:r>
          </w:p>
        </w:tc>
      </w:tr>
    </w:tbl>
    <w:p w14:paraId="1172E57A" w14:textId="2930DCBD" w:rsidR="001158A6" w:rsidRDefault="001158A6" w:rsidP="001158A6">
      <w:r w:rsidRPr="001158A6">
        <w:rPr>
          <w:b/>
          <w:bCs/>
        </w:rPr>
        <w:t>Figure S</w:t>
      </w:r>
      <w:r>
        <w:rPr>
          <w:b/>
          <w:bCs/>
        </w:rPr>
        <w:t>3</w:t>
      </w:r>
      <w:r>
        <w:t>. Stressor-response logistic regressions for the Plains Plateaus and Broad Valleys (PPBV) site</w:t>
      </w:r>
      <w:r w:rsidR="00CA7C05">
        <w:t xml:space="preserve"> </w:t>
      </w:r>
      <w:r>
        <w:t xml:space="preserve">class. </w:t>
      </w:r>
    </w:p>
    <w:p w14:paraId="27675278" w14:textId="4C6DCA12" w:rsidR="0033145A" w:rsidRDefault="0033145A">
      <w:r>
        <w:br w:type="page"/>
      </w:r>
    </w:p>
    <w:p w14:paraId="0700F858" w14:textId="77777777" w:rsidR="0033145A" w:rsidRPr="00CF1969" w:rsidRDefault="0033145A" w:rsidP="0033145A">
      <w:pPr>
        <w:rPr>
          <w:b/>
          <w:bCs/>
          <w:u w:val="single"/>
        </w:rPr>
      </w:pPr>
      <w:r w:rsidRPr="00CF1969">
        <w:rPr>
          <w:b/>
          <w:bCs/>
          <w:u w:val="single"/>
        </w:rPr>
        <w:lastRenderedPageBreak/>
        <w:t>FSBI Calculation Methods</w:t>
      </w:r>
    </w:p>
    <w:p w14:paraId="4B43EB42" w14:textId="77777777" w:rsidR="0033145A" w:rsidRPr="00B32601" w:rsidRDefault="0033145A" w:rsidP="00B32601">
      <w:pPr>
        <w:rPr>
          <w:i/>
          <w:iCs/>
        </w:rPr>
      </w:pPr>
      <w:r w:rsidRPr="00B32601">
        <w:rPr>
          <w:i/>
          <w:iCs/>
        </w:rPr>
        <w:t xml:space="preserve">BURP </w:t>
      </w:r>
      <w:proofErr w:type="gramStart"/>
      <w:r w:rsidRPr="00B32601">
        <w:rPr>
          <w:i/>
          <w:iCs/>
        </w:rPr>
        <w:t>data</w:t>
      </w:r>
      <w:proofErr w:type="gramEnd"/>
    </w:p>
    <w:p w14:paraId="7B73D995" w14:textId="1E20F4F6" w:rsidR="0020330E" w:rsidRDefault="00690660" w:rsidP="00B32601">
      <w:r>
        <w:t>The taxonomic laboratory (</w:t>
      </w:r>
      <w:proofErr w:type="spellStart"/>
      <w:r>
        <w:t>EcoAnalysts</w:t>
      </w:r>
      <w:proofErr w:type="spellEnd"/>
      <w:r>
        <w:t xml:space="preserve">) identified and counted all individuals within each macroinvertebrate sample to the lowest possible taxonomic resolution, usually to genus or species. DEQ then assigned each </w:t>
      </w:r>
      <w:proofErr w:type="gramStart"/>
      <w:r>
        <w:t>taxa</w:t>
      </w:r>
      <w:proofErr w:type="gramEnd"/>
      <w:r>
        <w:t xml:space="preserve"> reported by the laboratory to an operational taxonomic unit (called a ‘validated taxa’ by DEQ) prior to importing macroinvertebrate data in to DEQ’s database. </w:t>
      </w:r>
      <w:r w:rsidR="00B32601">
        <w:t xml:space="preserve">Validated taxa are those for which have taxa attributes (including a FSBI-level taxa score) in DEQ’s database and were used for development of BURP MMIs. In cases where a </w:t>
      </w:r>
      <w:proofErr w:type="gramStart"/>
      <w:r w:rsidR="00B32601">
        <w:t>taxa</w:t>
      </w:r>
      <w:proofErr w:type="gramEnd"/>
      <w:r w:rsidR="00B32601">
        <w:t xml:space="preserve"> identified by the laboratory is not in DEQ’s validated taxa table, DEQ staff either add the taxa and its attributes to the database, or assign the taxa to a higher level validated taxa if reasonable. For example, the laboratory reports </w:t>
      </w:r>
      <w:r w:rsidR="00B32601">
        <w:rPr>
          <w:i/>
          <w:iCs/>
        </w:rPr>
        <w:t xml:space="preserve">Example species </w:t>
      </w:r>
      <w:r w:rsidR="00B32601">
        <w:t xml:space="preserve">in results, but this species is not in the database but a record for the associated genus is, in some cases the taxonomic result was imported as </w:t>
      </w:r>
      <w:r w:rsidR="00B32601">
        <w:rPr>
          <w:i/>
          <w:iCs/>
        </w:rPr>
        <w:t xml:space="preserve">Example sp. </w:t>
      </w:r>
      <w:r w:rsidR="00B32601">
        <w:t xml:space="preserve">if DEQ staff determined attributes were similar. </w:t>
      </w:r>
      <w:r>
        <w:t xml:space="preserve">Sample FSBI was calculated as the sum of all taxa-level FSBI scores associated with validated taxa within a sample. </w:t>
      </w:r>
    </w:p>
    <w:p w14:paraId="28EA692A" w14:textId="55E691D5" w:rsidR="00B32601" w:rsidRDefault="0020330E" w:rsidP="00B32601">
      <w:pPr>
        <w:rPr>
          <w:i/>
          <w:iCs/>
        </w:rPr>
      </w:pPr>
      <w:r>
        <w:rPr>
          <w:i/>
          <w:iCs/>
        </w:rPr>
        <w:t>PIBO and AIM data</w:t>
      </w:r>
    </w:p>
    <w:p w14:paraId="2443A100" w14:textId="172CFBA3" w:rsidR="00690660" w:rsidRDefault="0020330E" w:rsidP="0020330E">
      <w:r>
        <w:t>For the PIBO and AIM programs, the taxonomic laboratory</w:t>
      </w:r>
      <w:r w:rsidR="00690660">
        <w:t xml:space="preserve"> (National Aquatic Monitoring Center at Utah State University)</w:t>
      </w:r>
      <w:r>
        <w:t xml:space="preserve"> identified up to 600 individual specimens from each sample to the lowest possible taxonomic resolution, usually to genus or species. Raw </w:t>
      </w:r>
      <w:r w:rsidR="00690660">
        <w:t>laboratory taxonomic identifications</w:t>
      </w:r>
      <w:r>
        <w:t xml:space="preserve"> were then assigned to an operational taxonomic unit used for purposes of O/E calculations. </w:t>
      </w:r>
      <w:r w:rsidR="00690660">
        <w:t>USFS and BLM</w:t>
      </w:r>
      <w:r>
        <w:t xml:space="preserve"> </w:t>
      </w:r>
      <w:r w:rsidR="00690660">
        <w:t xml:space="preserve">then </w:t>
      </w:r>
      <w:r>
        <w:t xml:space="preserve">randomly subsampled </w:t>
      </w:r>
      <w:r w:rsidR="00690660">
        <w:t xml:space="preserve">identified taxa </w:t>
      </w:r>
      <w:r>
        <w:t xml:space="preserve">to create a </w:t>
      </w:r>
      <w:r w:rsidR="00690660">
        <w:t xml:space="preserve">list of 300 identified individuals for each sample. </w:t>
      </w:r>
    </w:p>
    <w:p w14:paraId="025D2B5C" w14:textId="3CC1AB40" w:rsidR="00216228" w:rsidRDefault="00023562" w:rsidP="00216228">
      <w:r>
        <w:t xml:space="preserve">At the time of this study, the PIBO and AIM programs did not calculate sample FSBI from their macroinvertebrate data. USFS and BLM provided harmonized subsampled macroinvertebrate data to DEQ for FSBI calculations. Based on Relyea et al. 2012, </w:t>
      </w:r>
      <w:r w:rsidR="00690660">
        <w:t>DEQ assigned a taxa-level FSBI score to each unique taxa name reported by the laboratory (</w:t>
      </w:r>
      <w:proofErr w:type="spellStart"/>
      <w:r w:rsidR="00690660">
        <w:t>ScientificName</w:t>
      </w:r>
      <w:proofErr w:type="spellEnd"/>
      <w:r w:rsidR="00690660">
        <w:t xml:space="preserve"> values) included in subsampled data. Sample FSBI scores were then calculated </w:t>
      </w:r>
      <w:r>
        <w:t>using an R tool developed for this project</w:t>
      </w:r>
      <w:r w:rsidR="00690660">
        <w:t xml:space="preserve"> </w:t>
      </w:r>
      <w:r>
        <w:t>(</w:t>
      </w:r>
      <w:hyperlink r:id="rId20" w:history="1">
        <w:r w:rsidRPr="007E3A0D">
          <w:rPr>
            <w:rStyle w:val="Hyperlink"/>
          </w:rPr>
          <w:t>https://github.com/jjwill2/FSBI_calculator</w:t>
        </w:r>
      </w:hyperlink>
      <w:r>
        <w:t xml:space="preserve">). Sample FSBI scores were calculated as the sum of assigned taxa-level FSBI scores within a sample. Assigned taxa-level FSBI scores and R inputs and outputs are available through the </w:t>
      </w:r>
      <w:proofErr w:type="spellStart"/>
      <w:r>
        <w:t>github</w:t>
      </w:r>
      <w:proofErr w:type="spellEnd"/>
      <w:r>
        <w:t xml:space="preserve"> link. </w:t>
      </w:r>
    </w:p>
    <w:p w14:paraId="5E656623" w14:textId="77777777" w:rsidR="002D4682" w:rsidRDefault="002D4682" w:rsidP="00216228">
      <w:pPr>
        <w:sectPr w:rsidR="002D4682">
          <w:pgSz w:w="12240" w:h="15840"/>
          <w:pgMar w:top="1440" w:right="1440" w:bottom="1440" w:left="1440" w:header="720" w:footer="720" w:gutter="0"/>
          <w:cols w:space="720"/>
          <w:docGrid w:linePitch="360"/>
        </w:sectPr>
      </w:pPr>
    </w:p>
    <w:p w14:paraId="38CD521B" w14:textId="0DDD270E" w:rsidR="002D4682" w:rsidRDefault="002D4682" w:rsidP="00216228">
      <w:r w:rsidRPr="002D4682">
        <w:rPr>
          <w:b/>
          <w:bCs/>
        </w:rPr>
        <w:lastRenderedPageBreak/>
        <w:t>Table S</w:t>
      </w:r>
      <w:r w:rsidR="00CF1969">
        <w:rPr>
          <w:b/>
          <w:bCs/>
        </w:rPr>
        <w:t>4</w:t>
      </w:r>
      <w:r w:rsidRPr="002D4682">
        <w:rPr>
          <w:b/>
          <w:bCs/>
        </w:rPr>
        <w:t>.</w:t>
      </w:r>
      <w:r>
        <w:t xml:space="preserve"> Fine sediment benchmarks reported in the literature and used for comparison to </w:t>
      </w:r>
      <w:proofErr w:type="gramStart"/>
      <w:r>
        <w:t>calculated</w:t>
      </w:r>
      <w:proofErr w:type="gramEnd"/>
      <w:r>
        <w:t xml:space="preserve"> benchmarks.</w:t>
      </w:r>
      <w:r w:rsidR="008E2DB8">
        <w:t xml:space="preserve"> All thresholds are for surface fine sediment, except </w:t>
      </w:r>
      <w:proofErr w:type="gramStart"/>
      <w:r w:rsidR="008E2DB8">
        <w:t>where</w:t>
      </w:r>
      <w:proofErr w:type="gramEnd"/>
      <w:r w:rsidR="008E2DB8">
        <w:t xml:space="preserve"> noted otherwise. </w:t>
      </w:r>
    </w:p>
    <w:tbl>
      <w:tblPr>
        <w:tblStyle w:val="TableGrid"/>
        <w:tblW w:w="13063" w:type="dxa"/>
        <w:tblInd w:w="-113" w:type="dxa"/>
        <w:tblLook w:val="04A0" w:firstRow="1" w:lastRow="0" w:firstColumn="1" w:lastColumn="0" w:noHBand="0" w:noVBand="1"/>
      </w:tblPr>
      <w:tblGrid>
        <w:gridCol w:w="1502"/>
        <w:gridCol w:w="5806"/>
        <w:gridCol w:w="2160"/>
        <w:gridCol w:w="1291"/>
        <w:gridCol w:w="1141"/>
        <w:gridCol w:w="1163"/>
      </w:tblGrid>
      <w:tr w:rsidR="002D4682" w:rsidRPr="00715D58" w14:paraId="2C5E9FAA" w14:textId="77777777" w:rsidTr="000406DE">
        <w:trPr>
          <w:tblHeader/>
        </w:trPr>
        <w:tc>
          <w:tcPr>
            <w:tcW w:w="1502" w:type="dxa"/>
          </w:tcPr>
          <w:p w14:paraId="32EF2C55"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Source</w:t>
            </w:r>
          </w:p>
        </w:tc>
        <w:tc>
          <w:tcPr>
            <w:tcW w:w="5806" w:type="dxa"/>
          </w:tcPr>
          <w:p w14:paraId="1C849485"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Benchmark Description</w:t>
            </w:r>
          </w:p>
        </w:tc>
        <w:tc>
          <w:tcPr>
            <w:tcW w:w="2160" w:type="dxa"/>
          </w:tcPr>
          <w:p w14:paraId="25426B6A"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Biological Receptor</w:t>
            </w:r>
          </w:p>
        </w:tc>
        <w:tc>
          <w:tcPr>
            <w:tcW w:w="1291" w:type="dxa"/>
          </w:tcPr>
          <w:p w14:paraId="001F84B9"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Sediment</w:t>
            </w:r>
          </w:p>
          <w:p w14:paraId="54335E0F"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Size Fraction</w:t>
            </w:r>
          </w:p>
        </w:tc>
        <w:tc>
          <w:tcPr>
            <w:tcW w:w="1141" w:type="dxa"/>
          </w:tcPr>
          <w:p w14:paraId="51AC4FC6"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Stream Size</w:t>
            </w:r>
          </w:p>
        </w:tc>
        <w:tc>
          <w:tcPr>
            <w:tcW w:w="1163" w:type="dxa"/>
          </w:tcPr>
          <w:p w14:paraId="5A7D3D7D"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Threshold</w:t>
            </w:r>
          </w:p>
          <w:p w14:paraId="11ACC718" w14:textId="77777777" w:rsidR="002D4682" w:rsidRPr="00715D58" w:rsidRDefault="002D4682" w:rsidP="00746734">
            <w:pPr>
              <w:rPr>
                <w:rFonts w:ascii="Arial" w:hAnsi="Arial" w:cs="Arial"/>
                <w:b/>
                <w:bCs/>
                <w:sz w:val="14"/>
                <w:szCs w:val="14"/>
              </w:rPr>
            </w:pPr>
            <w:r w:rsidRPr="00715D58">
              <w:rPr>
                <w:rFonts w:ascii="Arial" w:hAnsi="Arial" w:cs="Arial"/>
                <w:b/>
                <w:bCs/>
                <w:sz w:val="14"/>
                <w:szCs w:val="14"/>
              </w:rPr>
              <w:t>Value</w:t>
            </w:r>
          </w:p>
        </w:tc>
      </w:tr>
      <w:tr w:rsidR="002D4682" w:rsidRPr="00715D58" w14:paraId="6E92A705" w14:textId="77777777" w:rsidTr="00746734">
        <w:tc>
          <w:tcPr>
            <w:tcW w:w="1502" w:type="dxa"/>
            <w:vMerge w:val="restart"/>
          </w:tcPr>
          <w:p w14:paraId="451FFC39" w14:textId="77777777" w:rsidR="002D4682" w:rsidRPr="00715D58" w:rsidRDefault="002D4682" w:rsidP="00746734">
            <w:pPr>
              <w:rPr>
                <w:rFonts w:ascii="Arial" w:hAnsi="Arial" w:cs="Arial"/>
                <w:sz w:val="14"/>
                <w:szCs w:val="14"/>
              </w:rPr>
            </w:pPr>
            <w:r w:rsidRPr="00715D58">
              <w:rPr>
                <w:rFonts w:ascii="Arial" w:hAnsi="Arial" w:cs="Arial"/>
                <w:sz w:val="14"/>
                <w:szCs w:val="14"/>
              </w:rPr>
              <w:t>Bryce et al. 2010</w:t>
            </w:r>
          </w:p>
        </w:tc>
        <w:tc>
          <w:tcPr>
            <w:tcW w:w="5806" w:type="dxa"/>
            <w:vMerge w:val="restart"/>
          </w:tcPr>
          <w:p w14:paraId="771BEAC6" w14:textId="77777777" w:rsidR="002D4682" w:rsidRPr="00715D58" w:rsidRDefault="002D4682" w:rsidP="00746734">
            <w:pPr>
              <w:rPr>
                <w:rFonts w:ascii="Arial" w:hAnsi="Arial" w:cs="Arial"/>
                <w:sz w:val="14"/>
                <w:szCs w:val="14"/>
              </w:rPr>
            </w:pPr>
            <w:r w:rsidRPr="00715D58">
              <w:rPr>
                <w:rFonts w:ascii="Arial" w:hAnsi="Arial" w:cs="Arial"/>
                <w:sz w:val="14"/>
                <w:szCs w:val="14"/>
              </w:rPr>
              <w:t xml:space="preserve">Minimum effects threshold for Index of Biotic Integrity (IBI) value decreases in wadable Western </w:t>
            </w:r>
            <w:proofErr w:type="gramStart"/>
            <w:r w:rsidRPr="00715D58">
              <w:rPr>
                <w:rFonts w:ascii="Arial" w:hAnsi="Arial" w:cs="Arial"/>
                <w:sz w:val="14"/>
                <w:szCs w:val="14"/>
              </w:rPr>
              <w:t>U.S. mountain</w:t>
            </w:r>
            <w:proofErr w:type="gramEnd"/>
            <w:r w:rsidRPr="00715D58">
              <w:rPr>
                <w:rFonts w:ascii="Arial" w:hAnsi="Arial" w:cs="Arial"/>
                <w:sz w:val="14"/>
                <w:szCs w:val="14"/>
              </w:rPr>
              <w:t xml:space="preserve"> streams</w:t>
            </w:r>
          </w:p>
        </w:tc>
        <w:tc>
          <w:tcPr>
            <w:tcW w:w="2160" w:type="dxa"/>
          </w:tcPr>
          <w:p w14:paraId="050AA67E" w14:textId="77777777" w:rsidR="002D4682" w:rsidRPr="00715D58" w:rsidRDefault="002D4682" w:rsidP="00746734">
            <w:pPr>
              <w:rPr>
                <w:rFonts w:ascii="Arial" w:hAnsi="Arial" w:cs="Arial"/>
                <w:sz w:val="14"/>
                <w:szCs w:val="14"/>
              </w:rPr>
            </w:pPr>
            <w:r w:rsidRPr="00715D58">
              <w:rPr>
                <w:rFonts w:ascii="Arial" w:hAnsi="Arial" w:cs="Arial"/>
                <w:sz w:val="14"/>
                <w:szCs w:val="14"/>
              </w:rPr>
              <w:t>aquatic vertebrates</w:t>
            </w:r>
          </w:p>
        </w:tc>
        <w:tc>
          <w:tcPr>
            <w:tcW w:w="1291" w:type="dxa"/>
          </w:tcPr>
          <w:p w14:paraId="04A1ED4B" w14:textId="77777777" w:rsidR="002D4682" w:rsidRPr="00715D58" w:rsidRDefault="002D4682" w:rsidP="00746734">
            <w:pPr>
              <w:rPr>
                <w:rFonts w:ascii="Arial" w:hAnsi="Arial" w:cs="Arial"/>
                <w:sz w:val="14"/>
                <w:szCs w:val="14"/>
              </w:rPr>
            </w:pPr>
            <w:r w:rsidRPr="00715D58">
              <w:rPr>
                <w:rFonts w:ascii="Arial" w:hAnsi="Arial" w:cs="Arial"/>
                <w:sz w:val="14"/>
                <w:szCs w:val="14"/>
              </w:rPr>
              <w:t>≤ 0.06 mm</w:t>
            </w:r>
          </w:p>
        </w:tc>
        <w:tc>
          <w:tcPr>
            <w:tcW w:w="1141" w:type="dxa"/>
          </w:tcPr>
          <w:p w14:paraId="53190E97"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0351A77A" w14:textId="77777777" w:rsidR="002D4682" w:rsidRPr="00715D58" w:rsidRDefault="002D4682" w:rsidP="00746734">
            <w:pPr>
              <w:rPr>
                <w:rFonts w:ascii="Arial" w:hAnsi="Arial" w:cs="Arial"/>
                <w:sz w:val="14"/>
                <w:szCs w:val="14"/>
              </w:rPr>
            </w:pPr>
            <w:r w:rsidRPr="00715D58">
              <w:rPr>
                <w:rFonts w:ascii="Arial" w:hAnsi="Arial" w:cs="Arial"/>
                <w:sz w:val="14"/>
                <w:szCs w:val="14"/>
              </w:rPr>
              <w:t>5%</w:t>
            </w:r>
          </w:p>
        </w:tc>
      </w:tr>
      <w:tr w:rsidR="002D4682" w:rsidRPr="00715D58" w14:paraId="7342132F" w14:textId="77777777" w:rsidTr="00746734">
        <w:tc>
          <w:tcPr>
            <w:tcW w:w="1502" w:type="dxa"/>
            <w:vMerge/>
          </w:tcPr>
          <w:p w14:paraId="0B1E5166" w14:textId="77777777" w:rsidR="002D4682" w:rsidRPr="00715D58" w:rsidRDefault="002D4682" w:rsidP="00746734">
            <w:pPr>
              <w:rPr>
                <w:rFonts w:ascii="Arial" w:hAnsi="Arial" w:cs="Arial"/>
                <w:sz w:val="14"/>
                <w:szCs w:val="14"/>
              </w:rPr>
            </w:pPr>
          </w:p>
        </w:tc>
        <w:tc>
          <w:tcPr>
            <w:tcW w:w="5806" w:type="dxa"/>
            <w:vMerge/>
          </w:tcPr>
          <w:p w14:paraId="252573B9" w14:textId="77777777" w:rsidR="002D4682" w:rsidRPr="00715D58" w:rsidRDefault="002D4682" w:rsidP="00746734">
            <w:pPr>
              <w:rPr>
                <w:rFonts w:ascii="Arial" w:hAnsi="Arial" w:cs="Arial"/>
                <w:sz w:val="14"/>
                <w:szCs w:val="14"/>
              </w:rPr>
            </w:pPr>
          </w:p>
        </w:tc>
        <w:tc>
          <w:tcPr>
            <w:tcW w:w="2160" w:type="dxa"/>
          </w:tcPr>
          <w:p w14:paraId="28D5467E" w14:textId="77777777" w:rsidR="002D4682" w:rsidRPr="00715D58" w:rsidRDefault="002D4682" w:rsidP="00746734">
            <w:pPr>
              <w:rPr>
                <w:rFonts w:ascii="Arial" w:hAnsi="Arial" w:cs="Arial"/>
                <w:sz w:val="14"/>
                <w:szCs w:val="14"/>
              </w:rPr>
            </w:pPr>
            <w:r w:rsidRPr="00715D58">
              <w:rPr>
                <w:rFonts w:ascii="Arial" w:hAnsi="Arial" w:cs="Arial"/>
                <w:sz w:val="14"/>
                <w:szCs w:val="14"/>
              </w:rPr>
              <w:t>aquatic vertebrates</w:t>
            </w:r>
          </w:p>
        </w:tc>
        <w:tc>
          <w:tcPr>
            <w:tcW w:w="1291" w:type="dxa"/>
          </w:tcPr>
          <w:p w14:paraId="18FE11CA" w14:textId="77777777" w:rsidR="002D4682" w:rsidRPr="00715D58" w:rsidRDefault="002D4682" w:rsidP="00746734">
            <w:pPr>
              <w:rPr>
                <w:rFonts w:ascii="Arial" w:hAnsi="Arial" w:cs="Arial"/>
                <w:sz w:val="14"/>
                <w:szCs w:val="14"/>
              </w:rPr>
            </w:pPr>
            <w:r w:rsidRPr="00715D58">
              <w:rPr>
                <w:rFonts w:ascii="Arial" w:hAnsi="Arial" w:cs="Arial"/>
                <w:sz w:val="14"/>
                <w:szCs w:val="14"/>
              </w:rPr>
              <w:t>≤ 2 mm</w:t>
            </w:r>
          </w:p>
        </w:tc>
        <w:tc>
          <w:tcPr>
            <w:tcW w:w="1141" w:type="dxa"/>
          </w:tcPr>
          <w:p w14:paraId="65FD26D5"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3BC798EA" w14:textId="77777777" w:rsidR="002D4682" w:rsidRPr="00715D58" w:rsidRDefault="002D4682" w:rsidP="00746734">
            <w:pPr>
              <w:rPr>
                <w:rFonts w:ascii="Arial" w:hAnsi="Arial" w:cs="Arial"/>
                <w:sz w:val="14"/>
                <w:szCs w:val="14"/>
              </w:rPr>
            </w:pPr>
            <w:r w:rsidRPr="00715D58">
              <w:rPr>
                <w:rFonts w:ascii="Arial" w:hAnsi="Arial" w:cs="Arial"/>
                <w:sz w:val="14"/>
                <w:szCs w:val="14"/>
              </w:rPr>
              <w:t>13%</w:t>
            </w:r>
          </w:p>
        </w:tc>
      </w:tr>
      <w:tr w:rsidR="002D4682" w:rsidRPr="00715D58" w14:paraId="53815FF2" w14:textId="77777777" w:rsidTr="00746734">
        <w:tc>
          <w:tcPr>
            <w:tcW w:w="1502" w:type="dxa"/>
            <w:vMerge/>
          </w:tcPr>
          <w:p w14:paraId="48E6EB88" w14:textId="77777777" w:rsidR="002D4682" w:rsidRPr="00715D58" w:rsidRDefault="002D4682" w:rsidP="00746734">
            <w:pPr>
              <w:rPr>
                <w:rFonts w:ascii="Arial" w:hAnsi="Arial" w:cs="Arial"/>
                <w:sz w:val="14"/>
                <w:szCs w:val="14"/>
              </w:rPr>
            </w:pPr>
          </w:p>
        </w:tc>
        <w:tc>
          <w:tcPr>
            <w:tcW w:w="5806" w:type="dxa"/>
            <w:vMerge/>
          </w:tcPr>
          <w:p w14:paraId="5DE6AB2D" w14:textId="77777777" w:rsidR="002D4682" w:rsidRPr="00715D58" w:rsidRDefault="002D4682" w:rsidP="00746734">
            <w:pPr>
              <w:rPr>
                <w:rFonts w:ascii="Arial" w:hAnsi="Arial" w:cs="Arial"/>
                <w:sz w:val="14"/>
                <w:szCs w:val="14"/>
              </w:rPr>
            </w:pPr>
          </w:p>
        </w:tc>
        <w:tc>
          <w:tcPr>
            <w:tcW w:w="2160" w:type="dxa"/>
          </w:tcPr>
          <w:p w14:paraId="7541D754" w14:textId="77777777" w:rsidR="002D4682" w:rsidRPr="00715D58" w:rsidRDefault="002D4682" w:rsidP="00746734">
            <w:pPr>
              <w:rPr>
                <w:rFonts w:ascii="Arial" w:hAnsi="Arial" w:cs="Arial"/>
                <w:sz w:val="14"/>
                <w:szCs w:val="14"/>
              </w:rPr>
            </w:pPr>
            <w:r w:rsidRPr="00715D58">
              <w:rPr>
                <w:rFonts w:ascii="Arial" w:hAnsi="Arial" w:cs="Arial"/>
                <w:sz w:val="14"/>
                <w:szCs w:val="14"/>
              </w:rPr>
              <w:t>aquatic macroinvertebrates</w:t>
            </w:r>
          </w:p>
        </w:tc>
        <w:tc>
          <w:tcPr>
            <w:tcW w:w="1291" w:type="dxa"/>
          </w:tcPr>
          <w:p w14:paraId="79EEA6A0" w14:textId="77777777" w:rsidR="002D4682" w:rsidRPr="00715D58" w:rsidRDefault="002D4682" w:rsidP="00746734">
            <w:pPr>
              <w:rPr>
                <w:rFonts w:ascii="Arial" w:hAnsi="Arial" w:cs="Arial"/>
                <w:sz w:val="14"/>
                <w:szCs w:val="14"/>
              </w:rPr>
            </w:pPr>
            <w:r w:rsidRPr="00715D58">
              <w:rPr>
                <w:rFonts w:ascii="Arial" w:hAnsi="Arial" w:cs="Arial"/>
                <w:sz w:val="14"/>
                <w:szCs w:val="14"/>
              </w:rPr>
              <w:t>≤ 0.06 mm</w:t>
            </w:r>
          </w:p>
        </w:tc>
        <w:tc>
          <w:tcPr>
            <w:tcW w:w="1141" w:type="dxa"/>
          </w:tcPr>
          <w:p w14:paraId="537B44BB"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3B089678" w14:textId="77777777" w:rsidR="002D4682" w:rsidRPr="00715D58" w:rsidRDefault="002D4682" w:rsidP="00746734">
            <w:pPr>
              <w:rPr>
                <w:rFonts w:ascii="Arial" w:hAnsi="Arial" w:cs="Arial"/>
                <w:sz w:val="14"/>
                <w:szCs w:val="14"/>
              </w:rPr>
            </w:pPr>
            <w:r w:rsidRPr="00715D58">
              <w:rPr>
                <w:rFonts w:ascii="Arial" w:hAnsi="Arial" w:cs="Arial"/>
                <w:sz w:val="14"/>
                <w:szCs w:val="14"/>
              </w:rPr>
              <w:t>3%</w:t>
            </w:r>
          </w:p>
        </w:tc>
      </w:tr>
      <w:tr w:rsidR="002D4682" w:rsidRPr="00715D58" w14:paraId="120514AC" w14:textId="77777777" w:rsidTr="00746734">
        <w:tc>
          <w:tcPr>
            <w:tcW w:w="1502" w:type="dxa"/>
            <w:vMerge/>
          </w:tcPr>
          <w:p w14:paraId="254AA567" w14:textId="77777777" w:rsidR="002D4682" w:rsidRPr="00715D58" w:rsidRDefault="002D4682" w:rsidP="00746734">
            <w:pPr>
              <w:rPr>
                <w:rFonts w:ascii="Arial" w:hAnsi="Arial" w:cs="Arial"/>
                <w:sz w:val="14"/>
                <w:szCs w:val="14"/>
              </w:rPr>
            </w:pPr>
          </w:p>
        </w:tc>
        <w:tc>
          <w:tcPr>
            <w:tcW w:w="5806" w:type="dxa"/>
            <w:vMerge/>
          </w:tcPr>
          <w:p w14:paraId="3BB815C4" w14:textId="77777777" w:rsidR="002D4682" w:rsidRPr="00715D58" w:rsidRDefault="002D4682" w:rsidP="00746734">
            <w:pPr>
              <w:rPr>
                <w:rFonts w:ascii="Arial" w:hAnsi="Arial" w:cs="Arial"/>
                <w:sz w:val="14"/>
                <w:szCs w:val="14"/>
              </w:rPr>
            </w:pPr>
          </w:p>
        </w:tc>
        <w:tc>
          <w:tcPr>
            <w:tcW w:w="2160" w:type="dxa"/>
          </w:tcPr>
          <w:p w14:paraId="2027E6A2" w14:textId="77777777" w:rsidR="002D4682" w:rsidRPr="00715D58" w:rsidRDefault="002D4682" w:rsidP="00746734">
            <w:pPr>
              <w:rPr>
                <w:rFonts w:ascii="Arial" w:hAnsi="Arial" w:cs="Arial"/>
                <w:sz w:val="14"/>
                <w:szCs w:val="14"/>
              </w:rPr>
            </w:pPr>
            <w:r w:rsidRPr="00715D58">
              <w:rPr>
                <w:rFonts w:ascii="Arial" w:hAnsi="Arial" w:cs="Arial"/>
                <w:sz w:val="14"/>
                <w:szCs w:val="14"/>
              </w:rPr>
              <w:t>aquatic macroinvertebrates</w:t>
            </w:r>
          </w:p>
        </w:tc>
        <w:tc>
          <w:tcPr>
            <w:tcW w:w="1291" w:type="dxa"/>
          </w:tcPr>
          <w:p w14:paraId="35C793F1" w14:textId="77777777" w:rsidR="002D4682" w:rsidRPr="00715D58" w:rsidRDefault="002D4682" w:rsidP="00746734">
            <w:pPr>
              <w:rPr>
                <w:rFonts w:ascii="Arial" w:hAnsi="Arial" w:cs="Arial"/>
                <w:sz w:val="14"/>
                <w:szCs w:val="14"/>
              </w:rPr>
            </w:pPr>
            <w:r w:rsidRPr="00715D58">
              <w:rPr>
                <w:rFonts w:ascii="Arial" w:hAnsi="Arial" w:cs="Arial"/>
                <w:sz w:val="14"/>
                <w:szCs w:val="14"/>
              </w:rPr>
              <w:t>≤ 2 mm</w:t>
            </w:r>
          </w:p>
        </w:tc>
        <w:tc>
          <w:tcPr>
            <w:tcW w:w="1141" w:type="dxa"/>
          </w:tcPr>
          <w:p w14:paraId="44835C24"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7E72B7E0" w14:textId="77777777" w:rsidR="002D4682" w:rsidRPr="00715D58" w:rsidRDefault="002D4682" w:rsidP="00746734">
            <w:pPr>
              <w:rPr>
                <w:rFonts w:ascii="Arial" w:hAnsi="Arial" w:cs="Arial"/>
                <w:sz w:val="14"/>
                <w:szCs w:val="14"/>
              </w:rPr>
            </w:pPr>
            <w:r w:rsidRPr="00715D58">
              <w:rPr>
                <w:rFonts w:ascii="Arial" w:hAnsi="Arial" w:cs="Arial"/>
                <w:sz w:val="14"/>
                <w:szCs w:val="14"/>
              </w:rPr>
              <w:t>10%</w:t>
            </w:r>
          </w:p>
        </w:tc>
      </w:tr>
      <w:tr w:rsidR="002D4682" w:rsidRPr="00715D58" w14:paraId="58103AB6" w14:textId="77777777" w:rsidTr="00746734">
        <w:trPr>
          <w:trHeight w:val="547"/>
        </w:trPr>
        <w:tc>
          <w:tcPr>
            <w:tcW w:w="1502" w:type="dxa"/>
          </w:tcPr>
          <w:p w14:paraId="67F6CD8B" w14:textId="77777777" w:rsidR="002D4682" w:rsidRPr="00715D58" w:rsidRDefault="002D4682" w:rsidP="00746734">
            <w:pPr>
              <w:rPr>
                <w:rFonts w:ascii="Arial" w:hAnsi="Arial" w:cs="Arial"/>
                <w:sz w:val="14"/>
                <w:szCs w:val="14"/>
              </w:rPr>
            </w:pPr>
            <w:r w:rsidRPr="00715D58">
              <w:rPr>
                <w:rFonts w:ascii="Arial" w:hAnsi="Arial" w:cs="Arial"/>
                <w:sz w:val="14"/>
                <w:szCs w:val="14"/>
              </w:rPr>
              <w:t>Jessup et al. 2014</w:t>
            </w:r>
          </w:p>
          <w:p w14:paraId="02383D25" w14:textId="77777777" w:rsidR="002D4682" w:rsidRPr="00715D58" w:rsidRDefault="002D4682" w:rsidP="00746734">
            <w:pPr>
              <w:rPr>
                <w:rFonts w:ascii="Arial" w:hAnsi="Arial" w:cs="Arial"/>
                <w:sz w:val="14"/>
                <w:szCs w:val="14"/>
              </w:rPr>
            </w:pPr>
          </w:p>
        </w:tc>
        <w:tc>
          <w:tcPr>
            <w:tcW w:w="5806" w:type="dxa"/>
          </w:tcPr>
          <w:p w14:paraId="428E5A48" w14:textId="77777777" w:rsidR="002D4682" w:rsidRPr="00715D58" w:rsidRDefault="002D4682" w:rsidP="00746734">
            <w:pPr>
              <w:rPr>
                <w:rFonts w:ascii="Arial" w:hAnsi="Arial" w:cs="Arial"/>
                <w:sz w:val="14"/>
                <w:szCs w:val="14"/>
              </w:rPr>
            </w:pPr>
            <w:r w:rsidRPr="00715D58">
              <w:rPr>
                <w:rFonts w:ascii="Arial" w:hAnsi="Arial" w:cs="Arial"/>
                <w:sz w:val="14"/>
                <w:szCs w:val="14"/>
              </w:rPr>
              <w:t>Recommended reference benchmark for New Mexico streams in mountains site class, based on statistical distribution within reference sites and changepoint analysis for multiple biological indicators.</w:t>
            </w:r>
          </w:p>
        </w:tc>
        <w:tc>
          <w:tcPr>
            <w:tcW w:w="2160" w:type="dxa"/>
          </w:tcPr>
          <w:p w14:paraId="6A2A4B95" w14:textId="77777777" w:rsidR="002D4682" w:rsidRPr="00715D58" w:rsidRDefault="002D4682" w:rsidP="00746734">
            <w:pPr>
              <w:rPr>
                <w:rFonts w:ascii="Arial" w:hAnsi="Arial" w:cs="Arial"/>
                <w:sz w:val="14"/>
                <w:szCs w:val="14"/>
              </w:rPr>
            </w:pPr>
            <w:r w:rsidRPr="00715D58">
              <w:rPr>
                <w:rFonts w:ascii="Arial" w:hAnsi="Arial" w:cs="Arial"/>
                <w:sz w:val="14"/>
                <w:szCs w:val="14"/>
              </w:rPr>
              <w:t>aquatic macroinvertebrates</w:t>
            </w:r>
          </w:p>
        </w:tc>
        <w:tc>
          <w:tcPr>
            <w:tcW w:w="1291" w:type="dxa"/>
          </w:tcPr>
          <w:p w14:paraId="73A27249" w14:textId="77777777" w:rsidR="002D4682" w:rsidRPr="00715D58" w:rsidRDefault="002D4682" w:rsidP="00746734">
            <w:pPr>
              <w:rPr>
                <w:rFonts w:ascii="Arial" w:hAnsi="Arial" w:cs="Arial"/>
                <w:sz w:val="14"/>
                <w:szCs w:val="14"/>
              </w:rPr>
            </w:pPr>
            <w:r w:rsidRPr="00715D58">
              <w:rPr>
                <w:rFonts w:ascii="Arial" w:hAnsi="Arial" w:cs="Arial"/>
                <w:sz w:val="14"/>
                <w:szCs w:val="14"/>
              </w:rPr>
              <w:t>≤ 2 mm</w:t>
            </w:r>
          </w:p>
        </w:tc>
        <w:tc>
          <w:tcPr>
            <w:tcW w:w="1141" w:type="dxa"/>
          </w:tcPr>
          <w:p w14:paraId="3A074E96"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455E91E8" w14:textId="77777777" w:rsidR="002D4682" w:rsidRPr="00715D58" w:rsidRDefault="002D4682" w:rsidP="00746734">
            <w:pPr>
              <w:rPr>
                <w:rFonts w:ascii="Arial" w:hAnsi="Arial" w:cs="Arial"/>
                <w:sz w:val="14"/>
                <w:szCs w:val="14"/>
              </w:rPr>
            </w:pPr>
            <w:r w:rsidRPr="00715D58">
              <w:rPr>
                <w:rFonts w:ascii="Arial" w:hAnsi="Arial" w:cs="Arial"/>
                <w:sz w:val="14"/>
                <w:szCs w:val="14"/>
              </w:rPr>
              <w:t>20%</w:t>
            </w:r>
          </w:p>
        </w:tc>
      </w:tr>
      <w:tr w:rsidR="002D4682" w:rsidRPr="00715D58" w14:paraId="6327E8D0" w14:textId="77777777" w:rsidTr="00746734">
        <w:trPr>
          <w:trHeight w:val="547"/>
        </w:trPr>
        <w:tc>
          <w:tcPr>
            <w:tcW w:w="1502" w:type="dxa"/>
          </w:tcPr>
          <w:p w14:paraId="01A93243" w14:textId="77777777" w:rsidR="002D4682" w:rsidRPr="00715D58" w:rsidRDefault="002D4682" w:rsidP="00746734">
            <w:pPr>
              <w:rPr>
                <w:rFonts w:ascii="Arial" w:hAnsi="Arial" w:cs="Arial"/>
                <w:sz w:val="14"/>
                <w:szCs w:val="14"/>
              </w:rPr>
            </w:pPr>
            <w:proofErr w:type="spellStart"/>
            <w:r w:rsidRPr="00715D58">
              <w:rPr>
                <w:rFonts w:ascii="Arial" w:hAnsi="Arial" w:cs="Arial"/>
                <w:sz w:val="14"/>
                <w:szCs w:val="14"/>
              </w:rPr>
              <w:t>Reylea</w:t>
            </w:r>
            <w:proofErr w:type="spellEnd"/>
            <w:r w:rsidRPr="00715D58">
              <w:rPr>
                <w:rFonts w:ascii="Arial" w:hAnsi="Arial" w:cs="Arial"/>
                <w:sz w:val="14"/>
                <w:szCs w:val="14"/>
              </w:rPr>
              <w:t xml:space="preserve"> et al. 2012</w:t>
            </w:r>
          </w:p>
        </w:tc>
        <w:tc>
          <w:tcPr>
            <w:tcW w:w="5806" w:type="dxa"/>
          </w:tcPr>
          <w:p w14:paraId="52F9D528" w14:textId="77777777" w:rsidR="002D4682" w:rsidRPr="00715D58" w:rsidRDefault="002D4682" w:rsidP="00746734">
            <w:pPr>
              <w:rPr>
                <w:rFonts w:ascii="Arial" w:hAnsi="Arial" w:cs="Arial"/>
                <w:sz w:val="14"/>
                <w:szCs w:val="14"/>
              </w:rPr>
            </w:pPr>
            <w:r w:rsidRPr="00715D58">
              <w:rPr>
                <w:rFonts w:ascii="Arial" w:hAnsi="Arial" w:cs="Arial"/>
                <w:sz w:val="14"/>
                <w:szCs w:val="14"/>
              </w:rPr>
              <w:t>Percent fines levels at which sediment-sensitive macroinvertebrate taxa start disappearing from northwest US streams.</w:t>
            </w:r>
          </w:p>
        </w:tc>
        <w:tc>
          <w:tcPr>
            <w:tcW w:w="2160" w:type="dxa"/>
          </w:tcPr>
          <w:p w14:paraId="55734ECD" w14:textId="77777777" w:rsidR="002D4682" w:rsidRPr="00715D58" w:rsidRDefault="002D4682" w:rsidP="00746734">
            <w:pPr>
              <w:rPr>
                <w:rFonts w:ascii="Arial" w:hAnsi="Arial" w:cs="Arial"/>
                <w:sz w:val="14"/>
                <w:szCs w:val="14"/>
              </w:rPr>
            </w:pPr>
            <w:r w:rsidRPr="00715D58">
              <w:rPr>
                <w:rFonts w:ascii="Arial" w:hAnsi="Arial" w:cs="Arial"/>
                <w:sz w:val="14"/>
                <w:szCs w:val="14"/>
              </w:rPr>
              <w:t>aquatic macroinvertebrates</w:t>
            </w:r>
          </w:p>
        </w:tc>
        <w:tc>
          <w:tcPr>
            <w:tcW w:w="1291" w:type="dxa"/>
          </w:tcPr>
          <w:p w14:paraId="43A2E9A9" w14:textId="77777777" w:rsidR="002D4682" w:rsidRPr="00715D58" w:rsidRDefault="002D4682" w:rsidP="00746734">
            <w:pPr>
              <w:rPr>
                <w:rFonts w:ascii="Arial" w:hAnsi="Arial" w:cs="Arial"/>
                <w:sz w:val="14"/>
                <w:szCs w:val="14"/>
              </w:rPr>
            </w:pPr>
            <w:r w:rsidRPr="00715D58">
              <w:rPr>
                <w:rFonts w:ascii="Arial" w:hAnsi="Arial" w:cs="Arial"/>
                <w:sz w:val="14"/>
                <w:szCs w:val="14"/>
              </w:rPr>
              <w:t>&lt; 2 mm</w:t>
            </w:r>
          </w:p>
        </w:tc>
        <w:tc>
          <w:tcPr>
            <w:tcW w:w="1141" w:type="dxa"/>
          </w:tcPr>
          <w:p w14:paraId="5BEAD468" w14:textId="77777777" w:rsidR="002D4682" w:rsidRPr="00715D58" w:rsidRDefault="002D4682" w:rsidP="00746734">
            <w:pPr>
              <w:rPr>
                <w:rFonts w:ascii="Arial" w:hAnsi="Arial" w:cs="Arial"/>
                <w:sz w:val="14"/>
                <w:szCs w:val="14"/>
              </w:rPr>
            </w:pPr>
            <w:r w:rsidRPr="00715D58">
              <w:rPr>
                <w:rFonts w:ascii="Arial" w:hAnsi="Arial" w:cs="Arial"/>
                <w:sz w:val="14"/>
                <w:szCs w:val="14"/>
              </w:rPr>
              <w:t>1-6</w:t>
            </w:r>
            <w:r w:rsidRPr="00715D58">
              <w:rPr>
                <w:rFonts w:ascii="Arial" w:hAnsi="Arial" w:cs="Arial"/>
                <w:sz w:val="14"/>
                <w:szCs w:val="14"/>
                <w:vertAlign w:val="superscript"/>
              </w:rPr>
              <w:t>th</w:t>
            </w:r>
            <w:r w:rsidRPr="00715D58">
              <w:rPr>
                <w:rFonts w:ascii="Arial" w:hAnsi="Arial" w:cs="Arial"/>
                <w:sz w:val="14"/>
                <w:szCs w:val="14"/>
              </w:rPr>
              <w:t xml:space="preserve"> order</w:t>
            </w:r>
          </w:p>
        </w:tc>
        <w:tc>
          <w:tcPr>
            <w:tcW w:w="1163" w:type="dxa"/>
          </w:tcPr>
          <w:p w14:paraId="5AE375B8" w14:textId="77777777" w:rsidR="002D4682" w:rsidRPr="00715D58" w:rsidRDefault="002D4682" w:rsidP="00746734">
            <w:pPr>
              <w:rPr>
                <w:rFonts w:ascii="Arial" w:hAnsi="Arial" w:cs="Arial"/>
                <w:sz w:val="14"/>
                <w:szCs w:val="14"/>
              </w:rPr>
            </w:pPr>
            <w:r w:rsidRPr="00715D58">
              <w:rPr>
                <w:rFonts w:ascii="Arial" w:hAnsi="Arial" w:cs="Arial"/>
                <w:sz w:val="14"/>
                <w:szCs w:val="14"/>
              </w:rPr>
              <w:t>10-20%</w:t>
            </w:r>
          </w:p>
        </w:tc>
      </w:tr>
      <w:tr w:rsidR="002D4682" w:rsidRPr="00715D58" w14:paraId="2166D5B5" w14:textId="77777777" w:rsidTr="00746734">
        <w:trPr>
          <w:trHeight w:val="547"/>
        </w:trPr>
        <w:tc>
          <w:tcPr>
            <w:tcW w:w="1502" w:type="dxa"/>
          </w:tcPr>
          <w:p w14:paraId="0D1B4CA8" w14:textId="77777777" w:rsidR="002D4682" w:rsidRPr="00715D58" w:rsidRDefault="002D4682" w:rsidP="00746734">
            <w:pPr>
              <w:rPr>
                <w:rFonts w:ascii="Arial" w:hAnsi="Arial" w:cs="Arial"/>
                <w:sz w:val="14"/>
                <w:szCs w:val="14"/>
              </w:rPr>
            </w:pPr>
            <w:r w:rsidRPr="00715D58">
              <w:rPr>
                <w:rFonts w:ascii="Arial" w:hAnsi="Arial" w:cs="Arial"/>
                <w:sz w:val="14"/>
                <w:szCs w:val="14"/>
              </w:rPr>
              <w:t>Jensen et al. 2009</w:t>
            </w:r>
          </w:p>
        </w:tc>
        <w:tc>
          <w:tcPr>
            <w:tcW w:w="5806" w:type="dxa"/>
          </w:tcPr>
          <w:p w14:paraId="6B587B61" w14:textId="288E6C2A" w:rsidR="002D4682" w:rsidRPr="00715D58" w:rsidRDefault="00BC5E1A" w:rsidP="00746734">
            <w:pPr>
              <w:rPr>
                <w:rFonts w:ascii="Arial" w:hAnsi="Arial" w:cs="Arial"/>
                <w:sz w:val="14"/>
                <w:szCs w:val="14"/>
              </w:rPr>
            </w:pPr>
            <w:r>
              <w:rPr>
                <w:rFonts w:ascii="Arial" w:hAnsi="Arial" w:cs="Arial"/>
                <w:sz w:val="14"/>
                <w:szCs w:val="14"/>
              </w:rPr>
              <w:t>Surface plus subsurface fine sediment t</w:t>
            </w:r>
            <w:r w:rsidR="002D4682" w:rsidRPr="00715D58">
              <w:rPr>
                <w:rFonts w:ascii="Arial" w:hAnsi="Arial" w:cs="Arial"/>
                <w:sz w:val="14"/>
                <w:szCs w:val="14"/>
              </w:rPr>
              <w:t>hreshold for rapid decreases of egg-to-fry survival, based on a meta-analysis of lab and field studies in peer-reviewed literature</w:t>
            </w:r>
          </w:p>
        </w:tc>
        <w:tc>
          <w:tcPr>
            <w:tcW w:w="2160" w:type="dxa"/>
          </w:tcPr>
          <w:p w14:paraId="3C823AD7" w14:textId="77777777" w:rsidR="002D4682" w:rsidRPr="00715D58" w:rsidRDefault="002D4682" w:rsidP="00746734">
            <w:pPr>
              <w:rPr>
                <w:rFonts w:ascii="Arial" w:hAnsi="Arial" w:cs="Arial"/>
                <w:sz w:val="14"/>
                <w:szCs w:val="14"/>
              </w:rPr>
            </w:pPr>
            <w:r w:rsidRPr="00715D58">
              <w:rPr>
                <w:rFonts w:ascii="Arial" w:hAnsi="Arial" w:cs="Arial"/>
                <w:sz w:val="14"/>
                <w:szCs w:val="14"/>
              </w:rPr>
              <w:t>Chinook, Coho, and Chum salmon, and steelhead trout</w:t>
            </w:r>
          </w:p>
        </w:tc>
        <w:tc>
          <w:tcPr>
            <w:tcW w:w="1291" w:type="dxa"/>
          </w:tcPr>
          <w:p w14:paraId="6B1814A8" w14:textId="77777777" w:rsidR="002D4682" w:rsidRPr="00715D58" w:rsidRDefault="002D4682" w:rsidP="00746734">
            <w:pPr>
              <w:rPr>
                <w:rFonts w:ascii="Arial" w:hAnsi="Arial" w:cs="Arial"/>
                <w:sz w:val="14"/>
                <w:szCs w:val="14"/>
              </w:rPr>
            </w:pPr>
            <w:r w:rsidRPr="00715D58">
              <w:rPr>
                <w:rFonts w:ascii="Arial" w:hAnsi="Arial" w:cs="Arial"/>
                <w:sz w:val="14"/>
                <w:szCs w:val="14"/>
              </w:rPr>
              <w:t>&lt; 0.85 mm</w:t>
            </w:r>
          </w:p>
        </w:tc>
        <w:tc>
          <w:tcPr>
            <w:tcW w:w="1141" w:type="dxa"/>
          </w:tcPr>
          <w:p w14:paraId="15DD66F9" w14:textId="77777777" w:rsidR="002D4682" w:rsidRPr="00715D58" w:rsidRDefault="002D4682" w:rsidP="00746734">
            <w:pPr>
              <w:rPr>
                <w:rFonts w:ascii="Arial" w:hAnsi="Arial" w:cs="Arial"/>
                <w:sz w:val="14"/>
                <w:szCs w:val="14"/>
              </w:rPr>
            </w:pPr>
            <w:r w:rsidRPr="00715D58">
              <w:rPr>
                <w:rFonts w:ascii="Arial" w:hAnsi="Arial" w:cs="Arial"/>
                <w:sz w:val="14"/>
                <w:szCs w:val="14"/>
              </w:rPr>
              <w:t>NA (lab &amp; field experiments)</w:t>
            </w:r>
          </w:p>
        </w:tc>
        <w:tc>
          <w:tcPr>
            <w:tcW w:w="1163" w:type="dxa"/>
          </w:tcPr>
          <w:p w14:paraId="69C40E56" w14:textId="77777777" w:rsidR="002D4682" w:rsidRPr="00715D58" w:rsidRDefault="002D4682" w:rsidP="00746734">
            <w:pPr>
              <w:rPr>
                <w:rFonts w:ascii="Arial" w:hAnsi="Arial" w:cs="Arial"/>
                <w:sz w:val="14"/>
                <w:szCs w:val="14"/>
              </w:rPr>
            </w:pPr>
            <w:r w:rsidRPr="00715D58">
              <w:rPr>
                <w:rFonts w:ascii="Arial" w:hAnsi="Arial" w:cs="Arial"/>
                <w:sz w:val="14"/>
                <w:szCs w:val="14"/>
              </w:rPr>
              <w:t>10%</w:t>
            </w:r>
          </w:p>
        </w:tc>
      </w:tr>
      <w:tr w:rsidR="002D4682" w:rsidRPr="00715D58" w14:paraId="7C5C2CDD" w14:textId="77777777" w:rsidTr="00746734">
        <w:trPr>
          <w:trHeight w:val="547"/>
        </w:trPr>
        <w:tc>
          <w:tcPr>
            <w:tcW w:w="1502" w:type="dxa"/>
          </w:tcPr>
          <w:p w14:paraId="012139C7" w14:textId="77777777" w:rsidR="002D4682" w:rsidRPr="00715D58" w:rsidRDefault="002D4682" w:rsidP="00746734">
            <w:pPr>
              <w:rPr>
                <w:rFonts w:ascii="Arial" w:hAnsi="Arial" w:cs="Arial"/>
                <w:sz w:val="14"/>
                <w:szCs w:val="14"/>
              </w:rPr>
            </w:pPr>
            <w:r w:rsidRPr="00715D58">
              <w:rPr>
                <w:rFonts w:ascii="Arial" w:hAnsi="Arial" w:cs="Arial"/>
                <w:sz w:val="14"/>
                <w:szCs w:val="14"/>
              </w:rPr>
              <w:t>Jensen et al. 2009</w:t>
            </w:r>
          </w:p>
        </w:tc>
        <w:tc>
          <w:tcPr>
            <w:tcW w:w="5806" w:type="dxa"/>
          </w:tcPr>
          <w:p w14:paraId="72B24388" w14:textId="2B321F9B" w:rsidR="002D4682" w:rsidRPr="00715D58" w:rsidRDefault="00BC5E1A" w:rsidP="00746734">
            <w:pPr>
              <w:rPr>
                <w:rFonts w:ascii="Arial" w:hAnsi="Arial" w:cs="Arial"/>
                <w:sz w:val="14"/>
                <w:szCs w:val="14"/>
              </w:rPr>
            </w:pPr>
            <w:r>
              <w:rPr>
                <w:rFonts w:ascii="Arial" w:hAnsi="Arial" w:cs="Arial"/>
                <w:sz w:val="14"/>
                <w:szCs w:val="14"/>
              </w:rPr>
              <w:t>Surface plus subsurface fine sediment t</w:t>
            </w:r>
            <w:r w:rsidR="002D4682" w:rsidRPr="00715D58">
              <w:rPr>
                <w:rFonts w:ascii="Arial" w:hAnsi="Arial" w:cs="Arial"/>
                <w:sz w:val="14"/>
                <w:szCs w:val="14"/>
              </w:rPr>
              <w:t>hreshold for rapid decreases of egg-to-fry survival, based on a meta-analysis of lab and field studies in peer-reviewed literature</w:t>
            </w:r>
          </w:p>
        </w:tc>
        <w:tc>
          <w:tcPr>
            <w:tcW w:w="2160" w:type="dxa"/>
          </w:tcPr>
          <w:p w14:paraId="3BD5BA1C" w14:textId="77777777" w:rsidR="002D4682" w:rsidRPr="00715D58" w:rsidRDefault="002D4682" w:rsidP="00746734">
            <w:pPr>
              <w:rPr>
                <w:rFonts w:ascii="Arial" w:hAnsi="Arial" w:cs="Arial"/>
                <w:sz w:val="14"/>
                <w:szCs w:val="14"/>
              </w:rPr>
            </w:pPr>
            <w:r w:rsidRPr="00715D58">
              <w:rPr>
                <w:rFonts w:ascii="Arial" w:hAnsi="Arial" w:cs="Arial"/>
                <w:sz w:val="14"/>
                <w:szCs w:val="14"/>
              </w:rPr>
              <w:t>Chinook, Coho, and Chum salmon, and steelhead trout</w:t>
            </w:r>
          </w:p>
        </w:tc>
        <w:tc>
          <w:tcPr>
            <w:tcW w:w="1291" w:type="dxa"/>
          </w:tcPr>
          <w:p w14:paraId="11519360" w14:textId="77777777" w:rsidR="002D4682" w:rsidRPr="00715D58" w:rsidRDefault="002D4682" w:rsidP="00746734">
            <w:pPr>
              <w:rPr>
                <w:rFonts w:ascii="Arial" w:hAnsi="Arial" w:cs="Arial"/>
                <w:sz w:val="14"/>
                <w:szCs w:val="14"/>
              </w:rPr>
            </w:pPr>
            <w:r w:rsidRPr="00715D58">
              <w:rPr>
                <w:rFonts w:ascii="Arial" w:hAnsi="Arial" w:cs="Arial"/>
                <w:sz w:val="14"/>
                <w:szCs w:val="14"/>
              </w:rPr>
              <w:t>&lt; 3.4 mm, &lt; 4.8 mm, &lt; 6.4 mm</w:t>
            </w:r>
          </w:p>
        </w:tc>
        <w:tc>
          <w:tcPr>
            <w:tcW w:w="1141" w:type="dxa"/>
          </w:tcPr>
          <w:p w14:paraId="018F7D21" w14:textId="77777777" w:rsidR="002D4682" w:rsidRPr="00715D58" w:rsidRDefault="002D4682" w:rsidP="00746734">
            <w:pPr>
              <w:rPr>
                <w:rFonts w:ascii="Arial" w:hAnsi="Arial" w:cs="Arial"/>
                <w:sz w:val="14"/>
                <w:szCs w:val="14"/>
              </w:rPr>
            </w:pPr>
            <w:r w:rsidRPr="00715D58">
              <w:rPr>
                <w:rFonts w:ascii="Arial" w:hAnsi="Arial" w:cs="Arial"/>
                <w:sz w:val="14"/>
                <w:szCs w:val="14"/>
              </w:rPr>
              <w:t>NA (lab &amp; field experiments</w:t>
            </w:r>
          </w:p>
        </w:tc>
        <w:tc>
          <w:tcPr>
            <w:tcW w:w="1163" w:type="dxa"/>
          </w:tcPr>
          <w:p w14:paraId="78C017C1" w14:textId="77777777" w:rsidR="002D4682" w:rsidRPr="00715D58" w:rsidRDefault="002D4682" w:rsidP="00746734">
            <w:pPr>
              <w:rPr>
                <w:rFonts w:ascii="Arial" w:hAnsi="Arial" w:cs="Arial"/>
                <w:sz w:val="14"/>
                <w:szCs w:val="14"/>
              </w:rPr>
            </w:pPr>
            <w:r w:rsidRPr="00715D58">
              <w:rPr>
                <w:rFonts w:ascii="Arial" w:hAnsi="Arial" w:cs="Arial"/>
                <w:sz w:val="14"/>
                <w:szCs w:val="14"/>
              </w:rPr>
              <w:t>25-30%</w:t>
            </w:r>
          </w:p>
        </w:tc>
      </w:tr>
      <w:tr w:rsidR="002D4682" w:rsidRPr="00715D58" w14:paraId="01E94643" w14:textId="77777777" w:rsidTr="00746734">
        <w:trPr>
          <w:trHeight w:val="547"/>
        </w:trPr>
        <w:tc>
          <w:tcPr>
            <w:tcW w:w="1502" w:type="dxa"/>
          </w:tcPr>
          <w:p w14:paraId="77321949" w14:textId="77777777" w:rsidR="002D4682" w:rsidRPr="00715D58" w:rsidRDefault="002D4682" w:rsidP="00746734">
            <w:pPr>
              <w:rPr>
                <w:rFonts w:ascii="Arial" w:hAnsi="Arial" w:cs="Arial"/>
                <w:sz w:val="14"/>
                <w:szCs w:val="14"/>
              </w:rPr>
            </w:pPr>
            <w:r w:rsidRPr="00715D58">
              <w:rPr>
                <w:rFonts w:ascii="Arial" w:hAnsi="Arial" w:cs="Arial"/>
                <w:sz w:val="14"/>
                <w:szCs w:val="14"/>
              </w:rPr>
              <w:t>Burdon et al. 2013</w:t>
            </w:r>
          </w:p>
        </w:tc>
        <w:tc>
          <w:tcPr>
            <w:tcW w:w="5806" w:type="dxa"/>
          </w:tcPr>
          <w:p w14:paraId="5801013A" w14:textId="77777777" w:rsidR="002D4682" w:rsidRPr="00715D58" w:rsidRDefault="002D4682" w:rsidP="00746734">
            <w:pPr>
              <w:rPr>
                <w:rFonts w:ascii="Arial" w:hAnsi="Arial" w:cs="Arial"/>
                <w:sz w:val="14"/>
                <w:szCs w:val="14"/>
              </w:rPr>
            </w:pPr>
            <w:r w:rsidRPr="00715D58">
              <w:rPr>
                <w:rFonts w:ascii="Arial" w:hAnsi="Arial" w:cs="Arial"/>
                <w:sz w:val="14"/>
                <w:szCs w:val="14"/>
              </w:rPr>
              <w:t xml:space="preserve">Threshold above which rapid changes in pollution-sensitive invertebrates (% Ephemeroptera, </w:t>
            </w:r>
            <w:proofErr w:type="spellStart"/>
            <w:r w:rsidRPr="00715D58">
              <w:rPr>
                <w:rFonts w:ascii="Arial" w:hAnsi="Arial" w:cs="Arial"/>
                <w:sz w:val="14"/>
                <w:szCs w:val="14"/>
              </w:rPr>
              <w:t>Plecoptera</w:t>
            </w:r>
            <w:proofErr w:type="spellEnd"/>
            <w:r w:rsidRPr="00715D58">
              <w:rPr>
                <w:rFonts w:ascii="Arial" w:hAnsi="Arial" w:cs="Arial"/>
                <w:sz w:val="14"/>
                <w:szCs w:val="14"/>
              </w:rPr>
              <w:t xml:space="preserve">, and </w:t>
            </w:r>
            <w:proofErr w:type="spellStart"/>
            <w:r w:rsidRPr="00715D58">
              <w:rPr>
                <w:rFonts w:ascii="Arial" w:hAnsi="Arial" w:cs="Arial"/>
                <w:sz w:val="14"/>
                <w:szCs w:val="14"/>
              </w:rPr>
              <w:t>Trichiptera</w:t>
            </w:r>
            <w:proofErr w:type="spellEnd"/>
            <w:r w:rsidRPr="00715D58">
              <w:rPr>
                <w:rFonts w:ascii="Arial" w:hAnsi="Arial" w:cs="Arial"/>
                <w:sz w:val="14"/>
                <w:szCs w:val="14"/>
              </w:rPr>
              <w:t>) were observed across 20 New Zealand agricultural streams.</w:t>
            </w:r>
          </w:p>
        </w:tc>
        <w:tc>
          <w:tcPr>
            <w:tcW w:w="2160" w:type="dxa"/>
          </w:tcPr>
          <w:p w14:paraId="3998E3B7" w14:textId="77777777" w:rsidR="002D4682" w:rsidRPr="00715D58" w:rsidRDefault="002D4682" w:rsidP="00746734">
            <w:pPr>
              <w:rPr>
                <w:rFonts w:ascii="Arial" w:hAnsi="Arial" w:cs="Arial"/>
                <w:sz w:val="14"/>
                <w:szCs w:val="14"/>
              </w:rPr>
            </w:pPr>
            <w:r w:rsidRPr="00715D58">
              <w:rPr>
                <w:rFonts w:ascii="Arial" w:hAnsi="Arial" w:cs="Arial"/>
                <w:sz w:val="14"/>
                <w:szCs w:val="14"/>
              </w:rPr>
              <w:t>Aquatic macroinvertebrates</w:t>
            </w:r>
          </w:p>
        </w:tc>
        <w:tc>
          <w:tcPr>
            <w:tcW w:w="1291" w:type="dxa"/>
          </w:tcPr>
          <w:p w14:paraId="3964AE8F" w14:textId="77777777" w:rsidR="002D4682" w:rsidRPr="00715D58" w:rsidRDefault="002D4682" w:rsidP="00746734">
            <w:pPr>
              <w:rPr>
                <w:rFonts w:ascii="Arial" w:hAnsi="Arial" w:cs="Arial"/>
                <w:sz w:val="14"/>
                <w:szCs w:val="14"/>
              </w:rPr>
            </w:pPr>
            <w:r w:rsidRPr="00715D58">
              <w:rPr>
                <w:rFonts w:ascii="Arial" w:hAnsi="Arial" w:cs="Arial"/>
                <w:sz w:val="14"/>
                <w:szCs w:val="14"/>
              </w:rPr>
              <w:t>&lt; 2 mm</w:t>
            </w:r>
          </w:p>
        </w:tc>
        <w:tc>
          <w:tcPr>
            <w:tcW w:w="1141" w:type="dxa"/>
          </w:tcPr>
          <w:p w14:paraId="66897DF0" w14:textId="77777777" w:rsidR="002D4682" w:rsidRPr="00715D58" w:rsidRDefault="002D4682" w:rsidP="00746734">
            <w:pPr>
              <w:rPr>
                <w:rFonts w:ascii="Arial" w:hAnsi="Arial" w:cs="Arial"/>
                <w:sz w:val="14"/>
                <w:szCs w:val="14"/>
              </w:rPr>
            </w:pPr>
            <w:r w:rsidRPr="00715D58">
              <w:rPr>
                <w:rFonts w:ascii="Arial" w:hAnsi="Arial" w:cs="Arial"/>
                <w:sz w:val="14"/>
                <w:szCs w:val="14"/>
              </w:rPr>
              <w:t>1-3</w:t>
            </w:r>
            <w:r w:rsidRPr="00715D58">
              <w:rPr>
                <w:rFonts w:ascii="Arial" w:hAnsi="Arial" w:cs="Arial"/>
                <w:sz w:val="14"/>
                <w:szCs w:val="14"/>
                <w:vertAlign w:val="superscript"/>
              </w:rPr>
              <w:t>rd</w:t>
            </w:r>
            <w:r w:rsidRPr="00715D58">
              <w:rPr>
                <w:rFonts w:ascii="Arial" w:hAnsi="Arial" w:cs="Arial"/>
                <w:sz w:val="14"/>
                <w:szCs w:val="14"/>
              </w:rPr>
              <w:t xml:space="preserve"> order</w:t>
            </w:r>
          </w:p>
        </w:tc>
        <w:tc>
          <w:tcPr>
            <w:tcW w:w="1163" w:type="dxa"/>
          </w:tcPr>
          <w:p w14:paraId="43B13FCC" w14:textId="77777777" w:rsidR="002D4682" w:rsidRPr="00715D58" w:rsidRDefault="002D4682" w:rsidP="00746734">
            <w:pPr>
              <w:rPr>
                <w:rFonts w:ascii="Arial" w:hAnsi="Arial" w:cs="Arial"/>
                <w:sz w:val="14"/>
                <w:szCs w:val="14"/>
              </w:rPr>
            </w:pPr>
            <w:r w:rsidRPr="00715D58">
              <w:rPr>
                <w:rFonts w:ascii="Arial" w:hAnsi="Arial" w:cs="Arial"/>
                <w:sz w:val="14"/>
                <w:szCs w:val="14"/>
              </w:rPr>
              <w:t>20%</w:t>
            </w:r>
          </w:p>
        </w:tc>
      </w:tr>
      <w:tr w:rsidR="002D4682" w:rsidRPr="00715D58" w14:paraId="55B88F8A" w14:textId="77777777" w:rsidTr="00746734">
        <w:trPr>
          <w:trHeight w:val="547"/>
        </w:trPr>
        <w:tc>
          <w:tcPr>
            <w:tcW w:w="1502" w:type="dxa"/>
          </w:tcPr>
          <w:p w14:paraId="6D3920F3" w14:textId="77777777" w:rsidR="002D4682" w:rsidRPr="00715D58" w:rsidRDefault="002D4682" w:rsidP="00746734">
            <w:pPr>
              <w:rPr>
                <w:rFonts w:ascii="Arial" w:hAnsi="Arial" w:cs="Arial"/>
                <w:sz w:val="14"/>
                <w:szCs w:val="14"/>
              </w:rPr>
            </w:pPr>
            <w:r w:rsidRPr="00715D58">
              <w:rPr>
                <w:rFonts w:ascii="Arial" w:hAnsi="Arial" w:cs="Arial"/>
                <w:sz w:val="14"/>
                <w:szCs w:val="14"/>
              </w:rPr>
              <w:t>EPA 2020 (Table 4.2)</w:t>
            </w:r>
          </w:p>
        </w:tc>
        <w:tc>
          <w:tcPr>
            <w:tcW w:w="5806" w:type="dxa"/>
          </w:tcPr>
          <w:p w14:paraId="43B1F55A" w14:textId="77777777" w:rsidR="002D4682" w:rsidRPr="00715D58" w:rsidRDefault="002D4682" w:rsidP="00746734">
            <w:pPr>
              <w:rPr>
                <w:rFonts w:ascii="Arial" w:hAnsi="Arial" w:cs="Arial"/>
                <w:sz w:val="14"/>
                <w:szCs w:val="14"/>
              </w:rPr>
            </w:pPr>
            <w:r w:rsidRPr="00715D58">
              <w:rPr>
                <w:rFonts w:ascii="Arial" w:hAnsi="Arial" w:cs="Arial"/>
                <w:sz w:val="14"/>
                <w:szCs w:val="14"/>
              </w:rPr>
              <w:t>Threshold used to identify reference sites within the Northern Rockies and Pacific Mountains region for the National River and Streams Assessment (NRSA)</w:t>
            </w:r>
          </w:p>
        </w:tc>
        <w:tc>
          <w:tcPr>
            <w:tcW w:w="2160" w:type="dxa"/>
          </w:tcPr>
          <w:p w14:paraId="1D1E5DD5" w14:textId="77777777" w:rsidR="002D4682" w:rsidRPr="00715D58" w:rsidRDefault="002D4682" w:rsidP="00746734">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31026994" w14:textId="77777777" w:rsidR="002D4682" w:rsidRPr="00715D58" w:rsidRDefault="002D4682" w:rsidP="00746734">
            <w:pPr>
              <w:rPr>
                <w:rFonts w:ascii="Arial" w:hAnsi="Arial" w:cs="Arial"/>
                <w:sz w:val="14"/>
                <w:szCs w:val="14"/>
              </w:rPr>
            </w:pPr>
            <w:r w:rsidRPr="00715D58">
              <w:rPr>
                <w:rFonts w:ascii="Arial" w:hAnsi="Arial" w:cs="Arial"/>
                <w:sz w:val="14"/>
                <w:szCs w:val="14"/>
              </w:rPr>
              <w:t>unclear</w:t>
            </w:r>
          </w:p>
        </w:tc>
        <w:tc>
          <w:tcPr>
            <w:tcW w:w="1141" w:type="dxa"/>
          </w:tcPr>
          <w:p w14:paraId="44992B42" w14:textId="77777777" w:rsidR="002D4682" w:rsidRPr="00715D58" w:rsidRDefault="002D4682" w:rsidP="00746734">
            <w:pPr>
              <w:rPr>
                <w:rFonts w:ascii="Arial" w:hAnsi="Arial" w:cs="Arial"/>
                <w:sz w:val="14"/>
                <w:szCs w:val="14"/>
              </w:rPr>
            </w:pPr>
            <w:r w:rsidRPr="00715D58">
              <w:rPr>
                <w:rFonts w:ascii="Arial" w:hAnsi="Arial" w:cs="Arial"/>
                <w:sz w:val="14"/>
                <w:szCs w:val="14"/>
              </w:rPr>
              <w:t>wadable &amp; non-wadable</w:t>
            </w:r>
          </w:p>
        </w:tc>
        <w:tc>
          <w:tcPr>
            <w:tcW w:w="1163" w:type="dxa"/>
          </w:tcPr>
          <w:p w14:paraId="431D4A4F" w14:textId="77777777" w:rsidR="002D4682" w:rsidRPr="00715D58" w:rsidRDefault="002D4682" w:rsidP="00746734">
            <w:pPr>
              <w:rPr>
                <w:rFonts w:ascii="Arial" w:hAnsi="Arial" w:cs="Arial"/>
                <w:sz w:val="14"/>
                <w:szCs w:val="14"/>
              </w:rPr>
            </w:pPr>
            <w:r w:rsidRPr="00715D58">
              <w:rPr>
                <w:rFonts w:ascii="Arial" w:hAnsi="Arial" w:cs="Arial"/>
                <w:sz w:val="14"/>
                <w:szCs w:val="14"/>
              </w:rPr>
              <w:t>15%</w:t>
            </w:r>
          </w:p>
        </w:tc>
      </w:tr>
      <w:tr w:rsidR="002D4682" w:rsidRPr="00715D58" w14:paraId="6A202DB1" w14:textId="77777777" w:rsidTr="00746734">
        <w:trPr>
          <w:trHeight w:val="547"/>
        </w:trPr>
        <w:tc>
          <w:tcPr>
            <w:tcW w:w="1502" w:type="dxa"/>
          </w:tcPr>
          <w:p w14:paraId="24678EFB" w14:textId="77777777" w:rsidR="002D4682" w:rsidRPr="00715D58" w:rsidRDefault="002D4682" w:rsidP="00746734">
            <w:pPr>
              <w:rPr>
                <w:rFonts w:ascii="Arial" w:hAnsi="Arial" w:cs="Arial"/>
                <w:sz w:val="14"/>
                <w:szCs w:val="14"/>
              </w:rPr>
            </w:pPr>
            <w:r w:rsidRPr="00715D58">
              <w:rPr>
                <w:rFonts w:ascii="Arial" w:hAnsi="Arial" w:cs="Arial"/>
                <w:sz w:val="14"/>
                <w:szCs w:val="14"/>
              </w:rPr>
              <w:t>EPA 2020 (Table 4.2)</w:t>
            </w:r>
          </w:p>
        </w:tc>
        <w:tc>
          <w:tcPr>
            <w:tcW w:w="5806" w:type="dxa"/>
          </w:tcPr>
          <w:p w14:paraId="33E4F19A" w14:textId="77777777" w:rsidR="002D4682" w:rsidRPr="00715D58" w:rsidRDefault="002D4682" w:rsidP="00746734">
            <w:pPr>
              <w:rPr>
                <w:rFonts w:ascii="Arial" w:hAnsi="Arial" w:cs="Arial"/>
                <w:sz w:val="14"/>
                <w:szCs w:val="14"/>
              </w:rPr>
            </w:pPr>
            <w:r w:rsidRPr="00715D58">
              <w:rPr>
                <w:rFonts w:ascii="Arial" w:hAnsi="Arial" w:cs="Arial"/>
                <w:sz w:val="14"/>
                <w:szCs w:val="14"/>
              </w:rPr>
              <w:t>Threshold used to identify most-disturbed sites within the Northern Rockies and Pacific Mountains region for the National River and Streams Assessment (NRSA)</w:t>
            </w:r>
          </w:p>
        </w:tc>
        <w:tc>
          <w:tcPr>
            <w:tcW w:w="2160" w:type="dxa"/>
          </w:tcPr>
          <w:p w14:paraId="7115602F" w14:textId="77777777" w:rsidR="002D4682" w:rsidRPr="00715D58" w:rsidRDefault="002D4682" w:rsidP="00746734">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5C17D09A" w14:textId="77777777" w:rsidR="002D4682" w:rsidRPr="00715D58" w:rsidRDefault="002D4682" w:rsidP="00746734">
            <w:pPr>
              <w:rPr>
                <w:rFonts w:ascii="Arial" w:hAnsi="Arial" w:cs="Arial"/>
                <w:sz w:val="14"/>
                <w:szCs w:val="14"/>
              </w:rPr>
            </w:pPr>
            <w:r w:rsidRPr="00715D58">
              <w:rPr>
                <w:rFonts w:ascii="Arial" w:hAnsi="Arial" w:cs="Arial"/>
                <w:sz w:val="14"/>
                <w:szCs w:val="14"/>
              </w:rPr>
              <w:t>unclear</w:t>
            </w:r>
          </w:p>
        </w:tc>
        <w:tc>
          <w:tcPr>
            <w:tcW w:w="1141" w:type="dxa"/>
          </w:tcPr>
          <w:p w14:paraId="18AA8295" w14:textId="77777777" w:rsidR="002D4682" w:rsidRPr="00715D58" w:rsidRDefault="002D4682" w:rsidP="00746734">
            <w:pPr>
              <w:rPr>
                <w:rFonts w:ascii="Arial" w:hAnsi="Arial" w:cs="Arial"/>
                <w:sz w:val="14"/>
                <w:szCs w:val="14"/>
              </w:rPr>
            </w:pPr>
            <w:r w:rsidRPr="00715D58">
              <w:rPr>
                <w:rFonts w:ascii="Arial" w:hAnsi="Arial" w:cs="Arial"/>
                <w:sz w:val="14"/>
                <w:szCs w:val="14"/>
              </w:rPr>
              <w:t>wadable &amp; non-wadable</w:t>
            </w:r>
          </w:p>
        </w:tc>
        <w:tc>
          <w:tcPr>
            <w:tcW w:w="1163" w:type="dxa"/>
          </w:tcPr>
          <w:p w14:paraId="6060516A" w14:textId="77777777" w:rsidR="002D4682" w:rsidRPr="00715D58" w:rsidRDefault="002D4682" w:rsidP="00746734">
            <w:pPr>
              <w:rPr>
                <w:rFonts w:ascii="Arial" w:hAnsi="Arial" w:cs="Arial"/>
                <w:sz w:val="14"/>
                <w:szCs w:val="14"/>
              </w:rPr>
            </w:pPr>
            <w:r w:rsidRPr="00715D58">
              <w:rPr>
                <w:rFonts w:ascii="Arial" w:hAnsi="Arial" w:cs="Arial"/>
                <w:sz w:val="14"/>
                <w:szCs w:val="14"/>
              </w:rPr>
              <w:t>50%</w:t>
            </w:r>
          </w:p>
        </w:tc>
      </w:tr>
      <w:tr w:rsidR="002D4682" w:rsidRPr="00715D58" w14:paraId="74505DD1" w14:textId="77777777" w:rsidTr="00746734">
        <w:trPr>
          <w:trHeight w:val="547"/>
        </w:trPr>
        <w:tc>
          <w:tcPr>
            <w:tcW w:w="1502" w:type="dxa"/>
          </w:tcPr>
          <w:p w14:paraId="6F85C580" w14:textId="77777777" w:rsidR="002D4682" w:rsidRPr="00715D58" w:rsidRDefault="002D4682" w:rsidP="00746734">
            <w:pPr>
              <w:rPr>
                <w:rFonts w:ascii="Arial" w:hAnsi="Arial" w:cs="Arial"/>
                <w:sz w:val="14"/>
                <w:szCs w:val="14"/>
              </w:rPr>
            </w:pPr>
            <w:r w:rsidRPr="00715D58">
              <w:rPr>
                <w:rFonts w:ascii="Arial" w:hAnsi="Arial" w:cs="Arial"/>
                <w:sz w:val="14"/>
                <w:szCs w:val="14"/>
              </w:rPr>
              <w:t>EPA 2007</w:t>
            </w:r>
          </w:p>
        </w:tc>
        <w:tc>
          <w:tcPr>
            <w:tcW w:w="5806" w:type="dxa"/>
          </w:tcPr>
          <w:p w14:paraId="79F6B668" w14:textId="77777777" w:rsidR="002D4682" w:rsidRPr="00715D58" w:rsidRDefault="002D4682" w:rsidP="00746734">
            <w:pPr>
              <w:rPr>
                <w:rFonts w:ascii="Arial" w:hAnsi="Arial" w:cs="Arial"/>
                <w:sz w:val="14"/>
                <w:szCs w:val="14"/>
              </w:rPr>
            </w:pPr>
            <w:r w:rsidRPr="00715D58">
              <w:rPr>
                <w:rFonts w:ascii="Arial" w:hAnsi="Arial" w:cs="Arial"/>
                <w:sz w:val="14"/>
                <w:szCs w:val="14"/>
              </w:rPr>
              <w:t>‘Good’ condition threshold used by EPA for assessing stream conditions in EMAP Report ‘Ecological Condition of Wadable Streams of the Interior Columbia River Basin’. ‘Good’ percent fines condition was calculated as 75</w:t>
            </w:r>
            <w:r w:rsidRPr="00715D58">
              <w:rPr>
                <w:rFonts w:ascii="Arial" w:hAnsi="Arial" w:cs="Arial"/>
                <w:sz w:val="14"/>
                <w:szCs w:val="14"/>
                <w:vertAlign w:val="superscript"/>
              </w:rPr>
              <w:t>th</w:t>
            </w:r>
            <w:r w:rsidRPr="00715D58">
              <w:rPr>
                <w:rFonts w:ascii="Arial" w:hAnsi="Arial" w:cs="Arial"/>
                <w:sz w:val="14"/>
                <w:szCs w:val="14"/>
              </w:rPr>
              <w:t xml:space="preserve"> percentile value among least-disturbed reference sites within Northern Rockies, Idaho Batholith, Middle Rockies, and Canadian Rockies ecoregions.</w:t>
            </w:r>
          </w:p>
        </w:tc>
        <w:tc>
          <w:tcPr>
            <w:tcW w:w="2160" w:type="dxa"/>
          </w:tcPr>
          <w:p w14:paraId="08C0BE2D" w14:textId="77777777" w:rsidR="002D4682" w:rsidRPr="00715D58" w:rsidRDefault="002D4682" w:rsidP="00746734">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654C8AB4" w14:textId="77777777" w:rsidR="002D4682" w:rsidRPr="00715D58" w:rsidRDefault="002D4682" w:rsidP="00746734">
            <w:pPr>
              <w:rPr>
                <w:rFonts w:ascii="Arial" w:hAnsi="Arial" w:cs="Arial"/>
                <w:sz w:val="14"/>
                <w:szCs w:val="14"/>
              </w:rPr>
            </w:pPr>
            <w:r w:rsidRPr="00715D58">
              <w:rPr>
                <w:rFonts w:ascii="Arial" w:hAnsi="Arial" w:cs="Arial"/>
                <w:sz w:val="14"/>
                <w:szCs w:val="14"/>
              </w:rPr>
              <w:t>&lt; 2 mm</w:t>
            </w:r>
          </w:p>
        </w:tc>
        <w:tc>
          <w:tcPr>
            <w:tcW w:w="1141" w:type="dxa"/>
          </w:tcPr>
          <w:p w14:paraId="44720ABC"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6612A4FD" w14:textId="77777777" w:rsidR="002D4682" w:rsidRPr="00715D58" w:rsidRDefault="002D4682" w:rsidP="00746734">
            <w:pPr>
              <w:rPr>
                <w:rFonts w:ascii="Arial" w:hAnsi="Arial" w:cs="Arial"/>
                <w:sz w:val="14"/>
                <w:szCs w:val="14"/>
              </w:rPr>
            </w:pPr>
            <w:r w:rsidRPr="00715D58">
              <w:rPr>
                <w:rFonts w:ascii="Arial" w:hAnsi="Arial" w:cs="Arial"/>
                <w:sz w:val="14"/>
                <w:szCs w:val="14"/>
              </w:rPr>
              <w:t>16.19%</w:t>
            </w:r>
          </w:p>
        </w:tc>
      </w:tr>
      <w:tr w:rsidR="002D4682" w:rsidRPr="00715D58" w14:paraId="57F799D5" w14:textId="77777777" w:rsidTr="00746734">
        <w:trPr>
          <w:trHeight w:val="547"/>
        </w:trPr>
        <w:tc>
          <w:tcPr>
            <w:tcW w:w="1502" w:type="dxa"/>
          </w:tcPr>
          <w:p w14:paraId="4A2C07F2" w14:textId="77777777" w:rsidR="002D4682" w:rsidRPr="00715D58" w:rsidRDefault="002D4682" w:rsidP="00746734">
            <w:pPr>
              <w:rPr>
                <w:rFonts w:ascii="Arial" w:hAnsi="Arial" w:cs="Arial"/>
                <w:sz w:val="14"/>
                <w:szCs w:val="14"/>
              </w:rPr>
            </w:pPr>
            <w:r w:rsidRPr="00715D58">
              <w:rPr>
                <w:rFonts w:ascii="Arial" w:hAnsi="Arial" w:cs="Arial"/>
                <w:sz w:val="14"/>
                <w:szCs w:val="14"/>
              </w:rPr>
              <w:t>EPA 2007</w:t>
            </w:r>
          </w:p>
        </w:tc>
        <w:tc>
          <w:tcPr>
            <w:tcW w:w="5806" w:type="dxa"/>
          </w:tcPr>
          <w:p w14:paraId="1639B3D8" w14:textId="77777777" w:rsidR="002D4682" w:rsidRPr="00715D58" w:rsidRDefault="002D4682" w:rsidP="00746734">
            <w:pPr>
              <w:rPr>
                <w:rFonts w:ascii="Arial" w:hAnsi="Arial" w:cs="Arial"/>
                <w:sz w:val="14"/>
                <w:szCs w:val="14"/>
              </w:rPr>
            </w:pPr>
            <w:r w:rsidRPr="00715D58">
              <w:rPr>
                <w:rFonts w:ascii="Arial" w:hAnsi="Arial" w:cs="Arial"/>
                <w:sz w:val="14"/>
                <w:szCs w:val="14"/>
              </w:rPr>
              <w:t>‘Good’ condition threshold used by EPA for assessing stream conditions in EMAP Report ‘Ecological Condition of Wadable Streams of the Interior Columbia River Basin’. ‘Good’ percent fines condition was calculated as 75</w:t>
            </w:r>
            <w:r w:rsidRPr="00715D58">
              <w:rPr>
                <w:rFonts w:ascii="Arial" w:hAnsi="Arial" w:cs="Arial"/>
                <w:sz w:val="14"/>
                <w:szCs w:val="14"/>
                <w:vertAlign w:val="superscript"/>
              </w:rPr>
              <w:t>th</w:t>
            </w:r>
            <w:r w:rsidRPr="00715D58">
              <w:rPr>
                <w:rFonts w:ascii="Arial" w:hAnsi="Arial" w:cs="Arial"/>
                <w:sz w:val="14"/>
                <w:szCs w:val="14"/>
              </w:rPr>
              <w:t xml:space="preserve"> percentile value among least-disturbed reference sites within Columbia Plateau and Northern Basin &amp; Range ecoregions.</w:t>
            </w:r>
          </w:p>
        </w:tc>
        <w:tc>
          <w:tcPr>
            <w:tcW w:w="2160" w:type="dxa"/>
          </w:tcPr>
          <w:p w14:paraId="3EB532A5" w14:textId="77777777" w:rsidR="002D4682" w:rsidRPr="00715D58" w:rsidRDefault="002D4682" w:rsidP="00746734">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4864C13A" w14:textId="77777777" w:rsidR="002D4682" w:rsidRPr="00715D58" w:rsidRDefault="002D4682" w:rsidP="00746734">
            <w:pPr>
              <w:rPr>
                <w:rFonts w:ascii="Arial" w:hAnsi="Arial" w:cs="Arial"/>
                <w:sz w:val="14"/>
                <w:szCs w:val="14"/>
              </w:rPr>
            </w:pPr>
            <w:r w:rsidRPr="00715D58">
              <w:rPr>
                <w:rFonts w:ascii="Arial" w:hAnsi="Arial" w:cs="Arial"/>
                <w:sz w:val="14"/>
                <w:szCs w:val="14"/>
              </w:rPr>
              <w:t>&lt; 2 mm</w:t>
            </w:r>
          </w:p>
        </w:tc>
        <w:tc>
          <w:tcPr>
            <w:tcW w:w="1141" w:type="dxa"/>
          </w:tcPr>
          <w:p w14:paraId="5C55AD61" w14:textId="77777777" w:rsidR="002D4682" w:rsidRPr="00715D58" w:rsidRDefault="002D4682" w:rsidP="00746734">
            <w:pPr>
              <w:rPr>
                <w:rFonts w:ascii="Arial" w:hAnsi="Arial" w:cs="Arial"/>
                <w:sz w:val="14"/>
                <w:szCs w:val="14"/>
              </w:rPr>
            </w:pPr>
            <w:r w:rsidRPr="00715D58">
              <w:rPr>
                <w:rFonts w:ascii="Arial" w:hAnsi="Arial" w:cs="Arial"/>
                <w:sz w:val="14"/>
                <w:szCs w:val="14"/>
              </w:rPr>
              <w:t>wadable</w:t>
            </w:r>
          </w:p>
        </w:tc>
        <w:tc>
          <w:tcPr>
            <w:tcW w:w="1163" w:type="dxa"/>
          </w:tcPr>
          <w:p w14:paraId="5DE93DE0" w14:textId="77777777" w:rsidR="002D4682" w:rsidRPr="00715D58" w:rsidRDefault="002D4682" w:rsidP="00746734">
            <w:pPr>
              <w:rPr>
                <w:rFonts w:ascii="Arial" w:hAnsi="Arial" w:cs="Arial"/>
                <w:sz w:val="14"/>
                <w:szCs w:val="14"/>
              </w:rPr>
            </w:pPr>
            <w:r w:rsidRPr="00715D58">
              <w:rPr>
                <w:rFonts w:ascii="Arial" w:hAnsi="Arial" w:cs="Arial"/>
                <w:sz w:val="14"/>
                <w:szCs w:val="14"/>
              </w:rPr>
              <w:t>29.52%</w:t>
            </w:r>
          </w:p>
        </w:tc>
      </w:tr>
      <w:tr w:rsidR="000406DE" w:rsidRPr="00715D58" w14:paraId="6013F826" w14:textId="77777777" w:rsidTr="00746734">
        <w:trPr>
          <w:trHeight w:val="547"/>
        </w:trPr>
        <w:tc>
          <w:tcPr>
            <w:tcW w:w="1502" w:type="dxa"/>
          </w:tcPr>
          <w:p w14:paraId="50D569F4" w14:textId="31D559D8" w:rsidR="000406DE" w:rsidRPr="00715D58" w:rsidRDefault="00E9159A" w:rsidP="000406DE">
            <w:pPr>
              <w:rPr>
                <w:rFonts w:ascii="Arial" w:hAnsi="Arial" w:cs="Arial"/>
                <w:sz w:val="14"/>
                <w:szCs w:val="14"/>
              </w:rPr>
            </w:pPr>
            <w:r>
              <w:rPr>
                <w:rFonts w:ascii="Arial" w:hAnsi="Arial" w:cs="Arial"/>
                <w:sz w:val="14"/>
                <w:szCs w:val="14"/>
              </w:rPr>
              <w:t>Miller et al.,</w:t>
            </w:r>
            <w:r w:rsidR="000406DE" w:rsidRPr="00715D58">
              <w:rPr>
                <w:rFonts w:ascii="Arial" w:hAnsi="Arial" w:cs="Arial"/>
                <w:sz w:val="14"/>
                <w:szCs w:val="14"/>
              </w:rPr>
              <w:t xml:space="preserve"> 202</w:t>
            </w:r>
            <w:r w:rsidR="000406DE">
              <w:rPr>
                <w:rFonts w:ascii="Arial" w:hAnsi="Arial" w:cs="Arial"/>
                <w:sz w:val="14"/>
                <w:szCs w:val="14"/>
              </w:rPr>
              <w:t>1</w:t>
            </w:r>
          </w:p>
        </w:tc>
        <w:tc>
          <w:tcPr>
            <w:tcW w:w="5806" w:type="dxa"/>
          </w:tcPr>
          <w:p w14:paraId="264E8CDC" w14:textId="77777777" w:rsidR="000406DE" w:rsidRPr="00715D58" w:rsidRDefault="000406DE" w:rsidP="000406DE">
            <w:pPr>
              <w:rPr>
                <w:rFonts w:ascii="Arial" w:hAnsi="Arial" w:cs="Arial"/>
                <w:sz w:val="14"/>
                <w:szCs w:val="14"/>
              </w:rPr>
            </w:pPr>
            <w:r w:rsidRPr="00715D58">
              <w:rPr>
                <w:rFonts w:ascii="Arial" w:hAnsi="Arial" w:cs="Arial"/>
                <w:sz w:val="14"/>
                <w:szCs w:val="14"/>
              </w:rPr>
              <w:t>70</w:t>
            </w:r>
            <w:r w:rsidRPr="00715D58">
              <w:rPr>
                <w:rFonts w:ascii="Arial" w:hAnsi="Arial" w:cs="Arial"/>
                <w:sz w:val="14"/>
                <w:szCs w:val="14"/>
                <w:vertAlign w:val="superscript"/>
              </w:rPr>
              <w:t>th</w:t>
            </w:r>
            <w:r w:rsidRPr="00715D58">
              <w:rPr>
                <w:rFonts w:ascii="Arial" w:hAnsi="Arial" w:cs="Arial"/>
                <w:sz w:val="14"/>
                <w:szCs w:val="14"/>
              </w:rPr>
              <w:t xml:space="preserve"> percentile value among Northwest U.S. stream reference sites within Northern Rockies level III ecoregion </w:t>
            </w:r>
          </w:p>
        </w:tc>
        <w:tc>
          <w:tcPr>
            <w:tcW w:w="2160" w:type="dxa"/>
          </w:tcPr>
          <w:p w14:paraId="2E7E97E2" w14:textId="77777777" w:rsidR="000406DE" w:rsidRPr="00715D58" w:rsidRDefault="000406DE" w:rsidP="000406DE">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49958946" w14:textId="77777777" w:rsidR="000406DE" w:rsidRPr="00715D58" w:rsidRDefault="000406DE" w:rsidP="000406DE">
            <w:pPr>
              <w:rPr>
                <w:rFonts w:ascii="Arial" w:hAnsi="Arial" w:cs="Arial"/>
                <w:sz w:val="14"/>
                <w:szCs w:val="14"/>
              </w:rPr>
            </w:pPr>
            <w:r w:rsidRPr="00715D58">
              <w:rPr>
                <w:rFonts w:ascii="Arial" w:hAnsi="Arial" w:cs="Arial"/>
                <w:sz w:val="14"/>
                <w:szCs w:val="14"/>
              </w:rPr>
              <w:t>&lt; 2 mm</w:t>
            </w:r>
          </w:p>
        </w:tc>
        <w:tc>
          <w:tcPr>
            <w:tcW w:w="1141" w:type="dxa"/>
          </w:tcPr>
          <w:p w14:paraId="08C029E9" w14:textId="61A803D5" w:rsidR="000406DE" w:rsidRPr="00715D58" w:rsidRDefault="000406DE" w:rsidP="000406DE">
            <w:pPr>
              <w:rPr>
                <w:rFonts w:ascii="Arial" w:hAnsi="Arial" w:cs="Arial"/>
                <w:sz w:val="14"/>
                <w:szCs w:val="14"/>
              </w:rPr>
            </w:pPr>
            <w:r>
              <w:rPr>
                <w:rFonts w:ascii="Arial" w:hAnsi="Arial" w:cs="Arial"/>
                <w:sz w:val="14"/>
                <w:szCs w:val="14"/>
              </w:rPr>
              <w:t xml:space="preserve">≤10 m </w:t>
            </w:r>
            <w:proofErr w:type="spellStart"/>
            <w:r>
              <w:rPr>
                <w:rFonts w:ascii="Arial" w:hAnsi="Arial" w:cs="Arial"/>
                <w:sz w:val="14"/>
                <w:szCs w:val="14"/>
              </w:rPr>
              <w:t>bankfull</w:t>
            </w:r>
            <w:proofErr w:type="spellEnd"/>
            <w:r>
              <w:rPr>
                <w:rFonts w:ascii="Arial" w:hAnsi="Arial" w:cs="Arial"/>
                <w:sz w:val="14"/>
                <w:szCs w:val="14"/>
              </w:rPr>
              <w:t xml:space="preserve"> width</w:t>
            </w:r>
          </w:p>
        </w:tc>
        <w:tc>
          <w:tcPr>
            <w:tcW w:w="1163" w:type="dxa"/>
          </w:tcPr>
          <w:p w14:paraId="4F147D33" w14:textId="77777777" w:rsidR="000406DE" w:rsidRPr="00715D58" w:rsidRDefault="000406DE" w:rsidP="000406DE">
            <w:pPr>
              <w:rPr>
                <w:rFonts w:ascii="Arial" w:hAnsi="Arial" w:cs="Arial"/>
                <w:sz w:val="14"/>
                <w:szCs w:val="14"/>
              </w:rPr>
            </w:pPr>
            <w:r w:rsidRPr="00715D58">
              <w:rPr>
                <w:rFonts w:ascii="Arial" w:hAnsi="Arial" w:cs="Arial"/>
                <w:sz w:val="14"/>
                <w:szCs w:val="14"/>
              </w:rPr>
              <w:t>29%</w:t>
            </w:r>
          </w:p>
        </w:tc>
      </w:tr>
      <w:tr w:rsidR="000406DE" w:rsidRPr="00715D58" w14:paraId="51505043" w14:textId="77777777" w:rsidTr="00746734">
        <w:trPr>
          <w:trHeight w:val="547"/>
        </w:trPr>
        <w:tc>
          <w:tcPr>
            <w:tcW w:w="1502" w:type="dxa"/>
          </w:tcPr>
          <w:p w14:paraId="7923B5D9" w14:textId="79AE370B" w:rsidR="000406DE" w:rsidRPr="00715D58" w:rsidRDefault="00E9159A" w:rsidP="000406DE">
            <w:pPr>
              <w:rPr>
                <w:rFonts w:ascii="Arial" w:hAnsi="Arial" w:cs="Arial"/>
                <w:sz w:val="14"/>
                <w:szCs w:val="14"/>
              </w:rPr>
            </w:pPr>
            <w:r>
              <w:rPr>
                <w:rFonts w:ascii="Arial" w:hAnsi="Arial" w:cs="Arial"/>
                <w:sz w:val="14"/>
                <w:szCs w:val="14"/>
              </w:rPr>
              <w:t>Miller et al.,</w:t>
            </w:r>
            <w:r w:rsidRPr="00715D58">
              <w:rPr>
                <w:rFonts w:ascii="Arial" w:hAnsi="Arial" w:cs="Arial"/>
                <w:sz w:val="14"/>
                <w:szCs w:val="14"/>
              </w:rPr>
              <w:t xml:space="preserve"> 202</w:t>
            </w:r>
            <w:r>
              <w:rPr>
                <w:rFonts w:ascii="Arial" w:hAnsi="Arial" w:cs="Arial"/>
                <w:sz w:val="14"/>
                <w:szCs w:val="14"/>
              </w:rPr>
              <w:t>1</w:t>
            </w:r>
          </w:p>
        </w:tc>
        <w:tc>
          <w:tcPr>
            <w:tcW w:w="5806" w:type="dxa"/>
          </w:tcPr>
          <w:p w14:paraId="6A04432F" w14:textId="77777777" w:rsidR="000406DE" w:rsidRPr="00715D58" w:rsidRDefault="000406DE" w:rsidP="000406DE">
            <w:pPr>
              <w:rPr>
                <w:rFonts w:ascii="Arial" w:hAnsi="Arial" w:cs="Arial"/>
                <w:sz w:val="14"/>
                <w:szCs w:val="14"/>
              </w:rPr>
            </w:pPr>
            <w:r w:rsidRPr="00715D58">
              <w:rPr>
                <w:rFonts w:ascii="Arial" w:hAnsi="Arial" w:cs="Arial"/>
                <w:sz w:val="14"/>
                <w:szCs w:val="14"/>
              </w:rPr>
              <w:t>70</w:t>
            </w:r>
            <w:r w:rsidRPr="00715D58">
              <w:rPr>
                <w:rFonts w:ascii="Arial" w:hAnsi="Arial" w:cs="Arial"/>
                <w:sz w:val="14"/>
                <w:szCs w:val="14"/>
                <w:vertAlign w:val="superscript"/>
              </w:rPr>
              <w:t>th</w:t>
            </w:r>
            <w:r w:rsidRPr="00715D58">
              <w:rPr>
                <w:rFonts w:ascii="Arial" w:hAnsi="Arial" w:cs="Arial"/>
                <w:sz w:val="14"/>
                <w:szCs w:val="14"/>
              </w:rPr>
              <w:t xml:space="preserve"> percentile value among Northwest U.S. stream reference sites within Northern Rockies level III ecoregion</w:t>
            </w:r>
          </w:p>
        </w:tc>
        <w:tc>
          <w:tcPr>
            <w:tcW w:w="2160" w:type="dxa"/>
          </w:tcPr>
          <w:p w14:paraId="40925DEE" w14:textId="77777777" w:rsidR="000406DE" w:rsidRPr="00715D58" w:rsidRDefault="000406DE" w:rsidP="000406DE">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4A2A56F7" w14:textId="77777777" w:rsidR="000406DE" w:rsidRPr="00715D58" w:rsidRDefault="000406DE" w:rsidP="000406DE">
            <w:pPr>
              <w:rPr>
                <w:rFonts w:ascii="Arial" w:hAnsi="Arial" w:cs="Arial"/>
                <w:sz w:val="14"/>
                <w:szCs w:val="14"/>
              </w:rPr>
            </w:pPr>
            <w:r w:rsidRPr="00715D58">
              <w:rPr>
                <w:rFonts w:ascii="Arial" w:hAnsi="Arial" w:cs="Arial"/>
                <w:sz w:val="14"/>
                <w:szCs w:val="14"/>
              </w:rPr>
              <w:t>&lt; 2 mm</w:t>
            </w:r>
          </w:p>
        </w:tc>
        <w:tc>
          <w:tcPr>
            <w:tcW w:w="1141" w:type="dxa"/>
          </w:tcPr>
          <w:p w14:paraId="555723F6" w14:textId="42F790D2" w:rsidR="000406DE" w:rsidRPr="00715D58" w:rsidRDefault="000406DE" w:rsidP="000406DE">
            <w:pPr>
              <w:rPr>
                <w:rFonts w:ascii="Arial" w:hAnsi="Arial" w:cs="Arial"/>
                <w:sz w:val="14"/>
                <w:szCs w:val="14"/>
              </w:rPr>
            </w:pPr>
            <w:r w:rsidRPr="000406DE">
              <w:rPr>
                <w:rFonts w:ascii="Arial" w:hAnsi="Arial" w:cs="Arial"/>
                <w:sz w:val="14"/>
                <w:szCs w:val="14"/>
              </w:rPr>
              <w:t>&gt;</w:t>
            </w:r>
            <w:r>
              <w:rPr>
                <w:rFonts w:ascii="Arial" w:hAnsi="Arial" w:cs="Arial"/>
                <w:sz w:val="14"/>
                <w:szCs w:val="14"/>
              </w:rPr>
              <w:t xml:space="preserve"> </w:t>
            </w:r>
            <w:r w:rsidRPr="000406DE">
              <w:rPr>
                <w:rFonts w:ascii="Arial" w:hAnsi="Arial" w:cs="Arial"/>
                <w:sz w:val="14"/>
                <w:szCs w:val="14"/>
              </w:rPr>
              <w:t xml:space="preserve">10 </w:t>
            </w:r>
            <w:proofErr w:type="gramStart"/>
            <w:r w:rsidRPr="000406DE">
              <w:rPr>
                <w:rFonts w:ascii="Arial" w:hAnsi="Arial" w:cs="Arial"/>
                <w:sz w:val="14"/>
                <w:szCs w:val="14"/>
              </w:rPr>
              <w:t xml:space="preserve">m </w:t>
            </w:r>
            <w:r>
              <w:rPr>
                <w:rFonts w:ascii="Arial" w:hAnsi="Arial" w:cs="Arial"/>
                <w:sz w:val="14"/>
                <w:szCs w:val="14"/>
              </w:rPr>
              <w:t xml:space="preserve"> </w:t>
            </w:r>
            <w:proofErr w:type="spellStart"/>
            <w:r>
              <w:rPr>
                <w:rFonts w:ascii="Arial" w:hAnsi="Arial" w:cs="Arial"/>
                <w:sz w:val="14"/>
                <w:szCs w:val="14"/>
              </w:rPr>
              <w:t>bankfull</w:t>
            </w:r>
            <w:proofErr w:type="spellEnd"/>
            <w:proofErr w:type="gramEnd"/>
            <w:r>
              <w:rPr>
                <w:rFonts w:ascii="Arial" w:hAnsi="Arial" w:cs="Arial"/>
                <w:sz w:val="14"/>
                <w:szCs w:val="14"/>
              </w:rPr>
              <w:t xml:space="preserve"> width</w:t>
            </w:r>
          </w:p>
        </w:tc>
        <w:tc>
          <w:tcPr>
            <w:tcW w:w="1163" w:type="dxa"/>
          </w:tcPr>
          <w:p w14:paraId="0B0B733B" w14:textId="77777777" w:rsidR="000406DE" w:rsidRPr="00715D58" w:rsidRDefault="000406DE" w:rsidP="000406DE">
            <w:pPr>
              <w:rPr>
                <w:rFonts w:ascii="Arial" w:hAnsi="Arial" w:cs="Arial"/>
                <w:sz w:val="14"/>
                <w:szCs w:val="14"/>
              </w:rPr>
            </w:pPr>
            <w:r w:rsidRPr="00715D58">
              <w:rPr>
                <w:rFonts w:ascii="Arial" w:hAnsi="Arial" w:cs="Arial"/>
                <w:sz w:val="14"/>
                <w:szCs w:val="14"/>
              </w:rPr>
              <w:t>15%</w:t>
            </w:r>
          </w:p>
        </w:tc>
      </w:tr>
      <w:tr w:rsidR="000406DE" w:rsidRPr="00715D58" w14:paraId="20F4F037" w14:textId="77777777" w:rsidTr="00746734">
        <w:trPr>
          <w:trHeight w:val="547"/>
        </w:trPr>
        <w:tc>
          <w:tcPr>
            <w:tcW w:w="1502" w:type="dxa"/>
          </w:tcPr>
          <w:p w14:paraId="1123EC2A" w14:textId="4C6F1EDC" w:rsidR="000406DE" w:rsidRPr="00715D58" w:rsidRDefault="00E9159A" w:rsidP="000406DE">
            <w:pPr>
              <w:rPr>
                <w:rFonts w:ascii="Arial" w:hAnsi="Arial" w:cs="Arial"/>
                <w:sz w:val="14"/>
                <w:szCs w:val="14"/>
              </w:rPr>
            </w:pPr>
            <w:r>
              <w:rPr>
                <w:rFonts w:ascii="Arial" w:hAnsi="Arial" w:cs="Arial"/>
                <w:sz w:val="14"/>
                <w:szCs w:val="14"/>
              </w:rPr>
              <w:t>Miller et al.,</w:t>
            </w:r>
            <w:r w:rsidRPr="00715D58">
              <w:rPr>
                <w:rFonts w:ascii="Arial" w:hAnsi="Arial" w:cs="Arial"/>
                <w:sz w:val="14"/>
                <w:szCs w:val="14"/>
              </w:rPr>
              <w:t xml:space="preserve"> 202</w:t>
            </w:r>
            <w:r>
              <w:rPr>
                <w:rFonts w:ascii="Arial" w:hAnsi="Arial" w:cs="Arial"/>
                <w:sz w:val="14"/>
                <w:szCs w:val="14"/>
              </w:rPr>
              <w:t>1</w:t>
            </w:r>
          </w:p>
        </w:tc>
        <w:tc>
          <w:tcPr>
            <w:tcW w:w="5806" w:type="dxa"/>
          </w:tcPr>
          <w:p w14:paraId="2A27C839" w14:textId="77777777" w:rsidR="000406DE" w:rsidRPr="00715D58" w:rsidRDefault="000406DE" w:rsidP="000406DE">
            <w:pPr>
              <w:rPr>
                <w:rFonts w:ascii="Arial" w:hAnsi="Arial" w:cs="Arial"/>
                <w:sz w:val="14"/>
                <w:szCs w:val="14"/>
              </w:rPr>
            </w:pPr>
            <w:r w:rsidRPr="00715D58">
              <w:rPr>
                <w:rFonts w:ascii="Arial" w:hAnsi="Arial" w:cs="Arial"/>
                <w:sz w:val="14"/>
                <w:szCs w:val="14"/>
              </w:rPr>
              <w:t>70</w:t>
            </w:r>
            <w:r w:rsidRPr="00715D58">
              <w:rPr>
                <w:rFonts w:ascii="Arial" w:hAnsi="Arial" w:cs="Arial"/>
                <w:sz w:val="14"/>
                <w:szCs w:val="14"/>
                <w:vertAlign w:val="superscript"/>
              </w:rPr>
              <w:t>th</w:t>
            </w:r>
            <w:r w:rsidRPr="00715D58">
              <w:rPr>
                <w:rFonts w:ascii="Arial" w:hAnsi="Arial" w:cs="Arial"/>
                <w:sz w:val="14"/>
                <w:szCs w:val="14"/>
              </w:rPr>
              <w:t xml:space="preserve"> percentile value among Northwest U.S. stream reference sites within Xeric Basins level III ecoregion </w:t>
            </w:r>
          </w:p>
        </w:tc>
        <w:tc>
          <w:tcPr>
            <w:tcW w:w="2160" w:type="dxa"/>
          </w:tcPr>
          <w:p w14:paraId="5338F8B0" w14:textId="77777777" w:rsidR="000406DE" w:rsidRPr="00715D58" w:rsidRDefault="000406DE" w:rsidP="000406DE">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4BA96ACD" w14:textId="77777777" w:rsidR="000406DE" w:rsidRPr="00715D58" w:rsidRDefault="000406DE" w:rsidP="000406DE">
            <w:pPr>
              <w:rPr>
                <w:rFonts w:ascii="Arial" w:hAnsi="Arial" w:cs="Arial"/>
                <w:sz w:val="14"/>
                <w:szCs w:val="14"/>
              </w:rPr>
            </w:pPr>
            <w:r w:rsidRPr="00715D58">
              <w:rPr>
                <w:rFonts w:ascii="Arial" w:hAnsi="Arial" w:cs="Arial"/>
                <w:sz w:val="14"/>
                <w:szCs w:val="14"/>
              </w:rPr>
              <w:t>&lt; 2 mm</w:t>
            </w:r>
          </w:p>
        </w:tc>
        <w:tc>
          <w:tcPr>
            <w:tcW w:w="1141" w:type="dxa"/>
          </w:tcPr>
          <w:p w14:paraId="3D7325C5" w14:textId="6AA4D3D0" w:rsidR="000406DE" w:rsidRPr="00715D58" w:rsidRDefault="000406DE" w:rsidP="000406DE">
            <w:pPr>
              <w:rPr>
                <w:rFonts w:ascii="Arial" w:hAnsi="Arial" w:cs="Arial"/>
                <w:sz w:val="14"/>
                <w:szCs w:val="14"/>
              </w:rPr>
            </w:pPr>
            <w:r>
              <w:rPr>
                <w:rFonts w:ascii="Arial" w:hAnsi="Arial" w:cs="Arial"/>
                <w:sz w:val="14"/>
                <w:szCs w:val="14"/>
              </w:rPr>
              <w:t xml:space="preserve">≤10 m </w:t>
            </w:r>
            <w:proofErr w:type="spellStart"/>
            <w:r>
              <w:rPr>
                <w:rFonts w:ascii="Arial" w:hAnsi="Arial" w:cs="Arial"/>
                <w:sz w:val="14"/>
                <w:szCs w:val="14"/>
              </w:rPr>
              <w:t>bankfull</w:t>
            </w:r>
            <w:proofErr w:type="spellEnd"/>
            <w:r>
              <w:rPr>
                <w:rFonts w:ascii="Arial" w:hAnsi="Arial" w:cs="Arial"/>
                <w:sz w:val="14"/>
                <w:szCs w:val="14"/>
              </w:rPr>
              <w:t xml:space="preserve"> width</w:t>
            </w:r>
          </w:p>
        </w:tc>
        <w:tc>
          <w:tcPr>
            <w:tcW w:w="1163" w:type="dxa"/>
          </w:tcPr>
          <w:p w14:paraId="057CD49B" w14:textId="77777777" w:rsidR="000406DE" w:rsidRPr="00715D58" w:rsidRDefault="000406DE" w:rsidP="000406DE">
            <w:pPr>
              <w:rPr>
                <w:rFonts w:ascii="Arial" w:hAnsi="Arial" w:cs="Arial"/>
                <w:sz w:val="14"/>
                <w:szCs w:val="14"/>
              </w:rPr>
            </w:pPr>
            <w:r w:rsidRPr="00715D58">
              <w:rPr>
                <w:rFonts w:ascii="Arial" w:hAnsi="Arial" w:cs="Arial"/>
                <w:sz w:val="14"/>
                <w:szCs w:val="14"/>
              </w:rPr>
              <w:t>45%</w:t>
            </w:r>
          </w:p>
        </w:tc>
      </w:tr>
      <w:tr w:rsidR="000406DE" w:rsidRPr="00715D58" w14:paraId="11DBE856" w14:textId="77777777" w:rsidTr="00746734">
        <w:trPr>
          <w:trHeight w:val="547"/>
        </w:trPr>
        <w:tc>
          <w:tcPr>
            <w:tcW w:w="1502" w:type="dxa"/>
          </w:tcPr>
          <w:p w14:paraId="6FB02068" w14:textId="35B82B55" w:rsidR="000406DE" w:rsidRPr="00715D58" w:rsidRDefault="00E9159A" w:rsidP="000406DE">
            <w:pPr>
              <w:rPr>
                <w:rFonts w:ascii="Arial" w:hAnsi="Arial" w:cs="Arial"/>
                <w:sz w:val="14"/>
                <w:szCs w:val="14"/>
              </w:rPr>
            </w:pPr>
            <w:r>
              <w:rPr>
                <w:rFonts w:ascii="Arial" w:hAnsi="Arial" w:cs="Arial"/>
                <w:sz w:val="14"/>
                <w:szCs w:val="14"/>
              </w:rPr>
              <w:lastRenderedPageBreak/>
              <w:t>Miller et al.,</w:t>
            </w:r>
            <w:r w:rsidRPr="00715D58">
              <w:rPr>
                <w:rFonts w:ascii="Arial" w:hAnsi="Arial" w:cs="Arial"/>
                <w:sz w:val="14"/>
                <w:szCs w:val="14"/>
              </w:rPr>
              <w:t xml:space="preserve"> 202</w:t>
            </w:r>
            <w:r>
              <w:rPr>
                <w:rFonts w:ascii="Arial" w:hAnsi="Arial" w:cs="Arial"/>
                <w:sz w:val="14"/>
                <w:szCs w:val="14"/>
              </w:rPr>
              <w:t>1</w:t>
            </w:r>
          </w:p>
        </w:tc>
        <w:tc>
          <w:tcPr>
            <w:tcW w:w="5806" w:type="dxa"/>
          </w:tcPr>
          <w:p w14:paraId="52D818FC" w14:textId="77777777" w:rsidR="000406DE" w:rsidRPr="00715D58" w:rsidRDefault="000406DE" w:rsidP="000406DE">
            <w:pPr>
              <w:rPr>
                <w:rFonts w:ascii="Arial" w:hAnsi="Arial" w:cs="Arial"/>
                <w:sz w:val="14"/>
                <w:szCs w:val="14"/>
              </w:rPr>
            </w:pPr>
            <w:r w:rsidRPr="00715D58">
              <w:rPr>
                <w:rFonts w:ascii="Arial" w:hAnsi="Arial" w:cs="Arial"/>
                <w:sz w:val="14"/>
                <w:szCs w:val="14"/>
              </w:rPr>
              <w:t>70</w:t>
            </w:r>
            <w:r w:rsidRPr="00715D58">
              <w:rPr>
                <w:rFonts w:ascii="Arial" w:hAnsi="Arial" w:cs="Arial"/>
                <w:sz w:val="14"/>
                <w:szCs w:val="14"/>
                <w:vertAlign w:val="superscript"/>
              </w:rPr>
              <w:t>th</w:t>
            </w:r>
            <w:r w:rsidRPr="00715D58">
              <w:rPr>
                <w:rFonts w:ascii="Arial" w:hAnsi="Arial" w:cs="Arial"/>
                <w:sz w:val="14"/>
                <w:szCs w:val="14"/>
              </w:rPr>
              <w:t xml:space="preserve"> percentile value among Northwest U.S. stream reference sites within Xeric Basins level III ecoregion</w:t>
            </w:r>
          </w:p>
        </w:tc>
        <w:tc>
          <w:tcPr>
            <w:tcW w:w="2160" w:type="dxa"/>
          </w:tcPr>
          <w:p w14:paraId="47436845" w14:textId="77777777" w:rsidR="000406DE" w:rsidRPr="00715D58" w:rsidRDefault="000406DE" w:rsidP="000406DE">
            <w:pPr>
              <w:rPr>
                <w:rFonts w:ascii="Arial" w:hAnsi="Arial" w:cs="Arial"/>
                <w:sz w:val="14"/>
                <w:szCs w:val="14"/>
              </w:rPr>
            </w:pPr>
            <w:r w:rsidRPr="00715D58">
              <w:rPr>
                <w:rFonts w:ascii="Arial" w:hAnsi="Arial" w:cs="Arial"/>
                <w:sz w:val="14"/>
                <w:szCs w:val="14"/>
              </w:rPr>
              <w:t>NA (reference statistical distribution)</w:t>
            </w:r>
          </w:p>
        </w:tc>
        <w:tc>
          <w:tcPr>
            <w:tcW w:w="1291" w:type="dxa"/>
          </w:tcPr>
          <w:p w14:paraId="0003E80D" w14:textId="77777777" w:rsidR="000406DE" w:rsidRPr="00715D58" w:rsidRDefault="000406DE" w:rsidP="000406DE">
            <w:pPr>
              <w:rPr>
                <w:rFonts w:ascii="Arial" w:hAnsi="Arial" w:cs="Arial"/>
                <w:sz w:val="14"/>
                <w:szCs w:val="14"/>
              </w:rPr>
            </w:pPr>
            <w:r w:rsidRPr="00715D58">
              <w:rPr>
                <w:rFonts w:ascii="Arial" w:hAnsi="Arial" w:cs="Arial"/>
                <w:sz w:val="14"/>
                <w:szCs w:val="14"/>
              </w:rPr>
              <w:t>&lt; 2 mm</w:t>
            </w:r>
          </w:p>
        </w:tc>
        <w:tc>
          <w:tcPr>
            <w:tcW w:w="1141" w:type="dxa"/>
          </w:tcPr>
          <w:p w14:paraId="30E9EB0D" w14:textId="479FDA16" w:rsidR="000406DE" w:rsidRPr="000406DE" w:rsidRDefault="000406DE" w:rsidP="000406DE">
            <w:pPr>
              <w:rPr>
                <w:rFonts w:ascii="Arial" w:hAnsi="Arial" w:cs="Arial"/>
                <w:sz w:val="14"/>
                <w:szCs w:val="14"/>
              </w:rPr>
            </w:pPr>
            <w:r w:rsidRPr="000406DE">
              <w:rPr>
                <w:rFonts w:ascii="Arial" w:hAnsi="Arial" w:cs="Arial"/>
                <w:sz w:val="14"/>
                <w:szCs w:val="14"/>
              </w:rPr>
              <w:t>&gt;</w:t>
            </w:r>
            <w:r>
              <w:rPr>
                <w:rFonts w:ascii="Arial" w:hAnsi="Arial" w:cs="Arial"/>
                <w:sz w:val="14"/>
                <w:szCs w:val="14"/>
              </w:rPr>
              <w:t xml:space="preserve"> </w:t>
            </w:r>
            <w:r w:rsidRPr="000406DE">
              <w:rPr>
                <w:rFonts w:ascii="Arial" w:hAnsi="Arial" w:cs="Arial"/>
                <w:sz w:val="14"/>
                <w:szCs w:val="14"/>
              </w:rPr>
              <w:t xml:space="preserve">10 </w:t>
            </w:r>
            <w:proofErr w:type="gramStart"/>
            <w:r w:rsidRPr="000406DE">
              <w:rPr>
                <w:rFonts w:ascii="Arial" w:hAnsi="Arial" w:cs="Arial"/>
                <w:sz w:val="14"/>
                <w:szCs w:val="14"/>
              </w:rPr>
              <w:t xml:space="preserve">m </w:t>
            </w:r>
            <w:r>
              <w:rPr>
                <w:rFonts w:ascii="Arial" w:hAnsi="Arial" w:cs="Arial"/>
                <w:sz w:val="14"/>
                <w:szCs w:val="14"/>
              </w:rPr>
              <w:t xml:space="preserve"> </w:t>
            </w:r>
            <w:proofErr w:type="spellStart"/>
            <w:r>
              <w:rPr>
                <w:rFonts w:ascii="Arial" w:hAnsi="Arial" w:cs="Arial"/>
                <w:sz w:val="14"/>
                <w:szCs w:val="14"/>
              </w:rPr>
              <w:t>bankfull</w:t>
            </w:r>
            <w:proofErr w:type="spellEnd"/>
            <w:proofErr w:type="gramEnd"/>
            <w:r>
              <w:rPr>
                <w:rFonts w:ascii="Arial" w:hAnsi="Arial" w:cs="Arial"/>
                <w:sz w:val="14"/>
                <w:szCs w:val="14"/>
              </w:rPr>
              <w:t xml:space="preserve"> width</w:t>
            </w:r>
          </w:p>
        </w:tc>
        <w:tc>
          <w:tcPr>
            <w:tcW w:w="1163" w:type="dxa"/>
          </w:tcPr>
          <w:p w14:paraId="18EB31A3" w14:textId="77777777" w:rsidR="000406DE" w:rsidRPr="00715D58" w:rsidRDefault="000406DE" w:rsidP="000406DE">
            <w:pPr>
              <w:rPr>
                <w:rFonts w:ascii="Arial" w:hAnsi="Arial" w:cs="Arial"/>
                <w:sz w:val="14"/>
                <w:szCs w:val="14"/>
              </w:rPr>
            </w:pPr>
            <w:r w:rsidRPr="00715D58">
              <w:rPr>
                <w:rFonts w:ascii="Arial" w:hAnsi="Arial" w:cs="Arial"/>
                <w:sz w:val="14"/>
                <w:szCs w:val="14"/>
              </w:rPr>
              <w:t>44%</w:t>
            </w:r>
          </w:p>
        </w:tc>
      </w:tr>
      <w:tr w:rsidR="000406DE" w:rsidRPr="00715D58" w14:paraId="26A31451" w14:textId="77777777" w:rsidTr="00746734">
        <w:trPr>
          <w:trHeight w:val="547"/>
        </w:trPr>
        <w:tc>
          <w:tcPr>
            <w:tcW w:w="1502" w:type="dxa"/>
          </w:tcPr>
          <w:p w14:paraId="3C6CEA38" w14:textId="165C4866" w:rsidR="000406DE" w:rsidRPr="00715D58" w:rsidRDefault="000406DE" w:rsidP="000406DE">
            <w:pPr>
              <w:rPr>
                <w:rFonts w:ascii="Arial" w:hAnsi="Arial" w:cs="Arial"/>
                <w:sz w:val="14"/>
                <w:szCs w:val="14"/>
              </w:rPr>
            </w:pPr>
            <w:r>
              <w:rPr>
                <w:rFonts w:ascii="Arial" w:hAnsi="Arial" w:cs="Arial"/>
                <w:sz w:val="14"/>
                <w:szCs w:val="14"/>
              </w:rPr>
              <w:t xml:space="preserve">USFS </w:t>
            </w:r>
            <w:r w:rsidR="00745CE4">
              <w:rPr>
                <w:rFonts w:ascii="Arial" w:hAnsi="Arial" w:cs="Arial"/>
                <w:sz w:val="14"/>
                <w:szCs w:val="14"/>
              </w:rPr>
              <w:t>et al. 1</w:t>
            </w:r>
            <w:r>
              <w:rPr>
                <w:rFonts w:ascii="Arial" w:hAnsi="Arial" w:cs="Arial"/>
                <w:sz w:val="14"/>
                <w:szCs w:val="14"/>
              </w:rPr>
              <w:t>99</w:t>
            </w:r>
            <w:r w:rsidR="006177A3">
              <w:rPr>
                <w:rFonts w:ascii="Arial" w:hAnsi="Arial" w:cs="Arial"/>
                <w:sz w:val="14"/>
                <w:szCs w:val="14"/>
              </w:rPr>
              <w:t>7</w:t>
            </w:r>
          </w:p>
        </w:tc>
        <w:tc>
          <w:tcPr>
            <w:tcW w:w="5806" w:type="dxa"/>
          </w:tcPr>
          <w:p w14:paraId="396246AA" w14:textId="621CC2A8" w:rsidR="000406DE" w:rsidRPr="00715D58" w:rsidRDefault="000D6825" w:rsidP="000406DE">
            <w:pPr>
              <w:rPr>
                <w:rFonts w:ascii="Arial" w:hAnsi="Arial" w:cs="Arial"/>
                <w:sz w:val="14"/>
                <w:szCs w:val="14"/>
              </w:rPr>
            </w:pPr>
            <w:r>
              <w:rPr>
                <w:rFonts w:ascii="Arial" w:hAnsi="Arial" w:cs="Arial"/>
                <w:sz w:val="14"/>
                <w:szCs w:val="14"/>
              </w:rPr>
              <w:t>S</w:t>
            </w:r>
            <w:r w:rsidR="000406DE">
              <w:rPr>
                <w:rFonts w:ascii="Arial" w:hAnsi="Arial" w:cs="Arial"/>
                <w:sz w:val="14"/>
                <w:szCs w:val="14"/>
              </w:rPr>
              <w:t xml:space="preserve">urface fine sediment levels </w:t>
            </w:r>
            <w:r>
              <w:rPr>
                <w:rFonts w:ascii="Arial" w:hAnsi="Arial" w:cs="Arial"/>
                <w:sz w:val="14"/>
                <w:szCs w:val="14"/>
              </w:rPr>
              <w:t>recommended by USFS and BLM in their</w:t>
            </w:r>
            <w:r w:rsidR="00E06AAA">
              <w:rPr>
                <w:rFonts w:ascii="Arial" w:hAnsi="Arial" w:cs="Arial"/>
                <w:sz w:val="14"/>
                <w:szCs w:val="14"/>
              </w:rPr>
              <w:t xml:space="preserve"> draft EIS for Upper Columbia River Basin </w:t>
            </w:r>
            <w:r w:rsidR="000406DE">
              <w:rPr>
                <w:rFonts w:ascii="Arial" w:hAnsi="Arial" w:cs="Arial"/>
                <w:sz w:val="14"/>
                <w:szCs w:val="14"/>
              </w:rPr>
              <w:t>developed</w:t>
            </w:r>
            <w:r w:rsidR="00E06AAA">
              <w:rPr>
                <w:rFonts w:ascii="Arial" w:hAnsi="Arial" w:cs="Arial"/>
                <w:sz w:val="14"/>
                <w:szCs w:val="14"/>
              </w:rPr>
              <w:t xml:space="preserve">. </w:t>
            </w:r>
            <w:r w:rsidR="000406DE">
              <w:rPr>
                <w:rFonts w:ascii="Arial" w:hAnsi="Arial" w:cs="Arial"/>
                <w:sz w:val="14"/>
                <w:szCs w:val="14"/>
              </w:rPr>
              <w:t xml:space="preserve">Recommended values vary based on </w:t>
            </w:r>
            <w:proofErr w:type="spellStart"/>
            <w:r w:rsidR="000406DE">
              <w:rPr>
                <w:rFonts w:ascii="Arial" w:hAnsi="Arial" w:cs="Arial"/>
                <w:sz w:val="14"/>
                <w:szCs w:val="14"/>
              </w:rPr>
              <w:t>Rosgen</w:t>
            </w:r>
            <w:proofErr w:type="spellEnd"/>
            <w:r w:rsidR="000406DE">
              <w:rPr>
                <w:rFonts w:ascii="Arial" w:hAnsi="Arial" w:cs="Arial"/>
                <w:sz w:val="14"/>
                <w:szCs w:val="14"/>
              </w:rPr>
              <w:t xml:space="preserve"> channel type (A-C) and geology (plutonic, volcanic, or metamorphic rock). See also DEQ 2003. </w:t>
            </w:r>
          </w:p>
        </w:tc>
        <w:tc>
          <w:tcPr>
            <w:tcW w:w="2160" w:type="dxa"/>
          </w:tcPr>
          <w:p w14:paraId="0A3DC187" w14:textId="76F7DA22" w:rsidR="000406DE" w:rsidRPr="00715D58" w:rsidRDefault="000406DE" w:rsidP="000406DE">
            <w:pPr>
              <w:rPr>
                <w:rFonts w:ascii="Arial" w:hAnsi="Arial" w:cs="Arial"/>
                <w:sz w:val="14"/>
                <w:szCs w:val="14"/>
              </w:rPr>
            </w:pPr>
            <w:r>
              <w:rPr>
                <w:rFonts w:ascii="Arial" w:hAnsi="Arial" w:cs="Arial"/>
                <w:sz w:val="14"/>
                <w:szCs w:val="14"/>
              </w:rPr>
              <w:t>Anadromous salmonids</w:t>
            </w:r>
          </w:p>
        </w:tc>
        <w:tc>
          <w:tcPr>
            <w:tcW w:w="1291" w:type="dxa"/>
          </w:tcPr>
          <w:p w14:paraId="7E35FC61" w14:textId="77777777" w:rsidR="000406DE" w:rsidRPr="00715D58" w:rsidRDefault="000406DE" w:rsidP="000406DE">
            <w:pPr>
              <w:rPr>
                <w:rFonts w:ascii="Arial" w:hAnsi="Arial" w:cs="Arial"/>
                <w:sz w:val="14"/>
                <w:szCs w:val="14"/>
              </w:rPr>
            </w:pPr>
            <w:r>
              <w:rPr>
                <w:rFonts w:ascii="Arial" w:hAnsi="Arial" w:cs="Arial"/>
                <w:sz w:val="14"/>
                <w:szCs w:val="14"/>
              </w:rPr>
              <w:t>&lt; 6 mm</w:t>
            </w:r>
          </w:p>
        </w:tc>
        <w:tc>
          <w:tcPr>
            <w:tcW w:w="1141" w:type="dxa"/>
          </w:tcPr>
          <w:p w14:paraId="7820191C" w14:textId="77777777" w:rsidR="000406DE" w:rsidRPr="00715D58" w:rsidRDefault="000406DE" w:rsidP="000406DE">
            <w:pPr>
              <w:rPr>
                <w:rFonts w:ascii="Arial" w:hAnsi="Arial" w:cs="Arial"/>
                <w:sz w:val="14"/>
                <w:szCs w:val="14"/>
              </w:rPr>
            </w:pPr>
            <w:r>
              <w:rPr>
                <w:rFonts w:ascii="Arial" w:hAnsi="Arial" w:cs="Arial"/>
                <w:sz w:val="14"/>
                <w:szCs w:val="14"/>
              </w:rPr>
              <w:t>unclear</w:t>
            </w:r>
          </w:p>
        </w:tc>
        <w:tc>
          <w:tcPr>
            <w:tcW w:w="1163" w:type="dxa"/>
          </w:tcPr>
          <w:p w14:paraId="02703B64" w14:textId="77777777" w:rsidR="000406DE" w:rsidRPr="00715D58" w:rsidRDefault="000406DE" w:rsidP="000406DE">
            <w:pPr>
              <w:rPr>
                <w:rFonts w:ascii="Arial" w:hAnsi="Arial" w:cs="Arial"/>
                <w:sz w:val="14"/>
                <w:szCs w:val="14"/>
              </w:rPr>
            </w:pPr>
            <w:r>
              <w:rPr>
                <w:rFonts w:ascii="Arial" w:hAnsi="Arial" w:cs="Arial"/>
                <w:sz w:val="14"/>
                <w:szCs w:val="14"/>
              </w:rPr>
              <w:t>14-37%</w:t>
            </w:r>
          </w:p>
        </w:tc>
      </w:tr>
      <w:tr w:rsidR="00BC26D4" w:rsidRPr="00715D58" w14:paraId="06E5D139" w14:textId="77777777" w:rsidTr="00746734">
        <w:trPr>
          <w:trHeight w:val="547"/>
        </w:trPr>
        <w:tc>
          <w:tcPr>
            <w:tcW w:w="1502" w:type="dxa"/>
          </w:tcPr>
          <w:p w14:paraId="594F289D" w14:textId="6FDF3A00" w:rsidR="00BC26D4" w:rsidRDefault="00BC26D4" w:rsidP="00BC26D4">
            <w:pPr>
              <w:rPr>
                <w:rFonts w:ascii="Arial" w:hAnsi="Arial" w:cs="Arial"/>
                <w:sz w:val="14"/>
                <w:szCs w:val="14"/>
              </w:rPr>
            </w:pPr>
            <w:r>
              <w:rPr>
                <w:rFonts w:ascii="Arial" w:hAnsi="Arial" w:cs="Arial"/>
                <w:sz w:val="14"/>
                <w:szCs w:val="14"/>
              </w:rPr>
              <w:t>U</w:t>
            </w:r>
            <w:r w:rsidR="00953932">
              <w:rPr>
                <w:rFonts w:ascii="Arial" w:hAnsi="Arial" w:cs="Arial"/>
                <w:sz w:val="14"/>
                <w:szCs w:val="14"/>
              </w:rPr>
              <w:t xml:space="preserve">SFS </w:t>
            </w:r>
            <w:r>
              <w:rPr>
                <w:rFonts w:ascii="Arial" w:hAnsi="Arial" w:cs="Arial"/>
                <w:sz w:val="14"/>
                <w:szCs w:val="14"/>
              </w:rPr>
              <w:t>1995</w:t>
            </w:r>
          </w:p>
        </w:tc>
        <w:tc>
          <w:tcPr>
            <w:tcW w:w="5806" w:type="dxa"/>
          </w:tcPr>
          <w:p w14:paraId="4CD600ED" w14:textId="77777777" w:rsidR="00BC26D4" w:rsidRDefault="00BC26D4" w:rsidP="00BC26D4">
            <w:pPr>
              <w:rPr>
                <w:rFonts w:ascii="Arial" w:hAnsi="Arial" w:cs="Arial"/>
                <w:sz w:val="14"/>
                <w:szCs w:val="14"/>
              </w:rPr>
            </w:pPr>
            <w:proofErr w:type="spellStart"/>
            <w:r>
              <w:rPr>
                <w:rFonts w:ascii="Arial" w:hAnsi="Arial" w:cs="Arial"/>
                <w:sz w:val="14"/>
                <w:szCs w:val="14"/>
              </w:rPr>
              <w:t>PacFish</w:t>
            </w:r>
            <w:proofErr w:type="spellEnd"/>
            <w:r>
              <w:rPr>
                <w:rFonts w:ascii="Arial" w:hAnsi="Arial" w:cs="Arial"/>
                <w:sz w:val="14"/>
                <w:szCs w:val="14"/>
              </w:rPr>
              <w:t>/</w:t>
            </w:r>
            <w:proofErr w:type="spellStart"/>
            <w:r>
              <w:rPr>
                <w:rFonts w:ascii="Arial" w:hAnsi="Arial" w:cs="Arial"/>
                <w:sz w:val="14"/>
                <w:szCs w:val="14"/>
              </w:rPr>
              <w:t>InFish</w:t>
            </w:r>
            <w:proofErr w:type="spellEnd"/>
            <w:r>
              <w:rPr>
                <w:rFonts w:ascii="Arial" w:hAnsi="Arial" w:cs="Arial"/>
                <w:sz w:val="14"/>
                <w:szCs w:val="14"/>
              </w:rPr>
              <w:t xml:space="preserve"> Environmental Assessment Alternative E (‘which was not ultimately selected) stated “A Riparian Management Objective for sediment substrate would be established to be less than 20 percent fine sediment in spawning habitat” (USDA 1995, pA-16)</w:t>
            </w:r>
          </w:p>
        </w:tc>
        <w:tc>
          <w:tcPr>
            <w:tcW w:w="2160" w:type="dxa"/>
          </w:tcPr>
          <w:p w14:paraId="48EE6188" w14:textId="2BDF2F2D" w:rsidR="00BC26D4" w:rsidRDefault="00BC26D4" w:rsidP="00BC26D4">
            <w:pPr>
              <w:rPr>
                <w:rFonts w:ascii="Arial" w:hAnsi="Arial" w:cs="Arial"/>
                <w:sz w:val="14"/>
                <w:szCs w:val="14"/>
              </w:rPr>
            </w:pPr>
            <w:r>
              <w:rPr>
                <w:rFonts w:ascii="Arial" w:hAnsi="Arial" w:cs="Arial"/>
                <w:sz w:val="14"/>
                <w:szCs w:val="14"/>
              </w:rPr>
              <w:t>Anadromous salmonids</w:t>
            </w:r>
          </w:p>
        </w:tc>
        <w:tc>
          <w:tcPr>
            <w:tcW w:w="1291" w:type="dxa"/>
          </w:tcPr>
          <w:p w14:paraId="7C208BA6" w14:textId="77777777" w:rsidR="00BC26D4" w:rsidRDefault="00BC26D4" w:rsidP="00BC26D4">
            <w:pPr>
              <w:rPr>
                <w:rFonts w:ascii="Arial" w:hAnsi="Arial" w:cs="Arial"/>
                <w:sz w:val="14"/>
                <w:szCs w:val="14"/>
              </w:rPr>
            </w:pPr>
            <w:r>
              <w:rPr>
                <w:rFonts w:ascii="Arial" w:hAnsi="Arial" w:cs="Arial"/>
                <w:sz w:val="14"/>
                <w:szCs w:val="14"/>
              </w:rPr>
              <w:t>unclear</w:t>
            </w:r>
          </w:p>
        </w:tc>
        <w:tc>
          <w:tcPr>
            <w:tcW w:w="1141" w:type="dxa"/>
          </w:tcPr>
          <w:p w14:paraId="079A5911" w14:textId="77777777" w:rsidR="00BC26D4" w:rsidRDefault="00BC26D4" w:rsidP="00BC26D4">
            <w:pPr>
              <w:rPr>
                <w:rFonts w:ascii="Arial" w:hAnsi="Arial" w:cs="Arial"/>
                <w:sz w:val="14"/>
                <w:szCs w:val="14"/>
              </w:rPr>
            </w:pPr>
            <w:r>
              <w:rPr>
                <w:rFonts w:ascii="Arial" w:hAnsi="Arial" w:cs="Arial"/>
                <w:sz w:val="14"/>
                <w:szCs w:val="14"/>
              </w:rPr>
              <w:t>unclear</w:t>
            </w:r>
          </w:p>
        </w:tc>
        <w:tc>
          <w:tcPr>
            <w:tcW w:w="1163" w:type="dxa"/>
          </w:tcPr>
          <w:p w14:paraId="47579B18" w14:textId="77777777" w:rsidR="00BC26D4" w:rsidRDefault="00BC26D4" w:rsidP="00BC26D4">
            <w:pPr>
              <w:rPr>
                <w:rFonts w:ascii="Arial" w:hAnsi="Arial" w:cs="Arial"/>
                <w:sz w:val="14"/>
                <w:szCs w:val="14"/>
              </w:rPr>
            </w:pPr>
            <w:r>
              <w:rPr>
                <w:rFonts w:ascii="Arial" w:hAnsi="Arial" w:cs="Arial"/>
                <w:sz w:val="14"/>
                <w:szCs w:val="14"/>
              </w:rPr>
              <w:t>20%</w:t>
            </w:r>
          </w:p>
        </w:tc>
      </w:tr>
      <w:tr w:rsidR="00BC26D4" w:rsidRPr="00715D58" w14:paraId="47D33C03" w14:textId="77777777" w:rsidTr="00746734">
        <w:trPr>
          <w:trHeight w:val="547"/>
        </w:trPr>
        <w:tc>
          <w:tcPr>
            <w:tcW w:w="1502" w:type="dxa"/>
          </w:tcPr>
          <w:p w14:paraId="39982198" w14:textId="77777777" w:rsidR="00BC26D4" w:rsidRDefault="00BC26D4" w:rsidP="00BC26D4">
            <w:pPr>
              <w:rPr>
                <w:rFonts w:ascii="Arial" w:hAnsi="Arial" w:cs="Arial"/>
                <w:sz w:val="14"/>
                <w:szCs w:val="14"/>
              </w:rPr>
            </w:pPr>
            <w:r>
              <w:rPr>
                <w:rFonts w:ascii="Arial" w:hAnsi="Arial" w:cs="Arial"/>
                <w:sz w:val="14"/>
                <w:szCs w:val="14"/>
              </w:rPr>
              <w:t>CRITFC 1995.</w:t>
            </w:r>
          </w:p>
        </w:tc>
        <w:tc>
          <w:tcPr>
            <w:tcW w:w="5806" w:type="dxa"/>
          </w:tcPr>
          <w:p w14:paraId="1C4D8C4D" w14:textId="77777777" w:rsidR="00BC26D4" w:rsidRDefault="00BC26D4" w:rsidP="00BC26D4">
            <w:pPr>
              <w:rPr>
                <w:rFonts w:ascii="Arial" w:hAnsi="Arial" w:cs="Arial"/>
                <w:sz w:val="14"/>
                <w:szCs w:val="14"/>
              </w:rPr>
            </w:pPr>
            <w:r>
              <w:rPr>
                <w:rFonts w:ascii="Arial" w:hAnsi="Arial" w:cs="Arial"/>
                <w:sz w:val="14"/>
                <w:szCs w:val="14"/>
              </w:rPr>
              <w:t>Recommended surface fine sediment levels for an in-channel habitat condition coarse screening process. In cases where the benchmark is exceeded, land management actions to reduce sediment were recommended.</w:t>
            </w:r>
          </w:p>
        </w:tc>
        <w:tc>
          <w:tcPr>
            <w:tcW w:w="2160" w:type="dxa"/>
          </w:tcPr>
          <w:p w14:paraId="660C35C5" w14:textId="231B7D54" w:rsidR="00BC26D4" w:rsidRDefault="00BC26D4" w:rsidP="00BC26D4">
            <w:pPr>
              <w:rPr>
                <w:rFonts w:ascii="Arial" w:hAnsi="Arial" w:cs="Arial"/>
                <w:sz w:val="14"/>
                <w:szCs w:val="14"/>
              </w:rPr>
            </w:pPr>
            <w:r>
              <w:rPr>
                <w:rFonts w:ascii="Arial" w:hAnsi="Arial" w:cs="Arial"/>
                <w:sz w:val="14"/>
                <w:szCs w:val="14"/>
              </w:rPr>
              <w:t>Anadromous salmonids</w:t>
            </w:r>
          </w:p>
        </w:tc>
        <w:tc>
          <w:tcPr>
            <w:tcW w:w="1291" w:type="dxa"/>
          </w:tcPr>
          <w:p w14:paraId="7D77B190" w14:textId="77777777" w:rsidR="00BC26D4" w:rsidRDefault="00BC26D4" w:rsidP="00BC26D4">
            <w:pPr>
              <w:rPr>
                <w:rFonts w:ascii="Arial" w:hAnsi="Arial" w:cs="Arial"/>
                <w:sz w:val="14"/>
                <w:szCs w:val="14"/>
              </w:rPr>
            </w:pPr>
            <w:r>
              <w:rPr>
                <w:rFonts w:ascii="Arial" w:hAnsi="Arial" w:cs="Arial"/>
                <w:sz w:val="14"/>
                <w:szCs w:val="14"/>
              </w:rPr>
              <w:t>&lt; 6 mm</w:t>
            </w:r>
          </w:p>
        </w:tc>
        <w:tc>
          <w:tcPr>
            <w:tcW w:w="1141" w:type="dxa"/>
          </w:tcPr>
          <w:p w14:paraId="73E3C9D6" w14:textId="77777777" w:rsidR="00BC26D4" w:rsidRDefault="00BC26D4" w:rsidP="00BC26D4">
            <w:pPr>
              <w:rPr>
                <w:rFonts w:ascii="Arial" w:hAnsi="Arial" w:cs="Arial"/>
                <w:sz w:val="14"/>
                <w:szCs w:val="14"/>
              </w:rPr>
            </w:pPr>
            <w:r>
              <w:rPr>
                <w:rFonts w:ascii="Arial" w:hAnsi="Arial" w:cs="Arial"/>
                <w:sz w:val="14"/>
                <w:szCs w:val="14"/>
              </w:rPr>
              <w:t>unclear</w:t>
            </w:r>
          </w:p>
        </w:tc>
        <w:tc>
          <w:tcPr>
            <w:tcW w:w="1163" w:type="dxa"/>
          </w:tcPr>
          <w:p w14:paraId="04C2FF92" w14:textId="77777777" w:rsidR="00BC26D4" w:rsidRDefault="00BC26D4" w:rsidP="00BC26D4">
            <w:pPr>
              <w:rPr>
                <w:rFonts w:ascii="Arial" w:hAnsi="Arial" w:cs="Arial"/>
                <w:sz w:val="14"/>
                <w:szCs w:val="14"/>
              </w:rPr>
            </w:pPr>
            <w:r>
              <w:rPr>
                <w:rFonts w:ascii="Arial" w:hAnsi="Arial" w:cs="Arial"/>
                <w:sz w:val="14"/>
                <w:szCs w:val="14"/>
              </w:rPr>
              <w:t>20%</w:t>
            </w:r>
          </w:p>
        </w:tc>
      </w:tr>
      <w:tr w:rsidR="00BC26D4" w:rsidRPr="00715D58" w14:paraId="081A7C96" w14:textId="77777777" w:rsidTr="00746734">
        <w:trPr>
          <w:trHeight w:val="547"/>
        </w:trPr>
        <w:tc>
          <w:tcPr>
            <w:tcW w:w="1502" w:type="dxa"/>
          </w:tcPr>
          <w:p w14:paraId="0594FEBB" w14:textId="67A2282E" w:rsidR="00BC26D4" w:rsidRDefault="00350FA3" w:rsidP="00BC26D4">
            <w:pPr>
              <w:rPr>
                <w:rFonts w:ascii="Arial" w:hAnsi="Arial" w:cs="Arial"/>
                <w:sz w:val="14"/>
                <w:szCs w:val="14"/>
              </w:rPr>
            </w:pPr>
            <w:r>
              <w:rPr>
                <w:rFonts w:ascii="Arial" w:hAnsi="Arial" w:cs="Arial"/>
                <w:sz w:val="14"/>
                <w:szCs w:val="14"/>
              </w:rPr>
              <w:t>USFS et al.</w:t>
            </w:r>
            <w:r w:rsidR="00BC26D4">
              <w:rPr>
                <w:rFonts w:ascii="Arial" w:hAnsi="Arial" w:cs="Arial"/>
                <w:sz w:val="14"/>
                <w:szCs w:val="14"/>
              </w:rPr>
              <w:t xml:space="preserve"> 1998</w:t>
            </w:r>
          </w:p>
        </w:tc>
        <w:tc>
          <w:tcPr>
            <w:tcW w:w="5806" w:type="dxa"/>
          </w:tcPr>
          <w:p w14:paraId="3FFD00D5" w14:textId="697F9A28" w:rsidR="00BC26D4" w:rsidRDefault="00BC26D4" w:rsidP="00BC26D4">
            <w:pPr>
              <w:rPr>
                <w:rFonts w:ascii="Arial" w:hAnsi="Arial" w:cs="Arial"/>
                <w:sz w:val="14"/>
                <w:szCs w:val="14"/>
              </w:rPr>
            </w:pPr>
            <w:r>
              <w:rPr>
                <w:rFonts w:ascii="Arial" w:hAnsi="Arial" w:cs="Arial"/>
                <w:sz w:val="14"/>
                <w:szCs w:val="14"/>
              </w:rPr>
              <w:t xml:space="preserve">Recommended surface fines benchmark for use in making Endangered Species Act determinations of effect for individual or group actions at the watershed scale for the Clearwater Basin and Lower Salmon, applies to </w:t>
            </w:r>
            <w:proofErr w:type="spellStart"/>
            <w:r>
              <w:rPr>
                <w:rFonts w:ascii="Arial" w:hAnsi="Arial" w:cs="Arial"/>
                <w:sz w:val="14"/>
                <w:szCs w:val="14"/>
              </w:rPr>
              <w:t>Rosgen</w:t>
            </w:r>
            <w:proofErr w:type="spellEnd"/>
            <w:r>
              <w:rPr>
                <w:rFonts w:ascii="Arial" w:hAnsi="Arial" w:cs="Arial"/>
                <w:sz w:val="14"/>
                <w:szCs w:val="14"/>
              </w:rPr>
              <w:t xml:space="preserve"> channel type A &amp; B</w:t>
            </w:r>
          </w:p>
        </w:tc>
        <w:tc>
          <w:tcPr>
            <w:tcW w:w="2160" w:type="dxa"/>
          </w:tcPr>
          <w:p w14:paraId="6815CE5B" w14:textId="00021595" w:rsidR="00BC26D4" w:rsidRDefault="00BC26D4" w:rsidP="00BC26D4">
            <w:pPr>
              <w:rPr>
                <w:rFonts w:ascii="Arial" w:hAnsi="Arial" w:cs="Arial"/>
                <w:sz w:val="14"/>
                <w:szCs w:val="14"/>
              </w:rPr>
            </w:pPr>
            <w:r>
              <w:rPr>
                <w:rFonts w:ascii="Arial" w:hAnsi="Arial" w:cs="Arial"/>
                <w:sz w:val="14"/>
                <w:szCs w:val="14"/>
              </w:rPr>
              <w:t>Chinook, Steelhead, and Bull Trout</w:t>
            </w:r>
          </w:p>
        </w:tc>
        <w:tc>
          <w:tcPr>
            <w:tcW w:w="1291" w:type="dxa"/>
          </w:tcPr>
          <w:p w14:paraId="279A773D" w14:textId="4F8848B0" w:rsidR="00BC26D4" w:rsidRDefault="00BC26D4" w:rsidP="00BC26D4">
            <w:pPr>
              <w:rPr>
                <w:rFonts w:ascii="Arial" w:hAnsi="Arial" w:cs="Arial"/>
                <w:sz w:val="14"/>
                <w:szCs w:val="14"/>
              </w:rPr>
            </w:pPr>
            <w:r>
              <w:rPr>
                <w:rFonts w:ascii="Arial" w:hAnsi="Arial" w:cs="Arial"/>
                <w:sz w:val="14"/>
                <w:szCs w:val="14"/>
              </w:rPr>
              <w:t>&lt; 6 mm</w:t>
            </w:r>
          </w:p>
        </w:tc>
        <w:tc>
          <w:tcPr>
            <w:tcW w:w="1141" w:type="dxa"/>
          </w:tcPr>
          <w:p w14:paraId="6BDD3480" w14:textId="6FEC2DDD" w:rsidR="00BC26D4" w:rsidRDefault="00BC26D4" w:rsidP="00BC26D4">
            <w:pPr>
              <w:rPr>
                <w:rFonts w:ascii="Arial" w:hAnsi="Arial" w:cs="Arial"/>
                <w:sz w:val="14"/>
                <w:szCs w:val="14"/>
              </w:rPr>
            </w:pPr>
            <w:r>
              <w:rPr>
                <w:rFonts w:ascii="Arial" w:hAnsi="Arial" w:cs="Arial"/>
                <w:sz w:val="14"/>
                <w:szCs w:val="14"/>
              </w:rPr>
              <w:t>Not specified</w:t>
            </w:r>
          </w:p>
        </w:tc>
        <w:tc>
          <w:tcPr>
            <w:tcW w:w="1163" w:type="dxa"/>
          </w:tcPr>
          <w:p w14:paraId="20340E6F" w14:textId="247C2AFF" w:rsidR="00BC26D4" w:rsidRDefault="00BC26D4" w:rsidP="00BC26D4">
            <w:pPr>
              <w:rPr>
                <w:rFonts w:ascii="Arial" w:hAnsi="Arial" w:cs="Arial"/>
                <w:sz w:val="14"/>
                <w:szCs w:val="14"/>
              </w:rPr>
            </w:pPr>
            <w:r>
              <w:rPr>
                <w:rFonts w:ascii="Arial" w:hAnsi="Arial" w:cs="Arial"/>
                <w:sz w:val="14"/>
                <w:szCs w:val="14"/>
              </w:rPr>
              <w:t>≤10%</w:t>
            </w:r>
          </w:p>
        </w:tc>
      </w:tr>
      <w:tr w:rsidR="00BC26D4" w:rsidRPr="00715D58" w14:paraId="68A3007A" w14:textId="77777777" w:rsidTr="00746734">
        <w:trPr>
          <w:trHeight w:val="547"/>
        </w:trPr>
        <w:tc>
          <w:tcPr>
            <w:tcW w:w="1502" w:type="dxa"/>
          </w:tcPr>
          <w:p w14:paraId="1B376E5E" w14:textId="5019421E" w:rsidR="00BC26D4" w:rsidRDefault="00350FA3" w:rsidP="00BC26D4">
            <w:pPr>
              <w:rPr>
                <w:rFonts w:ascii="Arial" w:hAnsi="Arial" w:cs="Arial"/>
                <w:sz w:val="14"/>
                <w:szCs w:val="14"/>
              </w:rPr>
            </w:pPr>
            <w:r>
              <w:rPr>
                <w:rFonts w:ascii="Arial" w:hAnsi="Arial" w:cs="Arial"/>
                <w:sz w:val="14"/>
                <w:szCs w:val="14"/>
              </w:rPr>
              <w:t>USFS et al.</w:t>
            </w:r>
            <w:r w:rsidR="00BC26D4">
              <w:rPr>
                <w:rFonts w:ascii="Arial" w:hAnsi="Arial" w:cs="Arial"/>
                <w:sz w:val="14"/>
                <w:szCs w:val="14"/>
              </w:rPr>
              <w:t xml:space="preserve"> 1998</w:t>
            </w:r>
          </w:p>
        </w:tc>
        <w:tc>
          <w:tcPr>
            <w:tcW w:w="5806" w:type="dxa"/>
          </w:tcPr>
          <w:p w14:paraId="3891DDF9" w14:textId="1D8B9112" w:rsidR="00BC26D4" w:rsidRDefault="00BC26D4" w:rsidP="00BC26D4">
            <w:pPr>
              <w:rPr>
                <w:rFonts w:ascii="Arial" w:hAnsi="Arial" w:cs="Arial"/>
                <w:sz w:val="14"/>
                <w:szCs w:val="14"/>
              </w:rPr>
            </w:pPr>
            <w:r>
              <w:rPr>
                <w:rFonts w:ascii="Arial" w:hAnsi="Arial" w:cs="Arial"/>
                <w:sz w:val="14"/>
                <w:szCs w:val="14"/>
              </w:rPr>
              <w:t xml:space="preserve">Recommended surface fines benchmark for use in making Endangered Species Act determinations of effect for individual or group actions at the watershed scale for the Clearwater Basin and Lower Salmon, applies to </w:t>
            </w:r>
            <w:proofErr w:type="spellStart"/>
            <w:r>
              <w:rPr>
                <w:rFonts w:ascii="Arial" w:hAnsi="Arial" w:cs="Arial"/>
                <w:sz w:val="14"/>
                <w:szCs w:val="14"/>
              </w:rPr>
              <w:t>Rosgen</w:t>
            </w:r>
            <w:proofErr w:type="spellEnd"/>
            <w:r>
              <w:rPr>
                <w:rFonts w:ascii="Arial" w:hAnsi="Arial" w:cs="Arial"/>
                <w:sz w:val="14"/>
                <w:szCs w:val="14"/>
              </w:rPr>
              <w:t xml:space="preserve"> channel type C &amp; E</w:t>
            </w:r>
          </w:p>
        </w:tc>
        <w:tc>
          <w:tcPr>
            <w:tcW w:w="2160" w:type="dxa"/>
          </w:tcPr>
          <w:p w14:paraId="4EFD65EC" w14:textId="0939E364" w:rsidR="00BC26D4" w:rsidRDefault="00BC26D4" w:rsidP="00BC26D4">
            <w:pPr>
              <w:rPr>
                <w:rFonts w:ascii="Arial" w:hAnsi="Arial" w:cs="Arial"/>
                <w:sz w:val="14"/>
                <w:szCs w:val="14"/>
              </w:rPr>
            </w:pPr>
            <w:r>
              <w:rPr>
                <w:rFonts w:ascii="Arial" w:hAnsi="Arial" w:cs="Arial"/>
                <w:sz w:val="14"/>
                <w:szCs w:val="14"/>
              </w:rPr>
              <w:t>Chinook, Steelhead, and Bull Trout</w:t>
            </w:r>
          </w:p>
        </w:tc>
        <w:tc>
          <w:tcPr>
            <w:tcW w:w="1291" w:type="dxa"/>
          </w:tcPr>
          <w:p w14:paraId="6A3BE367" w14:textId="5BEB3207" w:rsidR="00BC26D4" w:rsidRDefault="00BC26D4" w:rsidP="00BC26D4">
            <w:pPr>
              <w:rPr>
                <w:rFonts w:ascii="Arial" w:hAnsi="Arial" w:cs="Arial"/>
                <w:sz w:val="14"/>
                <w:szCs w:val="14"/>
              </w:rPr>
            </w:pPr>
            <w:r>
              <w:rPr>
                <w:rFonts w:ascii="Arial" w:hAnsi="Arial" w:cs="Arial"/>
                <w:sz w:val="14"/>
                <w:szCs w:val="14"/>
              </w:rPr>
              <w:t>&lt; 6 mm</w:t>
            </w:r>
          </w:p>
        </w:tc>
        <w:tc>
          <w:tcPr>
            <w:tcW w:w="1141" w:type="dxa"/>
          </w:tcPr>
          <w:p w14:paraId="168FCA00" w14:textId="27B35421" w:rsidR="00BC26D4" w:rsidRDefault="00BC26D4" w:rsidP="00BC26D4">
            <w:pPr>
              <w:rPr>
                <w:rFonts w:ascii="Arial" w:hAnsi="Arial" w:cs="Arial"/>
                <w:sz w:val="14"/>
                <w:szCs w:val="14"/>
              </w:rPr>
            </w:pPr>
            <w:r>
              <w:rPr>
                <w:rFonts w:ascii="Arial" w:hAnsi="Arial" w:cs="Arial"/>
                <w:sz w:val="14"/>
                <w:szCs w:val="14"/>
              </w:rPr>
              <w:t>Not specified</w:t>
            </w:r>
          </w:p>
        </w:tc>
        <w:tc>
          <w:tcPr>
            <w:tcW w:w="1163" w:type="dxa"/>
          </w:tcPr>
          <w:p w14:paraId="254524D7" w14:textId="199F6D4B" w:rsidR="00BC26D4" w:rsidRDefault="00BC26D4" w:rsidP="00BC26D4">
            <w:pPr>
              <w:rPr>
                <w:rFonts w:ascii="Arial" w:hAnsi="Arial" w:cs="Arial"/>
                <w:sz w:val="14"/>
                <w:szCs w:val="14"/>
              </w:rPr>
            </w:pPr>
            <w:r>
              <w:rPr>
                <w:rFonts w:ascii="Arial" w:hAnsi="Arial" w:cs="Arial"/>
                <w:sz w:val="14"/>
                <w:szCs w:val="14"/>
              </w:rPr>
              <w:t>≤20%</w:t>
            </w:r>
          </w:p>
        </w:tc>
      </w:tr>
      <w:tr w:rsidR="00BC26D4" w:rsidRPr="00715D58" w14:paraId="2A1AEE3E" w14:textId="77777777" w:rsidTr="00746734">
        <w:trPr>
          <w:trHeight w:val="547"/>
        </w:trPr>
        <w:tc>
          <w:tcPr>
            <w:tcW w:w="1502" w:type="dxa"/>
          </w:tcPr>
          <w:p w14:paraId="2140CAD9" w14:textId="27057F46" w:rsidR="00BC26D4" w:rsidRDefault="00BC26D4" w:rsidP="00BC26D4">
            <w:pPr>
              <w:rPr>
                <w:rFonts w:ascii="Arial" w:hAnsi="Arial" w:cs="Arial"/>
                <w:sz w:val="14"/>
                <w:szCs w:val="14"/>
              </w:rPr>
            </w:pPr>
            <w:r>
              <w:rPr>
                <w:rFonts w:ascii="Arial" w:hAnsi="Arial" w:cs="Arial"/>
                <w:sz w:val="14"/>
                <w:szCs w:val="14"/>
              </w:rPr>
              <w:t>NMFS 1996</w:t>
            </w:r>
          </w:p>
        </w:tc>
        <w:tc>
          <w:tcPr>
            <w:tcW w:w="5806" w:type="dxa"/>
          </w:tcPr>
          <w:p w14:paraId="4DB29CA1" w14:textId="35E7872C" w:rsidR="00BC26D4" w:rsidRDefault="00BC26D4" w:rsidP="00BC26D4">
            <w:pPr>
              <w:rPr>
                <w:rFonts w:ascii="Arial" w:hAnsi="Arial" w:cs="Arial"/>
                <w:sz w:val="14"/>
                <w:szCs w:val="14"/>
              </w:rPr>
            </w:pPr>
            <w:r>
              <w:rPr>
                <w:rFonts w:ascii="Arial" w:hAnsi="Arial" w:cs="Arial"/>
                <w:sz w:val="14"/>
                <w:szCs w:val="14"/>
              </w:rPr>
              <w:t>Recommended percent fines in gravel for streams classified as ‘properly’ functioning for purposes of making Endangered Species Act determinations of effect</w:t>
            </w:r>
          </w:p>
        </w:tc>
        <w:tc>
          <w:tcPr>
            <w:tcW w:w="2160" w:type="dxa"/>
          </w:tcPr>
          <w:p w14:paraId="582FB65C" w14:textId="38F9A8C2" w:rsidR="00BC26D4" w:rsidRDefault="00BC26D4" w:rsidP="00BC26D4">
            <w:pPr>
              <w:rPr>
                <w:rFonts w:ascii="Arial" w:hAnsi="Arial" w:cs="Arial"/>
                <w:sz w:val="14"/>
                <w:szCs w:val="14"/>
              </w:rPr>
            </w:pPr>
            <w:proofErr w:type="spellStart"/>
            <w:r>
              <w:rPr>
                <w:rFonts w:ascii="Arial" w:hAnsi="Arial" w:cs="Arial"/>
                <w:sz w:val="14"/>
                <w:szCs w:val="14"/>
              </w:rPr>
              <w:t>Anadramous</w:t>
            </w:r>
            <w:proofErr w:type="spellEnd"/>
            <w:r>
              <w:rPr>
                <w:rFonts w:ascii="Arial" w:hAnsi="Arial" w:cs="Arial"/>
                <w:sz w:val="14"/>
                <w:szCs w:val="14"/>
              </w:rPr>
              <w:t xml:space="preserve"> salmonids</w:t>
            </w:r>
          </w:p>
        </w:tc>
        <w:tc>
          <w:tcPr>
            <w:tcW w:w="1291" w:type="dxa"/>
          </w:tcPr>
          <w:p w14:paraId="3973DA83" w14:textId="0C88E786" w:rsidR="00BC26D4" w:rsidRDefault="00BC26D4" w:rsidP="00BC26D4">
            <w:pPr>
              <w:rPr>
                <w:rFonts w:ascii="Arial" w:hAnsi="Arial" w:cs="Arial"/>
                <w:sz w:val="14"/>
                <w:szCs w:val="14"/>
              </w:rPr>
            </w:pPr>
            <w:r>
              <w:rPr>
                <w:rFonts w:ascii="Arial" w:hAnsi="Arial" w:cs="Arial"/>
                <w:sz w:val="14"/>
                <w:szCs w:val="14"/>
              </w:rPr>
              <w:t>&lt; 0.85</w:t>
            </w:r>
          </w:p>
        </w:tc>
        <w:tc>
          <w:tcPr>
            <w:tcW w:w="1141" w:type="dxa"/>
          </w:tcPr>
          <w:p w14:paraId="2C92AD6E" w14:textId="00CA4145" w:rsidR="00BC26D4" w:rsidRDefault="00BC26D4" w:rsidP="00BC26D4">
            <w:pPr>
              <w:rPr>
                <w:rFonts w:ascii="Arial" w:hAnsi="Arial" w:cs="Arial"/>
                <w:sz w:val="14"/>
                <w:szCs w:val="14"/>
              </w:rPr>
            </w:pPr>
            <w:r>
              <w:rPr>
                <w:rFonts w:ascii="Arial" w:hAnsi="Arial" w:cs="Arial"/>
                <w:sz w:val="14"/>
                <w:szCs w:val="14"/>
              </w:rPr>
              <w:t>Not specified</w:t>
            </w:r>
          </w:p>
        </w:tc>
        <w:tc>
          <w:tcPr>
            <w:tcW w:w="1163" w:type="dxa"/>
          </w:tcPr>
          <w:p w14:paraId="121426A3" w14:textId="6F3E0BE5" w:rsidR="00BC26D4" w:rsidRDefault="00BC26D4" w:rsidP="00BC26D4">
            <w:pPr>
              <w:rPr>
                <w:rFonts w:ascii="Arial" w:hAnsi="Arial" w:cs="Arial"/>
                <w:sz w:val="14"/>
                <w:szCs w:val="14"/>
              </w:rPr>
            </w:pPr>
            <w:r>
              <w:rPr>
                <w:rFonts w:ascii="Arial" w:hAnsi="Arial" w:cs="Arial"/>
                <w:sz w:val="14"/>
                <w:szCs w:val="14"/>
              </w:rPr>
              <w:t>&lt; 12%</w:t>
            </w:r>
          </w:p>
        </w:tc>
      </w:tr>
    </w:tbl>
    <w:p w14:paraId="37D3A981" w14:textId="77777777" w:rsidR="002D4682" w:rsidRDefault="002D4682" w:rsidP="00216228">
      <w:pPr>
        <w:rPr>
          <w:u w:val="single"/>
        </w:rPr>
        <w:sectPr w:rsidR="002D4682" w:rsidSect="002D4682">
          <w:pgSz w:w="15840" w:h="12240" w:orient="landscape"/>
          <w:pgMar w:top="1440" w:right="1440" w:bottom="1440" w:left="1440" w:header="720" w:footer="720" w:gutter="0"/>
          <w:cols w:space="720"/>
          <w:docGrid w:linePitch="360"/>
        </w:sectPr>
      </w:pPr>
    </w:p>
    <w:p w14:paraId="2AEDFC9E" w14:textId="61F64394" w:rsidR="0033145A" w:rsidRPr="000406DE" w:rsidRDefault="000406DE" w:rsidP="00BA1BCF">
      <w:pPr>
        <w:rPr>
          <w:b/>
          <w:bCs/>
        </w:rPr>
      </w:pPr>
      <w:r w:rsidRPr="000406DE">
        <w:rPr>
          <w:b/>
          <w:bCs/>
        </w:rPr>
        <w:lastRenderedPageBreak/>
        <w:t>Works Cited</w:t>
      </w:r>
    </w:p>
    <w:p w14:paraId="3D150BA6" w14:textId="77777777" w:rsidR="00B67E27" w:rsidRDefault="00B67E27" w:rsidP="00B67E27">
      <w:pPr>
        <w:pStyle w:val="Normal1"/>
        <w:rPr>
          <w:rFonts w:ascii="Times" w:hAnsi="Times"/>
          <w:sz w:val="24"/>
        </w:rPr>
      </w:pPr>
      <w:r w:rsidRPr="0060682B">
        <w:rPr>
          <w:rFonts w:ascii="Times" w:hAnsi="Times"/>
          <w:sz w:val="24"/>
        </w:rPr>
        <w:t xml:space="preserve">Bryce, S.A., </w:t>
      </w:r>
      <w:proofErr w:type="spellStart"/>
      <w:r w:rsidRPr="0060682B">
        <w:rPr>
          <w:rFonts w:ascii="Times" w:hAnsi="Times"/>
          <w:sz w:val="24"/>
        </w:rPr>
        <w:t>Lomnicky</w:t>
      </w:r>
      <w:proofErr w:type="spellEnd"/>
      <w:r w:rsidRPr="0060682B">
        <w:rPr>
          <w:rFonts w:ascii="Times" w:hAnsi="Times"/>
          <w:sz w:val="24"/>
        </w:rPr>
        <w:t xml:space="preserve">, G.A., Kaufmann, P.R. 2010. Protecting sediment-sensitive aquatic species in mountain streams through the application of biologically based streambed sediment criteria. </w:t>
      </w:r>
      <w:r w:rsidRPr="0060682B">
        <w:rPr>
          <w:rFonts w:ascii="Times" w:hAnsi="Times"/>
          <w:i/>
          <w:iCs/>
          <w:sz w:val="24"/>
        </w:rPr>
        <w:t xml:space="preserve">Journal of the North American </w:t>
      </w:r>
      <w:proofErr w:type="spellStart"/>
      <w:r w:rsidRPr="0060682B">
        <w:rPr>
          <w:rFonts w:ascii="Times" w:hAnsi="Times"/>
          <w:i/>
          <w:iCs/>
          <w:sz w:val="24"/>
        </w:rPr>
        <w:t>Benthological</w:t>
      </w:r>
      <w:proofErr w:type="spellEnd"/>
      <w:r w:rsidRPr="0060682B">
        <w:rPr>
          <w:rFonts w:ascii="Times" w:hAnsi="Times"/>
          <w:i/>
          <w:iCs/>
          <w:sz w:val="24"/>
        </w:rPr>
        <w:t xml:space="preserve"> Society</w:t>
      </w:r>
      <w:r w:rsidRPr="0060682B">
        <w:rPr>
          <w:rFonts w:ascii="Times" w:hAnsi="Times"/>
          <w:sz w:val="24"/>
        </w:rPr>
        <w:t>. 29(2): 657-672.</w:t>
      </w:r>
    </w:p>
    <w:p w14:paraId="25B7C935" w14:textId="77777777" w:rsidR="00B67E27" w:rsidRPr="0060682B" w:rsidRDefault="00B67E27" w:rsidP="00B67E27">
      <w:pPr>
        <w:pStyle w:val="Normal1"/>
        <w:rPr>
          <w:rFonts w:ascii="Times" w:hAnsi="Times"/>
          <w:sz w:val="24"/>
        </w:rPr>
      </w:pPr>
    </w:p>
    <w:p w14:paraId="1E57B848" w14:textId="77777777" w:rsidR="003C7E5B" w:rsidRDefault="003C7E5B" w:rsidP="003C7E5B">
      <w:pPr>
        <w:pStyle w:val="Normal1"/>
        <w:rPr>
          <w:rFonts w:ascii="Times" w:hAnsi="Times"/>
          <w:sz w:val="24"/>
        </w:rPr>
      </w:pPr>
      <w:r w:rsidRPr="0060682B">
        <w:rPr>
          <w:rFonts w:ascii="Times" w:hAnsi="Times"/>
          <w:sz w:val="24"/>
        </w:rPr>
        <w:t>Burdon, F., McIntosh, A.R., Harding. J.W. 2013. Habitat loss drives threshold response of benthic invertebrate communities to deposited sediment in agricultural streams. Ecological Applications. 23(5): 1036-1047.</w:t>
      </w:r>
    </w:p>
    <w:p w14:paraId="7DFE42DB" w14:textId="77777777" w:rsidR="003C7E5B" w:rsidRDefault="003C7E5B" w:rsidP="008F14A7">
      <w:pPr>
        <w:pStyle w:val="Normal1"/>
        <w:rPr>
          <w:rFonts w:ascii="Times" w:hAnsi="Times"/>
          <w:sz w:val="24"/>
        </w:rPr>
      </w:pPr>
    </w:p>
    <w:p w14:paraId="3D4D7905" w14:textId="475AB5D3" w:rsidR="00953F8C" w:rsidRDefault="00953F8C" w:rsidP="008F14A7">
      <w:pPr>
        <w:pStyle w:val="Normal1"/>
        <w:rPr>
          <w:rFonts w:ascii="Times" w:hAnsi="Times"/>
          <w:sz w:val="24"/>
        </w:rPr>
      </w:pPr>
      <w:r>
        <w:rPr>
          <w:rFonts w:ascii="Times" w:hAnsi="Times"/>
          <w:sz w:val="24"/>
        </w:rPr>
        <w:t xml:space="preserve">CRITFC (Columbia River Inter-Tribal Fish Commission). 1992. </w:t>
      </w:r>
      <w:r w:rsidR="00EE7363">
        <w:rPr>
          <w:rFonts w:ascii="Times" w:hAnsi="Times"/>
          <w:sz w:val="24"/>
        </w:rPr>
        <w:t>Wy-Kan-Ush-</w:t>
      </w:r>
      <w:proofErr w:type="spellStart"/>
      <w:r w:rsidR="00EE7363">
        <w:rPr>
          <w:rFonts w:ascii="Times" w:hAnsi="Times"/>
          <w:sz w:val="24"/>
        </w:rPr>
        <w:t>Mi_Wa_kish</w:t>
      </w:r>
      <w:proofErr w:type="spellEnd"/>
      <w:r w:rsidR="00EE7363">
        <w:rPr>
          <w:rFonts w:ascii="Times" w:hAnsi="Times"/>
          <w:sz w:val="24"/>
        </w:rPr>
        <w:t xml:space="preserve">-Wit (Spirit of the Salmon). The Columbia River Anadromous Fish Restoration Plan of the Nez Perce, Umatilla, Warm Springs, and Yakama Tribes, Portland, OR. </w:t>
      </w:r>
    </w:p>
    <w:p w14:paraId="3EEE8491" w14:textId="77777777" w:rsidR="00EE7363" w:rsidRDefault="00EE7363" w:rsidP="008F14A7">
      <w:pPr>
        <w:pStyle w:val="Normal1"/>
        <w:rPr>
          <w:rFonts w:ascii="Times" w:hAnsi="Times"/>
          <w:sz w:val="24"/>
        </w:rPr>
      </w:pPr>
    </w:p>
    <w:p w14:paraId="1CCD9CFF" w14:textId="2BD24929" w:rsidR="00862B65" w:rsidRDefault="00862B65" w:rsidP="008F14A7">
      <w:pPr>
        <w:pStyle w:val="Normal1"/>
        <w:rPr>
          <w:rFonts w:ascii="Times" w:hAnsi="Times"/>
          <w:sz w:val="24"/>
        </w:rPr>
      </w:pPr>
      <w:r>
        <w:rPr>
          <w:rFonts w:ascii="Times" w:hAnsi="Times"/>
          <w:sz w:val="24"/>
        </w:rPr>
        <w:t xml:space="preserve">DEQ 2003. Guidance to selection of sediment targets for use in Idaho TMDLs. </w:t>
      </w:r>
      <w:r w:rsidR="0063388F">
        <w:rPr>
          <w:rFonts w:ascii="Times" w:hAnsi="Times"/>
          <w:sz w:val="24"/>
        </w:rPr>
        <w:t xml:space="preserve">June 2003. </w:t>
      </w:r>
      <w:r w:rsidR="0063388F" w:rsidRPr="0063388F">
        <w:rPr>
          <w:rFonts w:ascii="Times" w:hAnsi="Times"/>
          <w:sz w:val="24"/>
        </w:rPr>
        <w:t>https://www2.deq.idaho.gov/admin/LEIA/api/document/download/4843</w:t>
      </w:r>
    </w:p>
    <w:p w14:paraId="25468AC5" w14:textId="77777777" w:rsidR="00862B65" w:rsidRDefault="00862B65" w:rsidP="008F14A7">
      <w:pPr>
        <w:pStyle w:val="Normal1"/>
        <w:rPr>
          <w:rFonts w:ascii="Times" w:hAnsi="Times"/>
          <w:sz w:val="24"/>
        </w:rPr>
      </w:pPr>
    </w:p>
    <w:p w14:paraId="4B6400C9" w14:textId="04BE8A55" w:rsidR="008F14A7" w:rsidRDefault="008F14A7" w:rsidP="008F14A7">
      <w:pPr>
        <w:pStyle w:val="Normal1"/>
        <w:rPr>
          <w:rFonts w:ascii="Times" w:hAnsi="Times"/>
          <w:sz w:val="24"/>
        </w:rPr>
      </w:pPr>
      <w:r w:rsidRPr="0060682B">
        <w:rPr>
          <w:rFonts w:ascii="Times" w:hAnsi="Times"/>
          <w:sz w:val="24"/>
        </w:rPr>
        <w:t>DEQ</w:t>
      </w:r>
      <w:r>
        <w:rPr>
          <w:rFonts w:ascii="Times" w:hAnsi="Times"/>
          <w:sz w:val="24"/>
        </w:rPr>
        <w:t>.</w:t>
      </w:r>
      <w:r w:rsidRPr="0060682B">
        <w:rPr>
          <w:rFonts w:ascii="Times" w:hAnsi="Times"/>
          <w:sz w:val="24"/>
        </w:rPr>
        <w:t xml:space="preserve"> 2016. Idaho Water Body Assessment Guidance, 3</w:t>
      </w:r>
      <w:r w:rsidRPr="0060682B">
        <w:rPr>
          <w:rFonts w:ascii="Times" w:hAnsi="Times"/>
          <w:sz w:val="24"/>
          <w:vertAlign w:val="superscript"/>
        </w:rPr>
        <w:t>rd</w:t>
      </w:r>
      <w:r w:rsidRPr="0060682B">
        <w:rPr>
          <w:rFonts w:ascii="Times" w:hAnsi="Times"/>
          <w:sz w:val="24"/>
        </w:rPr>
        <w:t xml:space="preserve"> edition. </w:t>
      </w:r>
    </w:p>
    <w:p w14:paraId="1C6D5FD0" w14:textId="77777777" w:rsidR="003C7E5B" w:rsidRDefault="003C7E5B" w:rsidP="008F14A7">
      <w:pPr>
        <w:pStyle w:val="Normal1"/>
        <w:rPr>
          <w:rFonts w:ascii="Times" w:hAnsi="Times"/>
          <w:sz w:val="24"/>
        </w:rPr>
      </w:pPr>
    </w:p>
    <w:p w14:paraId="747DAD57" w14:textId="77777777" w:rsidR="003C7E5B" w:rsidRDefault="003C7E5B" w:rsidP="003C7E5B">
      <w:pPr>
        <w:pStyle w:val="Normal1"/>
        <w:rPr>
          <w:rFonts w:ascii="Times" w:hAnsi="Times"/>
          <w:sz w:val="24"/>
        </w:rPr>
      </w:pPr>
      <w:r>
        <w:rPr>
          <w:rFonts w:ascii="Times" w:hAnsi="Times"/>
          <w:sz w:val="24"/>
        </w:rPr>
        <w:t xml:space="preserve">EPA, 2007. Ecological condition of wadable streams of the interior Columbia River Basin. EPA-910-R-07-005. US Environmental Protection Agency, Region 10, Seattle, Washington. </w:t>
      </w:r>
      <w:hyperlink r:id="rId21" w:history="1">
        <w:r w:rsidRPr="00303200">
          <w:rPr>
            <w:rStyle w:val="Hyperlink"/>
            <w:rFonts w:ascii="Times" w:hAnsi="Times"/>
            <w:sz w:val="24"/>
          </w:rPr>
          <w:t>https://archive.epa.gov/emap/archive-emap/web/pdf/icbfinal07.pdf</w:t>
        </w:r>
      </w:hyperlink>
    </w:p>
    <w:p w14:paraId="146FC60A" w14:textId="77777777" w:rsidR="003C7E5B" w:rsidRDefault="003C7E5B" w:rsidP="003C7E5B">
      <w:pPr>
        <w:pStyle w:val="Normal1"/>
        <w:rPr>
          <w:rFonts w:ascii="Times" w:hAnsi="Times"/>
          <w:sz w:val="24"/>
        </w:rPr>
      </w:pPr>
    </w:p>
    <w:p w14:paraId="70E3F6BD" w14:textId="5A750B2A" w:rsidR="003C7E5B" w:rsidRDefault="003C7E5B" w:rsidP="008F14A7">
      <w:pPr>
        <w:pStyle w:val="Normal1"/>
        <w:rPr>
          <w:rFonts w:ascii="Times" w:hAnsi="Times"/>
          <w:sz w:val="24"/>
        </w:rPr>
      </w:pPr>
      <w:r>
        <w:rPr>
          <w:rFonts w:ascii="Times" w:hAnsi="Times"/>
          <w:sz w:val="24"/>
        </w:rPr>
        <w:t xml:space="preserve">EPA, 2020. National </w:t>
      </w:r>
      <w:proofErr w:type="spellStart"/>
      <w:r>
        <w:rPr>
          <w:rFonts w:ascii="Times" w:hAnsi="Times"/>
          <w:sz w:val="24"/>
        </w:rPr>
        <w:t>Rives</w:t>
      </w:r>
      <w:proofErr w:type="spellEnd"/>
      <w:r>
        <w:rPr>
          <w:rFonts w:ascii="Times" w:hAnsi="Times"/>
          <w:sz w:val="24"/>
        </w:rPr>
        <w:t xml:space="preserve"> and Streams Assessment 2013-2014 Technical Support Document. Office of Water. Washington DC. EPA 843-R-19-002. </w:t>
      </w:r>
    </w:p>
    <w:p w14:paraId="50D4DA8C" w14:textId="77777777" w:rsidR="003C7E5B" w:rsidRDefault="003C7E5B" w:rsidP="008F14A7">
      <w:pPr>
        <w:pStyle w:val="Normal1"/>
        <w:rPr>
          <w:rFonts w:ascii="Times" w:hAnsi="Times"/>
          <w:sz w:val="24"/>
        </w:rPr>
      </w:pPr>
    </w:p>
    <w:p w14:paraId="0720F409" w14:textId="3F42F551" w:rsidR="003C7E5B" w:rsidRDefault="003C7E5B" w:rsidP="008F14A7">
      <w:pPr>
        <w:pStyle w:val="Normal1"/>
        <w:rPr>
          <w:rFonts w:ascii="Times" w:hAnsi="Times"/>
          <w:sz w:val="24"/>
        </w:rPr>
      </w:pPr>
      <w:r>
        <w:rPr>
          <w:rFonts w:ascii="Times" w:hAnsi="Times"/>
          <w:sz w:val="24"/>
        </w:rPr>
        <w:t xml:space="preserve">Jensen, D.W., Steel, E.A., Fullerton, A.H., Pess, G.R. 2009. Impact of fine sediment on egg-to-fry survival of pacific salmon: a meta-analysis of published studies. </w:t>
      </w:r>
      <w:r>
        <w:rPr>
          <w:rFonts w:ascii="Times" w:hAnsi="Times"/>
          <w:i/>
          <w:iCs/>
          <w:sz w:val="24"/>
        </w:rPr>
        <w:t>Reviews in Fisheries Science</w:t>
      </w:r>
      <w:r>
        <w:rPr>
          <w:rFonts w:ascii="Times" w:hAnsi="Times"/>
          <w:sz w:val="24"/>
        </w:rPr>
        <w:t xml:space="preserve"> 17(3): 348-359.</w:t>
      </w:r>
    </w:p>
    <w:p w14:paraId="336F2ED2" w14:textId="77777777" w:rsidR="008F14A7" w:rsidRDefault="008F14A7" w:rsidP="002421EB">
      <w:pPr>
        <w:pStyle w:val="Normal1"/>
        <w:rPr>
          <w:rFonts w:ascii="Times" w:hAnsi="Times"/>
          <w:sz w:val="24"/>
        </w:rPr>
      </w:pPr>
    </w:p>
    <w:p w14:paraId="30D0AE63" w14:textId="4DE05D7C" w:rsidR="002421EB" w:rsidRDefault="002421EB" w:rsidP="002421EB">
      <w:pPr>
        <w:pStyle w:val="Normal1"/>
        <w:rPr>
          <w:rFonts w:ascii="Times" w:hAnsi="Times"/>
          <w:sz w:val="24"/>
        </w:rPr>
      </w:pPr>
      <w:r w:rsidRPr="0060682B">
        <w:rPr>
          <w:rFonts w:ascii="Times" w:hAnsi="Times"/>
          <w:sz w:val="24"/>
        </w:rPr>
        <w:t xml:space="preserve">Jessup, B. 2011. Biological Assessment Frameworks and Index Development for Rivers and Streams in Idaho. Owings Mills, MD.: </w:t>
      </w:r>
      <w:proofErr w:type="spellStart"/>
      <w:r w:rsidRPr="0060682B">
        <w:rPr>
          <w:rFonts w:ascii="Times" w:hAnsi="Times"/>
          <w:sz w:val="24"/>
        </w:rPr>
        <w:t>TetraTech</w:t>
      </w:r>
      <w:proofErr w:type="spellEnd"/>
      <w:r w:rsidRPr="0060682B">
        <w:rPr>
          <w:rFonts w:ascii="Times" w:hAnsi="Times"/>
          <w:sz w:val="24"/>
        </w:rPr>
        <w:t xml:space="preserve">, Inc. </w:t>
      </w:r>
    </w:p>
    <w:p w14:paraId="13CEFBE3" w14:textId="77777777" w:rsidR="002421EB" w:rsidRDefault="002421EB" w:rsidP="00B47524">
      <w:pPr>
        <w:pStyle w:val="Normal1"/>
        <w:rPr>
          <w:rFonts w:ascii="Times" w:hAnsi="Times"/>
          <w:sz w:val="24"/>
        </w:rPr>
      </w:pPr>
    </w:p>
    <w:p w14:paraId="6E646F57" w14:textId="1D139886" w:rsidR="00B47524" w:rsidRDefault="00B47524" w:rsidP="00B47524">
      <w:pPr>
        <w:pStyle w:val="Normal1"/>
        <w:rPr>
          <w:rFonts w:ascii="Times" w:hAnsi="Times"/>
          <w:sz w:val="24"/>
        </w:rPr>
      </w:pPr>
      <w:r w:rsidRPr="0060682B">
        <w:rPr>
          <w:rFonts w:ascii="Times" w:hAnsi="Times"/>
          <w:sz w:val="24"/>
        </w:rPr>
        <w:t xml:space="preserve">Jessup, B.K., Kaufman, P.R., Forrest, J., Guevara, L.S., Joseph, S. 2014. Bedded sediment conditions and macroinvertebrate responses in New Mexico streams: a first step in establishing sediment criteria. </w:t>
      </w:r>
      <w:r w:rsidRPr="0060682B">
        <w:rPr>
          <w:rFonts w:ascii="Times" w:hAnsi="Times"/>
          <w:i/>
          <w:iCs/>
          <w:sz w:val="24"/>
        </w:rPr>
        <w:t xml:space="preserve">Journal of the North American </w:t>
      </w:r>
      <w:proofErr w:type="spellStart"/>
      <w:r w:rsidRPr="0060682B">
        <w:rPr>
          <w:rFonts w:ascii="Times" w:hAnsi="Times"/>
          <w:i/>
          <w:iCs/>
          <w:sz w:val="24"/>
        </w:rPr>
        <w:t>Benthological</w:t>
      </w:r>
      <w:proofErr w:type="spellEnd"/>
      <w:r w:rsidRPr="0060682B">
        <w:rPr>
          <w:rFonts w:ascii="Times" w:hAnsi="Times"/>
          <w:i/>
          <w:iCs/>
          <w:sz w:val="24"/>
        </w:rPr>
        <w:t xml:space="preserve"> Society</w:t>
      </w:r>
      <w:r w:rsidRPr="0060682B">
        <w:rPr>
          <w:rFonts w:ascii="Times" w:hAnsi="Times"/>
          <w:sz w:val="24"/>
        </w:rPr>
        <w:t>. 50(6): 1558-1574.</w:t>
      </w:r>
    </w:p>
    <w:p w14:paraId="5513BB48" w14:textId="77777777" w:rsidR="00A1704C" w:rsidRDefault="00A1704C" w:rsidP="00B47524">
      <w:pPr>
        <w:pStyle w:val="Normal1"/>
        <w:rPr>
          <w:rFonts w:ascii="Times" w:hAnsi="Times"/>
          <w:sz w:val="24"/>
        </w:rPr>
      </w:pPr>
    </w:p>
    <w:p w14:paraId="5612631F" w14:textId="65A34F0F" w:rsidR="00A1704C" w:rsidRDefault="00A1704C" w:rsidP="00B47524">
      <w:pPr>
        <w:pStyle w:val="Normal1"/>
        <w:rPr>
          <w:rFonts w:ascii="Times" w:hAnsi="Times"/>
          <w:sz w:val="24"/>
        </w:rPr>
      </w:pPr>
      <w:r>
        <w:rPr>
          <w:rFonts w:ascii="Times" w:hAnsi="Times"/>
          <w:sz w:val="24"/>
        </w:rPr>
        <w:t xml:space="preserve">Jessup, B., Pappani, J. 2015. Combination of biological and habitat indices for assessment of Idaho streams. </w:t>
      </w:r>
      <w:r>
        <w:rPr>
          <w:rFonts w:ascii="Times" w:hAnsi="Times"/>
          <w:i/>
          <w:iCs/>
          <w:sz w:val="24"/>
        </w:rPr>
        <w:t>Journal of the American Water Resources Association</w:t>
      </w:r>
      <w:r>
        <w:rPr>
          <w:rFonts w:ascii="Times" w:hAnsi="Times"/>
          <w:sz w:val="24"/>
        </w:rPr>
        <w:t>. 51(5): 1408-1417.</w:t>
      </w:r>
    </w:p>
    <w:p w14:paraId="758BC6DD" w14:textId="77777777" w:rsidR="00B47524" w:rsidRDefault="00B47524" w:rsidP="00BA1BCF">
      <w:pPr>
        <w:rPr>
          <w:rFonts w:ascii="Arial" w:hAnsi="Arial" w:cs="Arial"/>
          <w:sz w:val="14"/>
          <w:szCs w:val="14"/>
        </w:rPr>
      </w:pPr>
    </w:p>
    <w:p w14:paraId="0B15CBF1" w14:textId="77777777" w:rsidR="003C7E5B" w:rsidRDefault="003C7E5B" w:rsidP="002E40F4">
      <w:pPr>
        <w:pStyle w:val="Normal1"/>
        <w:rPr>
          <w:rFonts w:ascii="Times" w:hAnsi="Times"/>
          <w:sz w:val="24"/>
        </w:rPr>
      </w:pPr>
    </w:p>
    <w:p w14:paraId="1C42E5BE" w14:textId="77777777" w:rsidR="003C7E5B" w:rsidRDefault="003C7E5B" w:rsidP="003C7E5B">
      <w:pPr>
        <w:pStyle w:val="Normal1"/>
        <w:rPr>
          <w:rFonts w:ascii="Times" w:hAnsi="Times"/>
          <w:sz w:val="24"/>
        </w:rPr>
      </w:pPr>
      <w:r w:rsidRPr="0060682B">
        <w:rPr>
          <w:rFonts w:ascii="Times" w:hAnsi="Times"/>
          <w:sz w:val="24"/>
        </w:rPr>
        <w:lastRenderedPageBreak/>
        <w:t>Miller, S.W., N. Cappuccio, J. Courtwright, L. Littlejohn, B. Bohn. 2021. A Statewide Assessment of BLM-Managed Streams and Rivers in Idaho. U.S. Department of the Interior, Bureau of Land Management, National Operations Center, Lakewood, Colorado.</w:t>
      </w:r>
    </w:p>
    <w:p w14:paraId="7DD62B2A" w14:textId="77777777" w:rsidR="003C7E5B" w:rsidRDefault="003C7E5B" w:rsidP="002E40F4">
      <w:pPr>
        <w:pStyle w:val="Normal1"/>
        <w:rPr>
          <w:rFonts w:ascii="Times" w:hAnsi="Times"/>
          <w:sz w:val="24"/>
        </w:rPr>
      </w:pPr>
    </w:p>
    <w:p w14:paraId="02A2D66E" w14:textId="5A0E8409" w:rsidR="00B6286B" w:rsidRDefault="002E40F4" w:rsidP="002E40F4">
      <w:pPr>
        <w:pStyle w:val="Normal1"/>
        <w:rPr>
          <w:rFonts w:ascii="Times" w:hAnsi="Times"/>
          <w:sz w:val="24"/>
        </w:rPr>
      </w:pPr>
      <w:r w:rsidRPr="0060682B">
        <w:rPr>
          <w:rFonts w:ascii="Times" w:hAnsi="Times"/>
          <w:sz w:val="24"/>
        </w:rPr>
        <w:t xml:space="preserve">Relyea, C., Minshall, G.W., Danehy, R.J. 2012. Development and validation of an aquatic fine sediment biotic index. </w:t>
      </w:r>
      <w:r w:rsidRPr="0060682B">
        <w:rPr>
          <w:rFonts w:ascii="Times" w:hAnsi="Times"/>
          <w:i/>
          <w:iCs/>
          <w:sz w:val="24"/>
        </w:rPr>
        <w:t>Environmental Management</w:t>
      </w:r>
      <w:r w:rsidRPr="0060682B">
        <w:rPr>
          <w:rFonts w:ascii="Times" w:hAnsi="Times"/>
          <w:sz w:val="24"/>
        </w:rPr>
        <w:t xml:space="preserve"> 49: 242-252.</w:t>
      </w:r>
    </w:p>
    <w:p w14:paraId="781D3B5E" w14:textId="77777777" w:rsidR="003C7E5B" w:rsidRDefault="003C7E5B" w:rsidP="002E40F4">
      <w:pPr>
        <w:pStyle w:val="Normal1"/>
        <w:rPr>
          <w:rFonts w:ascii="Times" w:hAnsi="Times"/>
          <w:sz w:val="24"/>
        </w:rPr>
      </w:pPr>
    </w:p>
    <w:p w14:paraId="29985166" w14:textId="0337BC40" w:rsidR="00D907D4" w:rsidRPr="007B47D2" w:rsidRDefault="00054BC0" w:rsidP="00BA1BCF">
      <w:pPr>
        <w:rPr>
          <w:rFonts w:ascii="Times New Roman" w:hAnsi="Times New Roman" w:cs="Times New Roman"/>
          <w:sz w:val="14"/>
          <w:szCs w:val="14"/>
        </w:rPr>
      </w:pPr>
      <w:r w:rsidRPr="007B47D2">
        <w:rPr>
          <w:rFonts w:ascii="Times New Roman" w:hAnsi="Times New Roman" w:cs="Times New Roman"/>
        </w:rPr>
        <w:t>U. S. Forest Service and Bureau of Land Management</w:t>
      </w:r>
      <w:r>
        <w:rPr>
          <w:rFonts w:ascii="Times New Roman" w:hAnsi="Times New Roman" w:cs="Times New Roman"/>
        </w:rPr>
        <w:t xml:space="preserve">. 1997. </w:t>
      </w:r>
      <w:r w:rsidR="007B47D2" w:rsidRPr="007B47D2">
        <w:rPr>
          <w:rFonts w:ascii="Times New Roman" w:hAnsi="Times New Roman" w:cs="Times New Roman"/>
        </w:rPr>
        <w:t>Interior Columbia Basin Ecosystem Management Project</w:t>
      </w:r>
      <w:r w:rsidR="000D6825">
        <w:rPr>
          <w:rFonts w:ascii="Times New Roman" w:hAnsi="Times New Roman" w:cs="Times New Roman"/>
        </w:rPr>
        <w:t xml:space="preserve"> (ICBEM)</w:t>
      </w:r>
      <w:r w:rsidR="007B47D2" w:rsidRPr="007B47D2">
        <w:rPr>
          <w:rFonts w:ascii="Times New Roman" w:hAnsi="Times New Roman" w:cs="Times New Roman"/>
        </w:rPr>
        <w:t>. Upper Columbia River basin draft environmental impact statement. Boise, ID.</w:t>
      </w:r>
    </w:p>
    <w:p w14:paraId="55A197D1" w14:textId="15A4382A" w:rsidR="00817D4D" w:rsidRDefault="00817D4D" w:rsidP="00BA1BCF">
      <w:pPr>
        <w:rPr>
          <w:rFonts w:ascii="Times New Roman" w:hAnsi="Times New Roman" w:cs="Times New Roman"/>
        </w:rPr>
      </w:pPr>
      <w:r w:rsidRPr="00817D4D">
        <w:rPr>
          <w:rFonts w:ascii="Times New Roman" w:hAnsi="Times New Roman" w:cs="Times New Roman"/>
        </w:rPr>
        <w:t>USDA-FS, USDI-BLM, NOAA Fisheries, and U.S. Fish and Wildlife Service (North Central Idaho Level 1 Team). 1998. Matrix of pathways and indicators of watershed conditions for Chinook salmon, steelhead trout, and bull trout - local adaptation for portions of the Clearwater Basin and Lower Salmon. U. S. Forest Service, Clearwater National Forest, Nez Perce National Forest, and Bitterroot National Forest, and Bureau of Land Management, Cottonwood Field Office, Orofino and Grangeville, ID, Hamilton, MT, and Cottonwood, ID.</w:t>
      </w:r>
    </w:p>
    <w:p w14:paraId="31CEDFAC" w14:textId="5C4C7248" w:rsidR="00953932" w:rsidRDefault="00953932" w:rsidP="00BA1BCF">
      <w:pPr>
        <w:rPr>
          <w:rFonts w:ascii="Times New Roman" w:hAnsi="Times New Roman" w:cs="Times New Roman"/>
        </w:rPr>
      </w:pPr>
      <w:r>
        <w:rPr>
          <w:rFonts w:ascii="Times New Roman" w:hAnsi="Times New Roman" w:cs="Times New Roman"/>
        </w:rPr>
        <w:t xml:space="preserve">U.S. Forest Service, 1995. Inland Native Fish Strategy Environmental Assessment Decision Notice and Finding of No Significant Impact. Intermountain, Northern, and Pacific West Regions. </w:t>
      </w:r>
    </w:p>
    <w:p w14:paraId="63108FEC" w14:textId="19218632" w:rsidR="003C7E5B" w:rsidRDefault="003C7E5B" w:rsidP="00BA1BCF">
      <w:pPr>
        <w:rPr>
          <w:rFonts w:ascii="Times New Roman" w:hAnsi="Times New Roman" w:cs="Times New Roman"/>
        </w:rPr>
      </w:pPr>
      <w:r>
        <w:rPr>
          <w:rFonts w:ascii="Times New Roman" w:hAnsi="Times New Roman" w:cs="Times New Roman"/>
        </w:rPr>
        <w:t xml:space="preserve">National Marine Fisheries Service (NMFS), 1996. Making endangered species act determinations of effect for individual or grouped actions at the watershed scale. Augus 1996. NMFS Environmental and Technical Services Division. Habitat Conservation Branch. </w:t>
      </w:r>
    </w:p>
    <w:p w14:paraId="530B70F8" w14:textId="1CDCB6C5" w:rsidR="000406DE" w:rsidRDefault="000406DE" w:rsidP="00BA1BCF"/>
    <w:sectPr w:rsidR="0004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05D65"/>
    <w:multiLevelType w:val="hybridMultilevel"/>
    <w:tmpl w:val="4DAE6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36E85"/>
    <w:multiLevelType w:val="hybridMultilevel"/>
    <w:tmpl w:val="78EC81DC"/>
    <w:lvl w:ilvl="0" w:tplc="C24E9D70">
      <w:start w:val="200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09541">
    <w:abstractNumId w:val="0"/>
  </w:num>
  <w:num w:numId="2" w16cid:durableId="207003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EE"/>
    <w:rsid w:val="00001D20"/>
    <w:rsid w:val="00023562"/>
    <w:rsid w:val="000406DE"/>
    <w:rsid w:val="00054BC0"/>
    <w:rsid w:val="000728DD"/>
    <w:rsid w:val="00086A65"/>
    <w:rsid w:val="00087FFC"/>
    <w:rsid w:val="000A78D6"/>
    <w:rsid w:val="000D6825"/>
    <w:rsid w:val="000E3AF1"/>
    <w:rsid w:val="000E6AB3"/>
    <w:rsid w:val="001158A6"/>
    <w:rsid w:val="0014274B"/>
    <w:rsid w:val="00182A29"/>
    <w:rsid w:val="001B3B21"/>
    <w:rsid w:val="0020330E"/>
    <w:rsid w:val="00216228"/>
    <w:rsid w:val="0022054C"/>
    <w:rsid w:val="002421EB"/>
    <w:rsid w:val="002D4682"/>
    <w:rsid w:val="002E40F4"/>
    <w:rsid w:val="003302F3"/>
    <w:rsid w:val="0033145A"/>
    <w:rsid w:val="00334F8C"/>
    <w:rsid w:val="00341F37"/>
    <w:rsid w:val="00350FA3"/>
    <w:rsid w:val="00390474"/>
    <w:rsid w:val="003C046C"/>
    <w:rsid w:val="003C7E5B"/>
    <w:rsid w:val="003D43EA"/>
    <w:rsid w:val="005609CB"/>
    <w:rsid w:val="00587DFC"/>
    <w:rsid w:val="005C740D"/>
    <w:rsid w:val="005D1C8D"/>
    <w:rsid w:val="00602DDE"/>
    <w:rsid w:val="006177A3"/>
    <w:rsid w:val="0063388F"/>
    <w:rsid w:val="00643FD0"/>
    <w:rsid w:val="00690660"/>
    <w:rsid w:val="00692037"/>
    <w:rsid w:val="006A3A91"/>
    <w:rsid w:val="006B26E5"/>
    <w:rsid w:val="006D0271"/>
    <w:rsid w:val="00713383"/>
    <w:rsid w:val="00734095"/>
    <w:rsid w:val="00745CE4"/>
    <w:rsid w:val="00746734"/>
    <w:rsid w:val="00754593"/>
    <w:rsid w:val="00757193"/>
    <w:rsid w:val="007912B2"/>
    <w:rsid w:val="007B47D2"/>
    <w:rsid w:val="007E67C2"/>
    <w:rsid w:val="00814233"/>
    <w:rsid w:val="00817D4D"/>
    <w:rsid w:val="00860164"/>
    <w:rsid w:val="00862B65"/>
    <w:rsid w:val="008923C6"/>
    <w:rsid w:val="008E2DB8"/>
    <w:rsid w:val="008F14A7"/>
    <w:rsid w:val="009224C8"/>
    <w:rsid w:val="00953932"/>
    <w:rsid w:val="00953F8C"/>
    <w:rsid w:val="00966BB6"/>
    <w:rsid w:val="00974B70"/>
    <w:rsid w:val="009A327C"/>
    <w:rsid w:val="00A16C2D"/>
    <w:rsid w:val="00A1704C"/>
    <w:rsid w:val="00A456CA"/>
    <w:rsid w:val="00B203EE"/>
    <w:rsid w:val="00B32601"/>
    <w:rsid w:val="00B47524"/>
    <w:rsid w:val="00B6286B"/>
    <w:rsid w:val="00B67E27"/>
    <w:rsid w:val="00B74ADD"/>
    <w:rsid w:val="00BA1BCF"/>
    <w:rsid w:val="00BC26D4"/>
    <w:rsid w:val="00BC5E1A"/>
    <w:rsid w:val="00BC6C38"/>
    <w:rsid w:val="00BD0524"/>
    <w:rsid w:val="00C1121F"/>
    <w:rsid w:val="00C1757A"/>
    <w:rsid w:val="00C62D11"/>
    <w:rsid w:val="00C673F0"/>
    <w:rsid w:val="00CA7C05"/>
    <w:rsid w:val="00CF0BA5"/>
    <w:rsid w:val="00CF1969"/>
    <w:rsid w:val="00D37C86"/>
    <w:rsid w:val="00D51C72"/>
    <w:rsid w:val="00D538F7"/>
    <w:rsid w:val="00D56C6E"/>
    <w:rsid w:val="00D907D4"/>
    <w:rsid w:val="00DB502C"/>
    <w:rsid w:val="00DE32BA"/>
    <w:rsid w:val="00DE6F5D"/>
    <w:rsid w:val="00E06AAA"/>
    <w:rsid w:val="00E20C51"/>
    <w:rsid w:val="00E83779"/>
    <w:rsid w:val="00E9159A"/>
    <w:rsid w:val="00E93B38"/>
    <w:rsid w:val="00EE7363"/>
    <w:rsid w:val="00EF4AC0"/>
    <w:rsid w:val="00F800B0"/>
    <w:rsid w:val="00FC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159A"/>
  <w15:chartTrackingRefBased/>
  <w15:docId w15:val="{37DCDF8C-9176-437C-9981-30DEDACE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45A"/>
    <w:pPr>
      <w:ind w:left="720"/>
      <w:contextualSpacing/>
    </w:pPr>
  </w:style>
  <w:style w:type="character" w:styleId="Hyperlink">
    <w:name w:val="Hyperlink"/>
    <w:basedOn w:val="DefaultParagraphFont"/>
    <w:uiPriority w:val="99"/>
    <w:unhideWhenUsed/>
    <w:rsid w:val="00023562"/>
    <w:rPr>
      <w:color w:val="0000FF" w:themeColor="hyperlink"/>
      <w:u w:val="single"/>
    </w:rPr>
  </w:style>
  <w:style w:type="character" w:styleId="UnresolvedMention">
    <w:name w:val="Unresolved Mention"/>
    <w:basedOn w:val="DefaultParagraphFont"/>
    <w:uiPriority w:val="99"/>
    <w:semiHidden/>
    <w:unhideWhenUsed/>
    <w:rsid w:val="00023562"/>
    <w:rPr>
      <w:color w:val="605E5C"/>
      <w:shd w:val="clear" w:color="auto" w:fill="E1DFDD"/>
    </w:rPr>
  </w:style>
  <w:style w:type="character" w:styleId="CommentReference">
    <w:name w:val="annotation reference"/>
    <w:basedOn w:val="DefaultParagraphFont"/>
    <w:uiPriority w:val="99"/>
    <w:semiHidden/>
    <w:unhideWhenUsed/>
    <w:rsid w:val="00746734"/>
    <w:rPr>
      <w:sz w:val="16"/>
      <w:szCs w:val="16"/>
    </w:rPr>
  </w:style>
  <w:style w:type="paragraph" w:styleId="CommentText">
    <w:name w:val="annotation text"/>
    <w:basedOn w:val="Normal"/>
    <w:link w:val="CommentTextChar"/>
    <w:uiPriority w:val="99"/>
    <w:semiHidden/>
    <w:unhideWhenUsed/>
    <w:rsid w:val="00746734"/>
    <w:pPr>
      <w:spacing w:line="240" w:lineRule="auto"/>
    </w:pPr>
    <w:rPr>
      <w:sz w:val="20"/>
      <w:szCs w:val="20"/>
    </w:rPr>
  </w:style>
  <w:style w:type="character" w:customStyle="1" w:styleId="CommentTextChar">
    <w:name w:val="Comment Text Char"/>
    <w:basedOn w:val="DefaultParagraphFont"/>
    <w:link w:val="CommentText"/>
    <w:uiPriority w:val="99"/>
    <w:semiHidden/>
    <w:rsid w:val="00746734"/>
    <w:rPr>
      <w:sz w:val="20"/>
      <w:szCs w:val="20"/>
    </w:rPr>
  </w:style>
  <w:style w:type="paragraph" w:styleId="CommentSubject">
    <w:name w:val="annotation subject"/>
    <w:basedOn w:val="CommentText"/>
    <w:next w:val="CommentText"/>
    <w:link w:val="CommentSubjectChar"/>
    <w:uiPriority w:val="99"/>
    <w:semiHidden/>
    <w:unhideWhenUsed/>
    <w:rsid w:val="00746734"/>
    <w:rPr>
      <w:b/>
      <w:bCs/>
    </w:rPr>
  </w:style>
  <w:style w:type="character" w:customStyle="1" w:styleId="CommentSubjectChar">
    <w:name w:val="Comment Subject Char"/>
    <w:basedOn w:val="CommentTextChar"/>
    <w:link w:val="CommentSubject"/>
    <w:uiPriority w:val="99"/>
    <w:semiHidden/>
    <w:rsid w:val="00746734"/>
    <w:rPr>
      <w:b/>
      <w:bCs/>
      <w:sz w:val="20"/>
      <w:szCs w:val="20"/>
    </w:rPr>
  </w:style>
  <w:style w:type="paragraph" w:styleId="BalloonText">
    <w:name w:val="Balloon Text"/>
    <w:basedOn w:val="Normal"/>
    <w:link w:val="BalloonTextChar"/>
    <w:uiPriority w:val="99"/>
    <w:semiHidden/>
    <w:unhideWhenUsed/>
    <w:rsid w:val="00746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34"/>
    <w:rPr>
      <w:rFonts w:ascii="Segoe UI" w:hAnsi="Segoe UI" w:cs="Segoe UI"/>
      <w:sz w:val="18"/>
      <w:szCs w:val="18"/>
    </w:rPr>
  </w:style>
  <w:style w:type="paragraph" w:styleId="Revision">
    <w:name w:val="Revision"/>
    <w:hidden/>
    <w:uiPriority w:val="99"/>
    <w:semiHidden/>
    <w:rsid w:val="00DB502C"/>
    <w:pPr>
      <w:spacing w:after="0" w:line="240" w:lineRule="auto"/>
    </w:pPr>
  </w:style>
  <w:style w:type="table" w:customStyle="1" w:styleId="TableGrid4">
    <w:name w:val="Table Grid4"/>
    <w:basedOn w:val="TableNormal"/>
    <w:next w:val="TableGrid"/>
    <w:uiPriority w:val="59"/>
    <w:rsid w:val="0060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1969"/>
    <w:pPr>
      <w:spacing w:before="60" w:after="60" w:line="240" w:lineRule="auto"/>
    </w:pPr>
    <w:rPr>
      <w:rFonts w:ascii="Arial" w:hAnsi="Arial"/>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7E27"/>
    <w:pPr>
      <w:spacing w:after="0"/>
      <w:contextualSpacing/>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s://archive.epa.gov/emap/archive-emap/web/pdf/icbfinal07.pdf"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github.com/jjwill2/FSBI_calculato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Williams</dc:creator>
  <cp:keywords/>
  <dc:description/>
  <cp:lastModifiedBy>Jason Williams</cp:lastModifiedBy>
  <cp:revision>45</cp:revision>
  <dcterms:created xsi:type="dcterms:W3CDTF">2024-04-09T21:09:00Z</dcterms:created>
  <dcterms:modified xsi:type="dcterms:W3CDTF">2024-05-29T20:55:00Z</dcterms:modified>
</cp:coreProperties>
</file>