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Database </w:t>
      </w:r>
      <w:r>
        <w:rPr>
          <w:rFonts w:hint="default" w:ascii="Times New Roman" w:hAnsi="Times New Roman" w:eastAsia="宋体" w:cs="Times New Roman"/>
          <w:sz w:val="28"/>
          <w:szCs w:val="28"/>
        </w:rPr>
        <w:t>interpretation</w:t>
      </w:r>
    </w:p>
    <w:p>
      <w:p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Sex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means genders;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means depression;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means anxiety; </w:t>
      </w:r>
    </w:p>
    <w:p>
      <w:p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NSSI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means non-suicidal self injury. </w:t>
      </w: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means The first point in time;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means The second point in time.</w:t>
      </w:r>
    </w:p>
    <w:p>
      <w:p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sex:1 =“boy”, 2=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“girl”.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T1D1-T1D6: 0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not at all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1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A little bit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2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Moderately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3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Quite a bit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4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extremely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T1A1-T1A6:0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not at all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1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A little bit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2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Moderately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3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Quite a bit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4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extremely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T1NSSI1-T1NSSI12: 0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never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1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once in a while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2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“now and then”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3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frequent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4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always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T2D1-T2D6: 0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not at all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1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A little bit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2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Moderately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3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Quite a bit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4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extremely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T2A1-T2A6:0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not at all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1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A little bit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2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Moderately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3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Quite a bit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4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extremely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T2NSSI1-T2NSSI12: 0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never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1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once in a while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2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“now and then”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3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frequent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; 4 =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always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T1D = total depression scores in T1;T2D = total depression scores in T2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T1A = total anxiety scores in T1;T2A = total anxiety scores in T2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T1NSSI = total non-suicidal self injury scores in T1;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T2NSSI = total non-suicidal self injury scores in T2</w:t>
      </w: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WUyYWFkMzM5NjZkZTRkZWNhNWY4YWQ3NWMzZmEifQ=="/>
  </w:docVars>
  <w:rsids>
    <w:rsidRoot w:val="1B4F7BD6"/>
    <w:rsid w:val="1B4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2024-05-05T01:45:00Z</dcterms:created>
  <dc:creator>马里奥K</dc:creator>
  <cp:lastModifiedBy>马里奥K</cp:lastModifiedBy>
  <dcterms:modified xsi:type="dcterms:W3CDTF">2024-05-05T02:24:03Z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D3BD127D2AD74F7395AE5B68C3B9FEF1_11</vt:lpwstr>
  </property>
</Properties>
</file>