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F986"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5194971"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C107A5B" w14:textId="77777777" w:rsidTr="00E341E9">
        <w:tc>
          <w:tcPr>
            <w:tcW w:w="1951" w:type="dxa"/>
          </w:tcPr>
          <w:p w14:paraId="162363FF"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6BFEF59"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C4E0EA2"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09944CD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1955CFC5"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B6EA28F" w14:textId="77777777" w:rsidTr="00E341E9">
        <w:tc>
          <w:tcPr>
            <w:tcW w:w="1951" w:type="dxa"/>
            <w:vMerge w:val="restart"/>
          </w:tcPr>
          <w:p w14:paraId="6F32BAF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83B81A2" w14:textId="77777777" w:rsidR="00191A23" w:rsidRPr="0022554A" w:rsidRDefault="00191A23" w:rsidP="0022554A">
            <w:pPr>
              <w:tabs>
                <w:tab w:val="left" w:pos="5400"/>
              </w:tabs>
              <w:jc w:val="center"/>
              <w:rPr>
                <w:sz w:val="20"/>
              </w:rPr>
            </w:pPr>
            <w:r w:rsidRPr="0022554A">
              <w:rPr>
                <w:sz w:val="20"/>
              </w:rPr>
              <w:t>1</w:t>
            </w:r>
          </w:p>
        </w:tc>
        <w:tc>
          <w:tcPr>
            <w:tcW w:w="8031" w:type="dxa"/>
          </w:tcPr>
          <w:p w14:paraId="6DE8C68A"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1615A029" w14:textId="74D8B14B" w:rsidR="00191A23" w:rsidRPr="0022554A" w:rsidRDefault="00182EE4" w:rsidP="0022554A">
            <w:pPr>
              <w:tabs>
                <w:tab w:val="left" w:pos="5400"/>
              </w:tabs>
              <w:rPr>
                <w:sz w:val="20"/>
                <w:lang w:eastAsia="ja-JP"/>
              </w:rPr>
            </w:pPr>
            <w:r>
              <w:rPr>
                <w:rFonts w:hint="eastAsia"/>
                <w:sz w:val="20"/>
                <w:lang w:eastAsia="ja-JP"/>
              </w:rPr>
              <w:t>1</w:t>
            </w:r>
          </w:p>
        </w:tc>
        <w:tc>
          <w:tcPr>
            <w:tcW w:w="2835" w:type="dxa"/>
          </w:tcPr>
          <w:p w14:paraId="56ADFA78" w14:textId="06D57708" w:rsidR="00191A23" w:rsidRPr="0022554A" w:rsidRDefault="00F54D30" w:rsidP="0022554A">
            <w:pPr>
              <w:tabs>
                <w:tab w:val="left" w:pos="5400"/>
              </w:tabs>
              <w:rPr>
                <w:sz w:val="20"/>
                <w:lang w:eastAsia="ja-JP"/>
              </w:rPr>
            </w:pPr>
            <w:r w:rsidRPr="00F54D30">
              <w:rPr>
                <w:sz w:val="20"/>
              </w:rPr>
              <w:t>Reliability and utility of blood glucose levels in the periodontal pockets of patients with type 2 diabetes mellitus</w:t>
            </w:r>
            <w:r w:rsidR="0005491B">
              <w:rPr>
                <w:rFonts w:hint="eastAsia"/>
                <w:sz w:val="20"/>
                <w:lang w:eastAsia="ja-JP"/>
              </w:rPr>
              <w:t xml:space="preserve">: </w:t>
            </w:r>
            <w:r w:rsidR="00CF0985">
              <w:rPr>
                <w:rFonts w:hint="eastAsia"/>
                <w:sz w:val="20"/>
                <w:lang w:eastAsia="ja-JP"/>
              </w:rPr>
              <w:t xml:space="preserve">a </w:t>
            </w:r>
            <w:r w:rsidR="00DA3112">
              <w:rPr>
                <w:rFonts w:hint="eastAsia"/>
                <w:sz w:val="20"/>
                <w:lang w:eastAsia="ja-JP"/>
              </w:rPr>
              <w:t>cross-sectional study.</w:t>
            </w:r>
          </w:p>
        </w:tc>
      </w:tr>
      <w:tr w:rsidR="00191A23" w:rsidRPr="0022554A" w14:paraId="48B29F6A" w14:textId="77777777" w:rsidTr="00E341E9">
        <w:tc>
          <w:tcPr>
            <w:tcW w:w="1951" w:type="dxa"/>
            <w:vMerge/>
          </w:tcPr>
          <w:p w14:paraId="0E5F4768"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78431334" w14:textId="77777777" w:rsidR="00191A23" w:rsidRPr="0022554A" w:rsidRDefault="00191A23" w:rsidP="0022554A">
            <w:pPr>
              <w:tabs>
                <w:tab w:val="left" w:pos="5400"/>
              </w:tabs>
              <w:jc w:val="center"/>
              <w:rPr>
                <w:sz w:val="20"/>
              </w:rPr>
            </w:pPr>
          </w:p>
        </w:tc>
        <w:tc>
          <w:tcPr>
            <w:tcW w:w="8031" w:type="dxa"/>
          </w:tcPr>
          <w:p w14:paraId="4044BB7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27D8643A" w14:textId="54EF8799" w:rsidR="00191A23" w:rsidRPr="0022554A" w:rsidRDefault="00182EE4" w:rsidP="0022554A">
            <w:pPr>
              <w:tabs>
                <w:tab w:val="left" w:pos="5400"/>
              </w:tabs>
              <w:rPr>
                <w:sz w:val="20"/>
                <w:lang w:eastAsia="ja-JP"/>
              </w:rPr>
            </w:pPr>
            <w:r>
              <w:rPr>
                <w:rFonts w:hint="eastAsia"/>
                <w:sz w:val="20"/>
                <w:lang w:eastAsia="ja-JP"/>
              </w:rPr>
              <w:t>1</w:t>
            </w:r>
            <w:r w:rsidR="00321879">
              <w:rPr>
                <w:rFonts w:hint="eastAsia"/>
                <w:sz w:val="20"/>
                <w:lang w:eastAsia="ja-JP"/>
              </w:rPr>
              <w:t>-</w:t>
            </w:r>
            <w:r>
              <w:rPr>
                <w:rFonts w:hint="eastAsia"/>
                <w:sz w:val="20"/>
                <w:lang w:eastAsia="ja-JP"/>
              </w:rPr>
              <w:t>2</w:t>
            </w:r>
          </w:p>
        </w:tc>
        <w:tc>
          <w:tcPr>
            <w:tcW w:w="2835" w:type="dxa"/>
          </w:tcPr>
          <w:p w14:paraId="4D2ED2E4" w14:textId="77777777" w:rsidR="00B2377E" w:rsidRPr="00B2377E" w:rsidRDefault="00B2377E" w:rsidP="00B2377E">
            <w:pPr>
              <w:tabs>
                <w:tab w:val="left" w:pos="5400"/>
              </w:tabs>
              <w:rPr>
                <w:sz w:val="20"/>
                <w:lang w:eastAsia="ja-JP"/>
              </w:rPr>
            </w:pPr>
            <w:r w:rsidRPr="00B2377E">
              <w:rPr>
                <w:sz w:val="20"/>
                <w:lang w:eastAsia="ja-JP"/>
              </w:rPr>
              <w:t>Background. Several studies have measured gingival blood glucose (GBG) levels, but few have confirmed systematic bias using Bland–Altman analysis. This study compared the effectiveness of GBG levels with that of fingertip blood glucose (FTBG) levels using Bland–Altman and receiver operating characteristic (ROC) analyses.</w:t>
            </w:r>
          </w:p>
          <w:p w14:paraId="185D4095" w14:textId="03697DC7" w:rsidR="00B2377E" w:rsidRPr="00B2377E" w:rsidRDefault="00B2377E" w:rsidP="00B2377E">
            <w:pPr>
              <w:tabs>
                <w:tab w:val="left" w:pos="5400"/>
              </w:tabs>
              <w:rPr>
                <w:sz w:val="20"/>
                <w:lang w:eastAsia="ja-JP"/>
              </w:rPr>
            </w:pPr>
            <w:r w:rsidRPr="00B2377E">
              <w:rPr>
                <w:sz w:val="20"/>
                <w:lang w:eastAsia="ja-JP"/>
              </w:rPr>
              <w:t xml:space="preserve">Methods. A total of 15 healthy volunteers and 15 patients with type 2 diabetes were selected according to inclusion and exclusion criteria. Each group comprised eight male and seven female participants. The GBG and FTBG levels were measured using a self-monitoring blood glucose device after periodontal </w:t>
            </w:r>
            <w:r w:rsidRPr="00B2377E">
              <w:rPr>
                <w:sz w:val="20"/>
                <w:lang w:eastAsia="ja-JP"/>
              </w:rPr>
              <w:lastRenderedPageBreak/>
              <w:t xml:space="preserve">examination. </w:t>
            </w:r>
            <w:r w:rsidR="001171A2" w:rsidRPr="001171A2">
              <w:rPr>
                <w:sz w:val="20"/>
                <w:lang w:eastAsia="ja-JP"/>
              </w:rPr>
              <w:t>Pearson’s product‒moment correlation and simple linear regression analyses were performed. In addition, Bland‒Altman analysis was also performed to assess the degree of agreement between the two methods.</w:t>
            </w:r>
            <w:r w:rsidRPr="00B2377E">
              <w:rPr>
                <w:sz w:val="20"/>
                <w:lang w:eastAsia="ja-JP"/>
              </w:rPr>
              <w:t xml:space="preserve"> ROC analysis was conducted to determine the sensitivity, specificity, and cutoff values for patients with diabetes. The area under the ROC curve (AUC) was used to identify significant differences.</w:t>
            </w:r>
          </w:p>
          <w:p w14:paraId="4C83601B" w14:textId="77777777" w:rsidR="00B2377E" w:rsidRPr="00B2377E" w:rsidRDefault="00B2377E" w:rsidP="00B2377E">
            <w:pPr>
              <w:tabs>
                <w:tab w:val="left" w:pos="5400"/>
              </w:tabs>
              <w:rPr>
                <w:sz w:val="20"/>
                <w:lang w:eastAsia="ja-JP"/>
              </w:rPr>
            </w:pPr>
            <w:r w:rsidRPr="00B2377E">
              <w:rPr>
                <w:sz w:val="20"/>
                <w:lang w:eastAsia="ja-JP"/>
              </w:rPr>
              <w:t xml:space="preserve">Results. The mean GBG and FTBG levels were 120±44.8 mg/dL and 137±45.1, respectively, for the whole sample. The mean GBG and FTBG levels were 145±47.2 mg/dL and 163±49.1, respectively, in the diabetes group. The mean GBG and FTBG levels in the </w:t>
            </w:r>
            <w:proofErr w:type="spellStart"/>
            <w:r w:rsidRPr="00B2377E">
              <w:rPr>
                <w:sz w:val="20"/>
                <w:lang w:eastAsia="ja-JP"/>
              </w:rPr>
              <w:t>nondiabetes</w:t>
            </w:r>
            <w:proofErr w:type="spellEnd"/>
            <w:r w:rsidRPr="00B2377E">
              <w:rPr>
                <w:sz w:val="20"/>
                <w:lang w:eastAsia="ja-JP"/>
              </w:rPr>
              <w:t xml:space="preserve"> group were 95.3±25.2 and 111±18.8, respectively. Patients with diabetes were more likely to have a probing pocket depth (PPD) of ≥4 mm at the sampled site. Pearson’s product‒moment correlation and simple linear </w:t>
            </w:r>
            <w:r w:rsidRPr="00B2377E">
              <w:rPr>
                <w:sz w:val="20"/>
                <w:lang w:eastAsia="ja-JP"/>
              </w:rPr>
              <w:lastRenderedPageBreak/>
              <w:t>regression analyses revealed a significant correlation between the GBG and FTBG measurements. Bland–Altman analysis revealed that GBG and FTBG measurements differed significantly among all participants; however, no significant differences were observed among the patients with diabetes (mean difference [MD]±standard deviation [SD]=-18.1±34.2, 95% confidence interval (CI) [-37.0 to 0.88]) or among the participants with a PPD of ≥4 mm (MD±SD=-15.2±30.4, 95% CI [-30.8 to 0.43]). The sensitivity, specificity, and cutoff values of the GBG measurements for detecting diabetes were 80%, 93%, and 123.5 mg/dL, respectively. The sensitivity, specificity, and cutoff values of the FTBG measurements for detecting diabetes were 73%, 87%, and 134.0 mg/dL, respectively. No significant differences were observed between the AUCs (0.078, 95% CI [-0.006 to 0.161]).</w:t>
            </w:r>
          </w:p>
          <w:p w14:paraId="3389CE0D" w14:textId="0FEF483A" w:rsidR="00191A23" w:rsidRPr="00EE2972" w:rsidRDefault="00B2377E" w:rsidP="00B2377E">
            <w:pPr>
              <w:tabs>
                <w:tab w:val="left" w:pos="5400"/>
              </w:tabs>
              <w:rPr>
                <w:sz w:val="20"/>
                <w:lang w:eastAsia="ja-JP"/>
              </w:rPr>
            </w:pPr>
            <w:r w:rsidRPr="00B2377E">
              <w:rPr>
                <w:sz w:val="20"/>
                <w:lang w:eastAsia="ja-JP"/>
              </w:rPr>
              <w:lastRenderedPageBreak/>
              <w:t xml:space="preserve">Conclusions. </w:t>
            </w:r>
            <w:r w:rsidR="00E80C39" w:rsidRPr="00E80C39">
              <w:rPr>
                <w:sz w:val="20"/>
                <w:lang w:eastAsia="ja-JP"/>
              </w:rPr>
              <w:t xml:space="preserve">The GBG measurements aligned with the FTBG measurements in the patients with diabetes and among the participants with a PPD of ≥4 mm. Patients with diabetes were more likely to have a PPD of ≥4 mm at the sampled site, GBG levels can be used to screen for type 2 diabetes in dental clinics. </w:t>
            </w:r>
          </w:p>
        </w:tc>
      </w:tr>
      <w:tr w:rsidR="00191A23" w:rsidRPr="0022554A" w14:paraId="02D5BFE7" w14:textId="77777777" w:rsidTr="00E341E9">
        <w:tc>
          <w:tcPr>
            <w:tcW w:w="12157" w:type="dxa"/>
            <w:gridSpan w:val="4"/>
          </w:tcPr>
          <w:p w14:paraId="079A856B"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2835" w:type="dxa"/>
          </w:tcPr>
          <w:p w14:paraId="4DFD2087" w14:textId="77777777" w:rsidR="00191A23" w:rsidRPr="0022554A" w:rsidRDefault="00191A23" w:rsidP="0022554A">
            <w:pPr>
              <w:pStyle w:val="TableSubHead"/>
              <w:tabs>
                <w:tab w:val="left" w:pos="5400"/>
              </w:tabs>
              <w:rPr>
                <w:sz w:val="20"/>
              </w:rPr>
            </w:pPr>
          </w:p>
        </w:tc>
      </w:tr>
      <w:tr w:rsidR="00191A23" w:rsidRPr="0022554A" w14:paraId="4884B737" w14:textId="77777777" w:rsidTr="00E341E9">
        <w:tc>
          <w:tcPr>
            <w:tcW w:w="1951" w:type="dxa"/>
          </w:tcPr>
          <w:p w14:paraId="5D2FA0C3"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7373A41" w14:textId="77777777" w:rsidR="00191A23" w:rsidRPr="0022554A" w:rsidRDefault="00191A23" w:rsidP="0022554A">
            <w:pPr>
              <w:tabs>
                <w:tab w:val="left" w:pos="5400"/>
              </w:tabs>
              <w:jc w:val="center"/>
              <w:rPr>
                <w:sz w:val="20"/>
              </w:rPr>
            </w:pPr>
            <w:r w:rsidRPr="0022554A">
              <w:rPr>
                <w:sz w:val="20"/>
              </w:rPr>
              <w:t>2</w:t>
            </w:r>
          </w:p>
        </w:tc>
        <w:tc>
          <w:tcPr>
            <w:tcW w:w="8031" w:type="dxa"/>
          </w:tcPr>
          <w:p w14:paraId="6CC278D2"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7BA20CBE" w14:textId="11CAEEDF" w:rsidR="00191A23" w:rsidRPr="0022554A" w:rsidRDefault="00527005" w:rsidP="0022554A">
            <w:pPr>
              <w:tabs>
                <w:tab w:val="left" w:pos="5400"/>
              </w:tabs>
              <w:rPr>
                <w:sz w:val="20"/>
                <w:lang w:eastAsia="ja-JP"/>
              </w:rPr>
            </w:pPr>
            <w:r>
              <w:rPr>
                <w:rFonts w:hint="eastAsia"/>
                <w:sz w:val="20"/>
                <w:lang w:eastAsia="ja-JP"/>
              </w:rPr>
              <w:t>2</w:t>
            </w:r>
            <w:r w:rsidR="00A539AE">
              <w:rPr>
                <w:rFonts w:hint="eastAsia"/>
                <w:sz w:val="20"/>
                <w:lang w:eastAsia="ja-JP"/>
              </w:rPr>
              <w:t>-</w:t>
            </w:r>
            <w:r w:rsidR="000908E8">
              <w:rPr>
                <w:rFonts w:hint="eastAsia"/>
                <w:sz w:val="20"/>
                <w:lang w:eastAsia="ja-JP"/>
              </w:rPr>
              <w:t>4</w:t>
            </w:r>
          </w:p>
        </w:tc>
        <w:tc>
          <w:tcPr>
            <w:tcW w:w="2835" w:type="dxa"/>
          </w:tcPr>
          <w:p w14:paraId="0E18C116" w14:textId="220CD59D" w:rsidR="00382659" w:rsidRPr="00382659" w:rsidRDefault="00382659" w:rsidP="00382659">
            <w:pPr>
              <w:pStyle w:val="11"/>
              <w:rPr>
                <w:rFonts w:ascii="Times New Roman" w:hAnsi="Times New Roman" w:cs="Times New Roman"/>
                <w:color w:val="000000" w:themeColor="text1"/>
                <w:sz w:val="20"/>
                <w:szCs w:val="20"/>
                <w:lang w:eastAsia="ja-JP"/>
              </w:rPr>
            </w:pPr>
            <w:r w:rsidRPr="00382659">
              <w:rPr>
                <w:rFonts w:ascii="Times New Roman" w:hAnsi="Times New Roman" w:cs="Times New Roman"/>
                <w:color w:val="000000" w:themeColor="text1"/>
                <w:sz w:val="20"/>
                <w:szCs w:val="20"/>
                <w:lang w:eastAsia="ja-JP"/>
              </w:rPr>
              <w:t xml:space="preserve">Type 2 diabetes mellitus, characterized by chronic hyperglycemia, can cause complications if not properly treated. Moreover, there is a bidirectional relationship between periodontal disease and diabetes. Patients with diabetes are at high risk of developing periodontal disease and its progression, which in turn affects the progression of diabetes mellitus. Periodontal disease also affects the progression of diabetes mellitus (Graziani et al., 2018). Appropriate periodontal treatment plays an important role in managing patients with diabetes, as periodontal treatment improves insulin resistance and blood glucose </w:t>
            </w:r>
            <w:r w:rsidRPr="00382659">
              <w:rPr>
                <w:rFonts w:ascii="Times New Roman" w:hAnsi="Times New Roman" w:cs="Times New Roman"/>
                <w:color w:val="000000" w:themeColor="text1"/>
                <w:sz w:val="20"/>
                <w:szCs w:val="20"/>
                <w:lang w:eastAsia="ja-JP"/>
              </w:rPr>
              <w:lastRenderedPageBreak/>
              <w:t>management (Simpson et al., 2022). The guidelines for periodontal surgery and tooth extraction recommend that hemoglobin (Hb) A1c levels be maintained at 6.9% for patients with diabetes (Japanese Society of Periodontology, 2014). Furthermore, dental treatment must be postponed if the blood glucose levels are &gt;200 mg/dL or &lt;70 mg/dL (Little et al., 2017). However, measuring blood glucose levels using venous blood sampling is difficult in dental clinics; therefore, dental treatment commences based on physician information.</w:t>
            </w:r>
            <w:r w:rsidR="00B82D83">
              <w:rPr>
                <w:rFonts w:ascii="Times New Roman" w:hAnsi="Times New Roman" w:cs="Times New Roman" w:hint="eastAsia"/>
                <w:color w:val="000000" w:themeColor="text1"/>
                <w:sz w:val="20"/>
                <w:szCs w:val="20"/>
                <w:lang w:eastAsia="ja-JP"/>
              </w:rPr>
              <w:t xml:space="preserve"> </w:t>
            </w:r>
            <w:r w:rsidR="00B82D83" w:rsidRPr="00B82D83">
              <w:rPr>
                <w:rFonts w:ascii="Times New Roman" w:hAnsi="Times New Roman" w:cs="Times New Roman"/>
                <w:color w:val="000000" w:themeColor="text1"/>
                <w:sz w:val="20"/>
                <w:szCs w:val="20"/>
                <w:lang w:eastAsia="ja-JP"/>
              </w:rPr>
              <w:t xml:space="preserve">Given the recent relationship between periodontal disease and diabetes, the inability to measure blood glucose levels in the dental outpatient setting is a major problem. Bleeding from gingiva can be a promising resource for </w:t>
            </w:r>
            <w:r w:rsidR="00AA1208">
              <w:rPr>
                <w:rFonts w:ascii="Times New Roman" w:hAnsi="Times New Roman" w:cs="Times New Roman"/>
                <w:color w:val="000000" w:themeColor="text1"/>
                <w:sz w:val="20"/>
                <w:szCs w:val="20"/>
                <w:lang w:eastAsia="ja-JP"/>
              </w:rPr>
              <w:t>measuring</w:t>
            </w:r>
            <w:r w:rsidR="00B82D83" w:rsidRPr="00B82D83">
              <w:rPr>
                <w:rFonts w:ascii="Times New Roman" w:hAnsi="Times New Roman" w:cs="Times New Roman"/>
                <w:color w:val="000000" w:themeColor="text1"/>
                <w:sz w:val="20"/>
                <w:szCs w:val="20"/>
                <w:lang w:eastAsia="ja-JP"/>
              </w:rPr>
              <w:t xml:space="preserve"> blood glucose for dentists as it would be less burden on the patient. If gingival blood glucose measurements are consistent with those of the fingertip, blood glucose measurement from the gingiva can be incorporated into dental blood glucose measurement.</w:t>
            </w:r>
            <w:r w:rsidR="00B82D83">
              <w:rPr>
                <w:rFonts w:ascii="Times New Roman" w:hAnsi="Times New Roman" w:cs="Times New Roman" w:hint="eastAsia"/>
                <w:color w:val="000000" w:themeColor="text1"/>
                <w:sz w:val="20"/>
                <w:szCs w:val="20"/>
                <w:lang w:eastAsia="ja-JP"/>
              </w:rPr>
              <w:t xml:space="preserve"> </w:t>
            </w:r>
          </w:p>
          <w:p w14:paraId="66B4321F" w14:textId="77777777" w:rsidR="00382659" w:rsidRDefault="00382659" w:rsidP="00382659">
            <w:pPr>
              <w:pStyle w:val="11"/>
              <w:rPr>
                <w:rFonts w:ascii="Times New Roman" w:hAnsi="Times New Roman" w:cs="Times New Roman"/>
                <w:color w:val="000000" w:themeColor="text1"/>
                <w:sz w:val="20"/>
                <w:szCs w:val="20"/>
                <w:lang w:eastAsia="ja-JP"/>
              </w:rPr>
            </w:pPr>
            <w:r w:rsidRPr="00382659">
              <w:rPr>
                <w:rFonts w:ascii="Times New Roman" w:hAnsi="Times New Roman" w:cs="Times New Roman"/>
                <w:color w:val="000000" w:themeColor="text1"/>
                <w:sz w:val="20"/>
                <w:szCs w:val="20"/>
                <w:lang w:eastAsia="ja-JP"/>
              </w:rPr>
              <w:lastRenderedPageBreak/>
              <w:t xml:space="preserve">Previous studies on gingival blood glucose (GBG) measurements concluded that GBG levels could be used for diabetes screening (Stein &amp; Nebbia, 1969; Tsutsui, Rich &amp; Schonfeld, 1985). A self-monitoring blood glucose (SMBG) device enables patients to measure their glucose levels by puncturing their fingertips. Several studies have reported strong correlations between fingertip blood glucose (FTBG) levels acquired using an SMBG device and GBG levels (Parker et al., 1993; </w:t>
            </w:r>
            <w:proofErr w:type="spellStart"/>
            <w:r w:rsidRPr="00382659">
              <w:rPr>
                <w:rFonts w:ascii="Times New Roman" w:hAnsi="Times New Roman" w:cs="Times New Roman"/>
                <w:color w:val="000000" w:themeColor="text1"/>
                <w:sz w:val="20"/>
                <w:szCs w:val="20"/>
                <w:lang w:eastAsia="ja-JP"/>
              </w:rPr>
              <w:t>Beikler</w:t>
            </w:r>
            <w:proofErr w:type="spellEnd"/>
            <w:r w:rsidRPr="00382659">
              <w:rPr>
                <w:rFonts w:ascii="Times New Roman" w:hAnsi="Times New Roman" w:cs="Times New Roman"/>
                <w:color w:val="000000" w:themeColor="text1"/>
                <w:sz w:val="20"/>
                <w:szCs w:val="20"/>
                <w:lang w:eastAsia="ja-JP"/>
              </w:rPr>
              <w:t xml:space="preserve"> et al., 2002; Khader et al., 2006; </w:t>
            </w:r>
            <w:proofErr w:type="spellStart"/>
            <w:r w:rsidRPr="00382659">
              <w:rPr>
                <w:rFonts w:ascii="Times New Roman" w:hAnsi="Times New Roman" w:cs="Times New Roman"/>
                <w:color w:val="000000" w:themeColor="text1"/>
                <w:sz w:val="20"/>
                <w:szCs w:val="20"/>
                <w:lang w:eastAsia="ja-JP"/>
              </w:rPr>
              <w:t>Ardakani</w:t>
            </w:r>
            <w:proofErr w:type="spellEnd"/>
            <w:r w:rsidRPr="00382659">
              <w:rPr>
                <w:rFonts w:ascii="Times New Roman" w:hAnsi="Times New Roman" w:cs="Times New Roman"/>
                <w:color w:val="000000" w:themeColor="text1"/>
                <w:sz w:val="20"/>
                <w:szCs w:val="20"/>
                <w:lang w:eastAsia="ja-JP"/>
              </w:rPr>
              <w:t xml:space="preserve"> et al., 2009). The measurement of GBG levels is a rapid, safe, noninvasive screening method for diabetes that can be performed during routine periodontal examinations (Parker et al., 1993; </w:t>
            </w:r>
            <w:proofErr w:type="spellStart"/>
            <w:r w:rsidRPr="00382659">
              <w:rPr>
                <w:rFonts w:ascii="Times New Roman" w:hAnsi="Times New Roman" w:cs="Times New Roman"/>
                <w:color w:val="000000" w:themeColor="text1"/>
                <w:sz w:val="20"/>
                <w:szCs w:val="20"/>
                <w:lang w:eastAsia="ja-JP"/>
              </w:rPr>
              <w:t>Beikler</w:t>
            </w:r>
            <w:proofErr w:type="spellEnd"/>
            <w:r w:rsidRPr="00382659">
              <w:rPr>
                <w:rFonts w:ascii="Times New Roman" w:hAnsi="Times New Roman" w:cs="Times New Roman"/>
                <w:color w:val="000000" w:themeColor="text1"/>
                <w:sz w:val="20"/>
                <w:szCs w:val="20"/>
                <w:lang w:eastAsia="ja-JP"/>
              </w:rPr>
              <w:t xml:space="preserve"> et al., 2002; Khader et al., 2006; </w:t>
            </w:r>
            <w:proofErr w:type="spellStart"/>
            <w:r w:rsidRPr="00382659">
              <w:rPr>
                <w:rFonts w:ascii="Times New Roman" w:hAnsi="Times New Roman" w:cs="Times New Roman"/>
                <w:color w:val="000000" w:themeColor="text1"/>
                <w:sz w:val="20"/>
                <w:szCs w:val="20"/>
                <w:lang w:eastAsia="ja-JP"/>
              </w:rPr>
              <w:t>Ardakani</w:t>
            </w:r>
            <w:proofErr w:type="spellEnd"/>
            <w:r w:rsidRPr="00382659">
              <w:rPr>
                <w:rFonts w:ascii="Times New Roman" w:hAnsi="Times New Roman" w:cs="Times New Roman"/>
                <w:color w:val="000000" w:themeColor="text1"/>
                <w:sz w:val="20"/>
                <w:szCs w:val="20"/>
                <w:lang w:eastAsia="ja-JP"/>
              </w:rPr>
              <w:t xml:space="preserve"> et al., 2009). Additionally, more patients with diabetes preferred measuring GBG levels over measuring FTBG (Rosedale &amp; Strauss, 2012).</w:t>
            </w:r>
          </w:p>
          <w:p w14:paraId="56A283BE" w14:textId="29E13BE1" w:rsidR="00B11EA3" w:rsidRPr="00B11EA3" w:rsidRDefault="00B11EA3" w:rsidP="00382659">
            <w:pPr>
              <w:pStyle w:val="11"/>
              <w:rPr>
                <w:rFonts w:ascii="Times New Roman" w:hAnsi="Times New Roman" w:cs="Times New Roman"/>
                <w:color w:val="000000" w:themeColor="text1"/>
                <w:sz w:val="20"/>
                <w:szCs w:val="20"/>
                <w:lang w:eastAsia="ja-JP"/>
              </w:rPr>
            </w:pPr>
            <w:r w:rsidRPr="00B11EA3">
              <w:rPr>
                <w:rFonts w:ascii="Times New Roman" w:hAnsi="Times New Roman" w:cs="Times New Roman"/>
                <w:color w:val="000000" w:themeColor="text1"/>
                <w:sz w:val="20"/>
                <w:szCs w:val="20"/>
                <w:lang w:eastAsia="ja-JP"/>
              </w:rPr>
              <w:t xml:space="preserve">The intraclass correlation coefficient is often used as a measure of reliability to validate new measurement measures. </w:t>
            </w:r>
            <w:r w:rsidRPr="00B11EA3">
              <w:rPr>
                <w:rFonts w:ascii="Times New Roman" w:hAnsi="Times New Roman" w:cs="Times New Roman"/>
                <w:color w:val="000000" w:themeColor="text1"/>
                <w:sz w:val="20"/>
                <w:szCs w:val="20"/>
                <w:lang w:eastAsia="ja-JP"/>
              </w:rPr>
              <w:lastRenderedPageBreak/>
              <w:t xml:space="preserve">However, what is important in actual measurement is the degree of disagreement. When introducing a new measure, it is necessary to know how much it may differ from previous measures. Since the acceptable measurement error in a clinical setting varies among the types of measurements, no standard can be set automatically by statistical methods (Müller &amp; Behbehani, 2005). Therefore, </w:t>
            </w:r>
            <w:r w:rsidR="002770CA" w:rsidRPr="002770CA">
              <w:rPr>
                <w:rFonts w:ascii="Times New Roman" w:hAnsi="Times New Roman" w:cs="Times New Roman"/>
                <w:color w:val="000000" w:themeColor="text1"/>
                <w:sz w:val="20"/>
                <w:szCs w:val="20"/>
                <w:lang w:eastAsia="ja-JP"/>
              </w:rPr>
              <w:t xml:space="preserve">Bland and Altman reported that an agreement analysis between the two methods was needed </w:t>
            </w:r>
            <w:r w:rsidR="000A695B">
              <w:rPr>
                <w:rFonts w:ascii="Times New Roman" w:hAnsi="Times New Roman" w:cs="Times New Roman" w:hint="eastAsia"/>
                <w:color w:val="000000" w:themeColor="text1"/>
                <w:sz w:val="20"/>
                <w:szCs w:val="20"/>
                <w:lang w:eastAsia="ja-JP"/>
              </w:rPr>
              <w:t xml:space="preserve"> </w:t>
            </w:r>
            <w:r w:rsidRPr="00B11EA3">
              <w:rPr>
                <w:rFonts w:ascii="Times New Roman" w:hAnsi="Times New Roman" w:cs="Times New Roman"/>
                <w:color w:val="000000" w:themeColor="text1"/>
                <w:sz w:val="20"/>
                <w:szCs w:val="20"/>
                <w:lang w:eastAsia="ja-JP"/>
              </w:rPr>
              <w:t>(Bland &amp; Altman, 1986; Bland &amp; Altman, 1999).</w:t>
            </w:r>
          </w:p>
          <w:p w14:paraId="29F3B3E4" w14:textId="77777777" w:rsidR="00382659" w:rsidRPr="00382659" w:rsidRDefault="00382659" w:rsidP="00382659">
            <w:pPr>
              <w:pStyle w:val="11"/>
              <w:rPr>
                <w:rFonts w:ascii="Times New Roman" w:hAnsi="Times New Roman" w:cs="Times New Roman"/>
                <w:color w:val="000000" w:themeColor="text1"/>
                <w:sz w:val="20"/>
                <w:szCs w:val="20"/>
                <w:lang w:eastAsia="ja-JP"/>
              </w:rPr>
            </w:pPr>
            <w:r w:rsidRPr="00382659">
              <w:rPr>
                <w:rFonts w:ascii="Times New Roman" w:hAnsi="Times New Roman" w:cs="Times New Roman"/>
                <w:color w:val="000000" w:themeColor="text1"/>
                <w:sz w:val="20"/>
                <w:szCs w:val="20"/>
                <w:lang w:eastAsia="ja-JP"/>
              </w:rPr>
              <w:t xml:space="preserve">Bland–Altman analysis has been used to clarify systematic bias (Bland &amp; Altman, 1986; Bland &amp; Altman, 1999). Only two previous studies have reported Bland–Altman analyses of GBG and FTBG levels (Müller &amp; Behbehani, 2004; Müller &amp; Behbehani, 2005; Strauss et al.,2009). Half of the 46 participants in one group did not have periodontitis in the study by Müller &amp; Behbehani, and only 15% had diabetes (Müller &amp; Behbehani, 2004; Müller &amp; Behbehani, 2005). Moreover, Bland–Altman analysis of the GBG and FTBG measurements </w:t>
            </w:r>
            <w:r w:rsidRPr="00382659">
              <w:rPr>
                <w:rFonts w:ascii="Times New Roman" w:hAnsi="Times New Roman" w:cs="Times New Roman"/>
                <w:color w:val="000000" w:themeColor="text1"/>
                <w:sz w:val="20"/>
                <w:szCs w:val="20"/>
                <w:lang w:eastAsia="ja-JP"/>
              </w:rPr>
              <w:lastRenderedPageBreak/>
              <w:t>revealed low concordance between the GBG and FTBG levels (Müller &amp; Behbehani, 2005). The severity of periodontitis was unknown in the study by Strauss et al., and only 9% of the participants had diabetes (Strauss et al., 2009). Bland–Altman analysis revealed adequate agreement between the GBG and FTBG levels in this study (Strauss et al., 2009). Thus, the Bland–Altman analysis results of GBG and FTBG levels have been inconsistent.</w:t>
            </w:r>
          </w:p>
          <w:p w14:paraId="12CFC9FD" w14:textId="05490980" w:rsidR="00191A23" w:rsidRPr="0035187D" w:rsidRDefault="00382659" w:rsidP="00382659">
            <w:pPr>
              <w:pStyle w:val="11"/>
              <w:contextualSpacing w:val="0"/>
              <w:rPr>
                <w:rFonts w:ascii="Times New Roman" w:hAnsi="Times New Roman" w:cs="Times New Roman"/>
                <w:color w:val="000000" w:themeColor="text1"/>
                <w:sz w:val="20"/>
                <w:szCs w:val="20"/>
                <w:lang w:eastAsia="ja-JP"/>
              </w:rPr>
            </w:pPr>
            <w:r w:rsidRPr="00382659">
              <w:rPr>
                <w:rFonts w:ascii="Times New Roman" w:hAnsi="Times New Roman" w:cs="Times New Roman"/>
                <w:color w:val="000000" w:themeColor="text1"/>
                <w:sz w:val="20"/>
                <w:szCs w:val="20"/>
                <w:lang w:eastAsia="ja-JP"/>
              </w:rPr>
              <w:t xml:space="preserve">To date, several studies have reported that GBG and FTBG values are associated with diabetes and useful for diabetes screening (Suneetha &amp; Rambabu, 2012; Gaikwad et al., 2013; Shetty et al., 2013; Kaur, Singh &amp; Sharma, 2013; Gupta et al., 2014; Dwivedi et al., 2014; Shylaja et al., 2016; Rajesh et al., 2016; Parihar et al., 2016; Partheeban et al., 2017; Sibyl et al., 2017; Mirza et al., 2018; Sande et al., 2020; Rapone et al., 2020; Wu et al., 2021; Patel et al., 2023; Dash et al., 2023; A </w:t>
            </w:r>
            <w:proofErr w:type="spellStart"/>
            <w:r w:rsidRPr="00382659">
              <w:rPr>
                <w:rFonts w:ascii="Times New Roman" w:hAnsi="Times New Roman" w:cs="Times New Roman"/>
                <w:color w:val="000000" w:themeColor="text1"/>
                <w:sz w:val="20"/>
                <w:szCs w:val="20"/>
                <w:lang w:eastAsia="ja-JP"/>
              </w:rPr>
              <w:t>Alqazlan</w:t>
            </w:r>
            <w:proofErr w:type="spellEnd"/>
            <w:r w:rsidRPr="00382659">
              <w:rPr>
                <w:rFonts w:ascii="Times New Roman" w:hAnsi="Times New Roman" w:cs="Times New Roman"/>
                <w:color w:val="000000" w:themeColor="text1"/>
                <w:sz w:val="20"/>
                <w:szCs w:val="20"/>
                <w:lang w:eastAsia="ja-JP"/>
              </w:rPr>
              <w:t xml:space="preserve"> et al.,2024). Alternatively, other researchers reported that GBG and FTBG values are not </w:t>
            </w:r>
            <w:r w:rsidRPr="00382659">
              <w:rPr>
                <w:rFonts w:ascii="Times New Roman" w:hAnsi="Times New Roman" w:cs="Times New Roman"/>
                <w:color w:val="000000" w:themeColor="text1"/>
                <w:sz w:val="20"/>
                <w:szCs w:val="20"/>
                <w:lang w:eastAsia="ja-JP"/>
              </w:rPr>
              <w:lastRenderedPageBreak/>
              <w:t>associated with diabetes and are not useful for diabetes screening (Debnath et al., 2015; Ansari Moghadam et al., 2024). A recently published systematic review and meta-analysis (</w:t>
            </w:r>
            <w:proofErr w:type="spellStart"/>
            <w:r w:rsidRPr="00382659">
              <w:rPr>
                <w:rFonts w:ascii="Times New Roman" w:hAnsi="Times New Roman" w:cs="Times New Roman"/>
                <w:color w:val="000000" w:themeColor="text1"/>
                <w:sz w:val="20"/>
                <w:szCs w:val="20"/>
                <w:lang w:eastAsia="ja-JP"/>
              </w:rPr>
              <w:t>Fakheran</w:t>
            </w:r>
            <w:proofErr w:type="spellEnd"/>
            <w:r w:rsidRPr="00382659">
              <w:rPr>
                <w:rFonts w:ascii="Times New Roman" w:hAnsi="Times New Roman" w:cs="Times New Roman"/>
                <w:color w:val="000000" w:themeColor="text1"/>
                <w:sz w:val="20"/>
                <w:szCs w:val="20"/>
                <w:lang w:eastAsia="ja-JP"/>
              </w:rPr>
              <w:t xml:space="preserve"> et al., 2024), citing the three papers mentioned above (Müller &amp; Behbehani, 2004; Müller &amp; Behbehani, 2005; Strauss et al., 2009), reported that GBG values are useful if gingival inflammation is strong and bleeding on probing (BOP) is high.</w:t>
            </w:r>
          </w:p>
        </w:tc>
      </w:tr>
      <w:tr w:rsidR="00191A23" w:rsidRPr="0022554A" w14:paraId="6EB1DEB9" w14:textId="77777777" w:rsidTr="00E341E9">
        <w:tc>
          <w:tcPr>
            <w:tcW w:w="1951" w:type="dxa"/>
          </w:tcPr>
          <w:p w14:paraId="26759DB0"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092F2136" w14:textId="77777777" w:rsidR="00191A23" w:rsidRPr="0022554A" w:rsidRDefault="00191A23" w:rsidP="0022554A">
            <w:pPr>
              <w:tabs>
                <w:tab w:val="left" w:pos="5400"/>
              </w:tabs>
              <w:jc w:val="center"/>
              <w:rPr>
                <w:sz w:val="20"/>
              </w:rPr>
            </w:pPr>
            <w:r w:rsidRPr="0022554A">
              <w:rPr>
                <w:sz w:val="20"/>
              </w:rPr>
              <w:t>3</w:t>
            </w:r>
          </w:p>
        </w:tc>
        <w:tc>
          <w:tcPr>
            <w:tcW w:w="8031" w:type="dxa"/>
          </w:tcPr>
          <w:p w14:paraId="7019D7E6"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2A7C971B" w14:textId="26BCD0D9" w:rsidR="00191A23" w:rsidRPr="0022554A" w:rsidRDefault="00851D92" w:rsidP="0022554A">
            <w:pPr>
              <w:tabs>
                <w:tab w:val="left" w:pos="5400"/>
              </w:tabs>
              <w:rPr>
                <w:sz w:val="20"/>
                <w:lang w:eastAsia="ja-JP"/>
              </w:rPr>
            </w:pPr>
            <w:r>
              <w:rPr>
                <w:rFonts w:hint="eastAsia"/>
                <w:sz w:val="20"/>
                <w:lang w:eastAsia="ja-JP"/>
              </w:rPr>
              <w:t>4</w:t>
            </w:r>
          </w:p>
        </w:tc>
        <w:tc>
          <w:tcPr>
            <w:tcW w:w="2835" w:type="dxa"/>
          </w:tcPr>
          <w:p w14:paraId="08BDA6BA" w14:textId="50963569" w:rsidR="00191A23" w:rsidRPr="00C22020" w:rsidRDefault="00635AB4" w:rsidP="0022554A">
            <w:pPr>
              <w:tabs>
                <w:tab w:val="left" w:pos="5400"/>
              </w:tabs>
              <w:rPr>
                <w:sz w:val="20"/>
                <w:lang w:eastAsia="ja-JP"/>
              </w:rPr>
            </w:pPr>
            <w:r w:rsidRPr="00635AB4">
              <w:rPr>
                <w:sz w:val="20"/>
                <w:lang w:eastAsia="ja-JP"/>
              </w:rPr>
              <w:t>This study aimed to evaluate the utility of GBG measurements compared with that of FTBG measurements via Bland–Altman and receiver operating characteristic (ROC) analyses by determining the GBG and FTBG levels in patients with and without diabetes who visited the Division of General Dentistry, Health Sciences University of Hokkaido Hospital (Figure 1).</w:t>
            </w:r>
          </w:p>
        </w:tc>
      </w:tr>
      <w:tr w:rsidR="00191A23" w:rsidRPr="0022554A" w14:paraId="1E212A6C" w14:textId="77777777" w:rsidTr="00E341E9">
        <w:tc>
          <w:tcPr>
            <w:tcW w:w="12157" w:type="dxa"/>
            <w:gridSpan w:val="4"/>
          </w:tcPr>
          <w:p w14:paraId="38BA3F0B"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5C1148C2" w14:textId="77777777" w:rsidR="00191A23" w:rsidRPr="0022554A" w:rsidRDefault="00191A23" w:rsidP="0022554A">
            <w:pPr>
              <w:pStyle w:val="TableSubHead"/>
              <w:tabs>
                <w:tab w:val="left" w:pos="5400"/>
              </w:tabs>
              <w:rPr>
                <w:sz w:val="20"/>
              </w:rPr>
            </w:pPr>
          </w:p>
        </w:tc>
      </w:tr>
      <w:tr w:rsidR="00191A23" w:rsidRPr="0022554A" w14:paraId="6C8E41CB" w14:textId="77777777" w:rsidTr="00E341E9">
        <w:tc>
          <w:tcPr>
            <w:tcW w:w="1951" w:type="dxa"/>
          </w:tcPr>
          <w:p w14:paraId="796532F1"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3A605338" w14:textId="77777777" w:rsidR="00191A23" w:rsidRPr="0022554A" w:rsidRDefault="00191A23" w:rsidP="0022554A">
            <w:pPr>
              <w:tabs>
                <w:tab w:val="left" w:pos="5400"/>
              </w:tabs>
              <w:jc w:val="center"/>
              <w:rPr>
                <w:sz w:val="20"/>
              </w:rPr>
            </w:pPr>
            <w:r w:rsidRPr="0022554A">
              <w:rPr>
                <w:sz w:val="20"/>
              </w:rPr>
              <w:t>4</w:t>
            </w:r>
          </w:p>
        </w:tc>
        <w:tc>
          <w:tcPr>
            <w:tcW w:w="8031" w:type="dxa"/>
          </w:tcPr>
          <w:p w14:paraId="1C655500"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767AA9AD" w14:textId="60072D05" w:rsidR="00191A23" w:rsidRPr="0022554A" w:rsidRDefault="0007008E" w:rsidP="0022554A">
            <w:pPr>
              <w:tabs>
                <w:tab w:val="left" w:pos="5400"/>
              </w:tabs>
              <w:rPr>
                <w:sz w:val="20"/>
                <w:lang w:eastAsia="ja-JP"/>
              </w:rPr>
            </w:pPr>
            <w:r>
              <w:rPr>
                <w:rFonts w:hint="eastAsia"/>
                <w:sz w:val="20"/>
                <w:lang w:eastAsia="ja-JP"/>
              </w:rPr>
              <w:t>4</w:t>
            </w:r>
          </w:p>
        </w:tc>
        <w:tc>
          <w:tcPr>
            <w:tcW w:w="2835" w:type="dxa"/>
          </w:tcPr>
          <w:p w14:paraId="38D6608B" w14:textId="77777777" w:rsidR="00275C9F" w:rsidRPr="00275C9F" w:rsidRDefault="00275C9F" w:rsidP="00275C9F">
            <w:pPr>
              <w:tabs>
                <w:tab w:val="left" w:pos="5400"/>
              </w:tabs>
              <w:rPr>
                <w:sz w:val="20"/>
              </w:rPr>
            </w:pPr>
            <w:r w:rsidRPr="00275C9F">
              <w:rPr>
                <w:sz w:val="20"/>
              </w:rPr>
              <w:t>Inclusion criteria</w:t>
            </w:r>
          </w:p>
          <w:p w14:paraId="13428CC4" w14:textId="77777777" w:rsidR="00275C9F" w:rsidRPr="00275C9F" w:rsidRDefault="00275C9F" w:rsidP="00275C9F">
            <w:pPr>
              <w:tabs>
                <w:tab w:val="left" w:pos="5400"/>
              </w:tabs>
              <w:rPr>
                <w:sz w:val="20"/>
              </w:rPr>
            </w:pPr>
            <w:r w:rsidRPr="00275C9F">
              <w:rPr>
                <w:sz w:val="20"/>
              </w:rPr>
              <w:t xml:space="preserve">1. 20 years or older with at least one current tooth undergoing dental treatment at the Division </w:t>
            </w:r>
            <w:r w:rsidRPr="00275C9F">
              <w:rPr>
                <w:sz w:val="20"/>
              </w:rPr>
              <w:lastRenderedPageBreak/>
              <w:t>of General Dentistry, Health Sciences University of Hokkaido Hospital.</w:t>
            </w:r>
          </w:p>
          <w:p w14:paraId="6C8F1CB1" w14:textId="107E7FA6" w:rsidR="00275C9F" w:rsidRPr="00275C9F" w:rsidRDefault="00275C9F" w:rsidP="00275C9F">
            <w:pPr>
              <w:tabs>
                <w:tab w:val="left" w:pos="5400"/>
              </w:tabs>
              <w:rPr>
                <w:sz w:val="20"/>
                <w:lang w:eastAsia="ja-JP"/>
              </w:rPr>
            </w:pPr>
            <w:r w:rsidRPr="00275C9F">
              <w:rPr>
                <w:sz w:val="20"/>
              </w:rPr>
              <w:t>2. We classified patients with diabetes based on specialists' diabetes diagnoses. Patients in the diabetes group underwent treatment at the Division of Internal Medicine, Health Sciences University of Hokkaido Hospital.</w:t>
            </w:r>
          </w:p>
          <w:p w14:paraId="494C9F06" w14:textId="77777777" w:rsidR="00275C9F" w:rsidRPr="00275C9F" w:rsidRDefault="00275C9F" w:rsidP="00275C9F">
            <w:pPr>
              <w:tabs>
                <w:tab w:val="left" w:pos="5400"/>
              </w:tabs>
              <w:rPr>
                <w:sz w:val="20"/>
              </w:rPr>
            </w:pPr>
            <w:r w:rsidRPr="00275C9F">
              <w:rPr>
                <w:sz w:val="20"/>
              </w:rPr>
              <w:t>Exclusion criteria</w:t>
            </w:r>
          </w:p>
          <w:p w14:paraId="1B7D723D" w14:textId="77777777" w:rsidR="00275C9F" w:rsidRPr="00275C9F" w:rsidRDefault="00275C9F" w:rsidP="00275C9F">
            <w:pPr>
              <w:tabs>
                <w:tab w:val="left" w:pos="5400"/>
              </w:tabs>
              <w:rPr>
                <w:sz w:val="20"/>
              </w:rPr>
            </w:pPr>
            <w:r w:rsidRPr="00275C9F">
              <w:rPr>
                <w:sz w:val="20"/>
              </w:rPr>
              <w:t>1. Pregnant or lactating women.</w:t>
            </w:r>
          </w:p>
          <w:p w14:paraId="5ACC5964" w14:textId="36944575" w:rsidR="00191A23" w:rsidRPr="00EA08BD" w:rsidRDefault="00275C9F" w:rsidP="00275C9F">
            <w:pPr>
              <w:tabs>
                <w:tab w:val="left" w:pos="5400"/>
              </w:tabs>
              <w:rPr>
                <w:sz w:val="20"/>
              </w:rPr>
            </w:pPr>
            <w:r w:rsidRPr="00275C9F">
              <w:rPr>
                <w:sz w:val="20"/>
              </w:rPr>
              <w:t>2. Patients without diabetes with GBG or FTBG levels greater than 200 mg/dL.</w:t>
            </w:r>
          </w:p>
        </w:tc>
      </w:tr>
      <w:tr w:rsidR="00191A23" w:rsidRPr="0022554A" w14:paraId="2C99F518" w14:textId="77777777" w:rsidTr="00E341E9">
        <w:tc>
          <w:tcPr>
            <w:tcW w:w="1951" w:type="dxa"/>
          </w:tcPr>
          <w:p w14:paraId="287EFB3D"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lastRenderedPageBreak/>
              <w:t>Setting</w:t>
            </w:r>
          </w:p>
        </w:tc>
        <w:tc>
          <w:tcPr>
            <w:tcW w:w="616" w:type="dxa"/>
          </w:tcPr>
          <w:p w14:paraId="2A791B9E" w14:textId="77777777" w:rsidR="00191A23" w:rsidRPr="0022554A" w:rsidRDefault="00191A23" w:rsidP="0022554A">
            <w:pPr>
              <w:tabs>
                <w:tab w:val="left" w:pos="5400"/>
              </w:tabs>
              <w:jc w:val="center"/>
              <w:rPr>
                <w:sz w:val="20"/>
              </w:rPr>
            </w:pPr>
            <w:r w:rsidRPr="0022554A">
              <w:rPr>
                <w:sz w:val="20"/>
              </w:rPr>
              <w:t>5</w:t>
            </w:r>
          </w:p>
        </w:tc>
        <w:tc>
          <w:tcPr>
            <w:tcW w:w="8031" w:type="dxa"/>
          </w:tcPr>
          <w:p w14:paraId="032548AE"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4861EB3D" w14:textId="176C0927" w:rsidR="00191A23" w:rsidRPr="0022554A" w:rsidRDefault="00510C41" w:rsidP="0022554A">
            <w:pPr>
              <w:tabs>
                <w:tab w:val="left" w:pos="5400"/>
              </w:tabs>
              <w:rPr>
                <w:sz w:val="20"/>
                <w:lang w:eastAsia="ja-JP"/>
              </w:rPr>
            </w:pPr>
            <w:r>
              <w:rPr>
                <w:rFonts w:hint="eastAsia"/>
                <w:sz w:val="20"/>
                <w:lang w:eastAsia="ja-JP"/>
              </w:rPr>
              <w:t>4</w:t>
            </w:r>
          </w:p>
        </w:tc>
        <w:tc>
          <w:tcPr>
            <w:tcW w:w="2835" w:type="dxa"/>
          </w:tcPr>
          <w:p w14:paraId="6B5206E0" w14:textId="77777777" w:rsidR="009F537C" w:rsidRPr="009F537C" w:rsidRDefault="009F537C" w:rsidP="009F537C">
            <w:pPr>
              <w:rPr>
                <w:sz w:val="20"/>
                <w:lang w:eastAsia="ja-JP"/>
              </w:rPr>
            </w:pPr>
            <w:r w:rsidRPr="009F537C">
              <w:rPr>
                <w:sz w:val="20"/>
                <w:lang w:eastAsia="ja-JP"/>
              </w:rPr>
              <w:t xml:space="preserve">Previous studies were extracted from the PubMed database and examined to determine the number of participants required to evaluate the efficacy of GBG measurements compared with that of FTBG measurements. One study (Rajesh et al., 2016) had 24 participants, one study (Gaikwad et al., 2013) had 25 participants, and three studies (Gupta et al., 2014; Shylaja et al., 2016; Sibyl et al., 2017) with 30 participants reported a significant correlation between the GBG and FTBG </w:t>
            </w:r>
            <w:r w:rsidRPr="009F537C">
              <w:rPr>
                <w:sz w:val="20"/>
                <w:lang w:eastAsia="ja-JP"/>
              </w:rPr>
              <w:lastRenderedPageBreak/>
              <w:t>measurements. G*Power 3.1 (Faul et al., 2007) obtained from an internet website (Research Team of Cognitive and Industrial Psychology, Department of Experimental Psychology, Faculty of Mathematics and Natural Sciences, Heinrich Heine University Düsseldorf, 2007) was used to calculate the sample size. The α and β errors were set to 0.05 and 0.2, respectively. According to a previous report, a correlation coefficient of 0.715 was selected for the correlation analysis (Gupta et al., 2014). The effect size was set as 0.8 for paired t tests evaluated via Bland–Altman analysis. The sample sizes were calculated as 12 for the correlation analysis and 15 for the paired t test using G*Power 3.1. The total number of participants was 30, with 15 participants each in the diabetic and nondiabetic groups.</w:t>
            </w:r>
          </w:p>
          <w:p w14:paraId="44DEBB3B" w14:textId="77777777" w:rsidR="009F537C" w:rsidRPr="009F537C" w:rsidRDefault="009F537C" w:rsidP="009F537C">
            <w:pPr>
              <w:rPr>
                <w:sz w:val="20"/>
                <w:lang w:eastAsia="ja-JP"/>
              </w:rPr>
            </w:pPr>
            <w:r w:rsidRPr="009F537C">
              <w:rPr>
                <w:sz w:val="20"/>
                <w:lang w:eastAsia="ja-JP"/>
              </w:rPr>
              <w:t>Inclusion criteria</w:t>
            </w:r>
          </w:p>
          <w:p w14:paraId="2FC1AA04" w14:textId="77777777" w:rsidR="009F537C" w:rsidRPr="009F537C" w:rsidRDefault="009F537C" w:rsidP="009F537C">
            <w:pPr>
              <w:rPr>
                <w:sz w:val="20"/>
                <w:lang w:eastAsia="ja-JP"/>
              </w:rPr>
            </w:pPr>
            <w:r w:rsidRPr="009F537C">
              <w:rPr>
                <w:sz w:val="20"/>
                <w:lang w:eastAsia="ja-JP"/>
              </w:rPr>
              <w:t xml:space="preserve">1. 20 years or older with at least one current tooth undergoing dental treatment at the Division </w:t>
            </w:r>
            <w:r w:rsidRPr="009F537C">
              <w:rPr>
                <w:sz w:val="20"/>
                <w:lang w:eastAsia="ja-JP"/>
              </w:rPr>
              <w:lastRenderedPageBreak/>
              <w:t>of General Dentistry, Health Sciences University of Hokkaido Hospital.</w:t>
            </w:r>
          </w:p>
          <w:p w14:paraId="3A2AD79F" w14:textId="1F2DD2D7" w:rsidR="009F537C" w:rsidRPr="009F537C" w:rsidRDefault="009F537C" w:rsidP="009F537C">
            <w:pPr>
              <w:rPr>
                <w:sz w:val="20"/>
                <w:lang w:eastAsia="ja-JP"/>
              </w:rPr>
            </w:pPr>
            <w:r w:rsidRPr="009F537C">
              <w:rPr>
                <w:sz w:val="20"/>
                <w:lang w:eastAsia="ja-JP"/>
              </w:rPr>
              <w:t>2. We classified patients with diabetes based on specialists' diabetes diagnoses. Patients in the diabetes group underwent treatment at the Division of Internal Medicine, Health Sciences University of Hokkaido Hospital.</w:t>
            </w:r>
          </w:p>
          <w:p w14:paraId="189EC754" w14:textId="77777777" w:rsidR="009F537C" w:rsidRPr="009F537C" w:rsidRDefault="009F537C" w:rsidP="009F537C">
            <w:pPr>
              <w:rPr>
                <w:sz w:val="20"/>
                <w:lang w:eastAsia="ja-JP"/>
              </w:rPr>
            </w:pPr>
            <w:r w:rsidRPr="009F537C">
              <w:rPr>
                <w:sz w:val="20"/>
                <w:lang w:eastAsia="ja-JP"/>
              </w:rPr>
              <w:t>Exclusion criteria</w:t>
            </w:r>
          </w:p>
          <w:p w14:paraId="1E51AFD1" w14:textId="77777777" w:rsidR="009F537C" w:rsidRPr="009F537C" w:rsidRDefault="009F537C" w:rsidP="009F537C">
            <w:pPr>
              <w:rPr>
                <w:sz w:val="20"/>
                <w:lang w:eastAsia="ja-JP"/>
              </w:rPr>
            </w:pPr>
            <w:r w:rsidRPr="009F537C">
              <w:rPr>
                <w:sz w:val="20"/>
                <w:lang w:eastAsia="ja-JP"/>
              </w:rPr>
              <w:t>1. Pregnant or lactating women.</w:t>
            </w:r>
          </w:p>
          <w:p w14:paraId="3ED2B7A6" w14:textId="77777777" w:rsidR="009F537C" w:rsidRPr="009F537C" w:rsidRDefault="009F537C" w:rsidP="009F537C">
            <w:pPr>
              <w:rPr>
                <w:sz w:val="20"/>
                <w:lang w:eastAsia="ja-JP"/>
              </w:rPr>
            </w:pPr>
            <w:r w:rsidRPr="009F537C">
              <w:rPr>
                <w:sz w:val="20"/>
                <w:lang w:eastAsia="ja-JP"/>
              </w:rPr>
              <w:t>2. Patients without diabetes with GBG or FTBG levels greater than 200 mg/dL.</w:t>
            </w:r>
          </w:p>
          <w:p w14:paraId="6F8A6D8F" w14:textId="34DC2329" w:rsidR="00191A23" w:rsidRPr="00107D9F" w:rsidRDefault="009F537C" w:rsidP="009F537C">
            <w:pPr>
              <w:rPr>
                <w:sz w:val="20"/>
                <w:lang w:eastAsia="ja-JP"/>
              </w:rPr>
            </w:pPr>
            <w:r w:rsidRPr="009F537C">
              <w:rPr>
                <w:sz w:val="20"/>
                <w:lang w:eastAsia="ja-JP"/>
              </w:rPr>
              <w:t>This study adhered to the tenets of the Declaration of Helsinki. Written informed consent was obtained from the participants after the study was explained. This study was approved by the Ethics Committee of the Institute of Preventive Medical Science, Health Sciences University of Hokkaido (No. 2019_028).</w:t>
            </w:r>
          </w:p>
        </w:tc>
      </w:tr>
      <w:bookmarkEnd w:id="25"/>
      <w:bookmarkEnd w:id="26"/>
      <w:tr w:rsidR="000F5A01" w:rsidRPr="0022554A" w14:paraId="3B757A48" w14:textId="77777777" w:rsidTr="00E341E9">
        <w:tc>
          <w:tcPr>
            <w:tcW w:w="1951" w:type="dxa"/>
            <w:vMerge w:val="restart"/>
          </w:tcPr>
          <w:p w14:paraId="295C7429" w14:textId="77777777" w:rsidR="000F5A01" w:rsidRPr="0022554A" w:rsidRDefault="000F5A01" w:rsidP="000F5A01">
            <w:pPr>
              <w:tabs>
                <w:tab w:val="left" w:pos="5400"/>
              </w:tabs>
              <w:rPr>
                <w:bCs/>
                <w:sz w:val="20"/>
              </w:rPr>
            </w:pPr>
            <w:r w:rsidRPr="0022554A">
              <w:rPr>
                <w:bCs/>
                <w:sz w:val="20"/>
              </w:rPr>
              <w:lastRenderedPageBreak/>
              <w:t>Participants</w:t>
            </w:r>
          </w:p>
        </w:tc>
        <w:tc>
          <w:tcPr>
            <w:tcW w:w="616" w:type="dxa"/>
            <w:vMerge w:val="restart"/>
          </w:tcPr>
          <w:p w14:paraId="5AE10596" w14:textId="77777777" w:rsidR="000F5A01" w:rsidRPr="0022554A" w:rsidRDefault="000F5A01" w:rsidP="000F5A01">
            <w:pPr>
              <w:tabs>
                <w:tab w:val="left" w:pos="5400"/>
              </w:tabs>
              <w:jc w:val="center"/>
              <w:rPr>
                <w:sz w:val="20"/>
              </w:rPr>
            </w:pPr>
            <w:r w:rsidRPr="0022554A">
              <w:rPr>
                <w:sz w:val="20"/>
              </w:rPr>
              <w:t>6</w:t>
            </w:r>
          </w:p>
        </w:tc>
        <w:tc>
          <w:tcPr>
            <w:tcW w:w="8031" w:type="dxa"/>
          </w:tcPr>
          <w:p w14:paraId="05A02A48" w14:textId="77777777" w:rsidR="000F5A01" w:rsidRPr="0022554A" w:rsidRDefault="000F5A01" w:rsidP="000F5A01">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C82B703" w14:textId="77777777" w:rsidR="000F5A01" w:rsidRPr="0022554A" w:rsidRDefault="000F5A01" w:rsidP="000F5A01">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DB3EA65" w14:textId="77777777" w:rsidR="000F5A01" w:rsidRPr="0022554A" w:rsidRDefault="000F5A01" w:rsidP="000F5A01">
            <w:pPr>
              <w:tabs>
                <w:tab w:val="left" w:pos="5400"/>
              </w:tabs>
              <w:rPr>
                <w:sz w:val="20"/>
              </w:rPr>
            </w:pPr>
            <w:r>
              <w:rPr>
                <w:i/>
                <w:sz w:val="20"/>
              </w:rPr>
              <w:lastRenderedPageBreak/>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A340BB8" w14:textId="2D22243E" w:rsidR="000F5A01" w:rsidRPr="0022554A" w:rsidRDefault="000F5A01" w:rsidP="000F5A01">
            <w:pPr>
              <w:tabs>
                <w:tab w:val="left" w:pos="5400"/>
              </w:tabs>
              <w:rPr>
                <w:sz w:val="20"/>
                <w:lang w:eastAsia="ja-JP"/>
              </w:rPr>
            </w:pPr>
            <w:r>
              <w:rPr>
                <w:rFonts w:hint="eastAsia"/>
                <w:sz w:val="20"/>
                <w:lang w:eastAsia="ja-JP"/>
              </w:rPr>
              <w:lastRenderedPageBreak/>
              <w:t>4</w:t>
            </w:r>
          </w:p>
        </w:tc>
        <w:tc>
          <w:tcPr>
            <w:tcW w:w="2835" w:type="dxa"/>
          </w:tcPr>
          <w:p w14:paraId="70032538" w14:textId="77777777" w:rsidR="00F609A1" w:rsidRPr="00F609A1" w:rsidRDefault="00F609A1" w:rsidP="00F609A1">
            <w:pPr>
              <w:tabs>
                <w:tab w:val="left" w:pos="5400"/>
              </w:tabs>
              <w:rPr>
                <w:sz w:val="20"/>
                <w:lang w:eastAsia="ja-JP"/>
              </w:rPr>
            </w:pPr>
            <w:r w:rsidRPr="00F609A1">
              <w:rPr>
                <w:sz w:val="20"/>
                <w:lang w:eastAsia="ja-JP"/>
              </w:rPr>
              <w:t>Inclusion criteria</w:t>
            </w:r>
          </w:p>
          <w:p w14:paraId="43B7CB9E" w14:textId="77777777" w:rsidR="00F609A1" w:rsidRPr="00F609A1" w:rsidRDefault="00F609A1" w:rsidP="00F609A1">
            <w:pPr>
              <w:tabs>
                <w:tab w:val="left" w:pos="5400"/>
              </w:tabs>
              <w:rPr>
                <w:sz w:val="20"/>
                <w:lang w:eastAsia="ja-JP"/>
              </w:rPr>
            </w:pPr>
            <w:r w:rsidRPr="00F609A1">
              <w:rPr>
                <w:sz w:val="20"/>
                <w:lang w:eastAsia="ja-JP"/>
              </w:rPr>
              <w:t xml:space="preserve">1. 20 years or older with at least one current tooth undergoing dental treatment at the Division of General Dentistry, Health </w:t>
            </w:r>
            <w:r w:rsidRPr="00F609A1">
              <w:rPr>
                <w:sz w:val="20"/>
                <w:lang w:eastAsia="ja-JP"/>
              </w:rPr>
              <w:lastRenderedPageBreak/>
              <w:t>Sciences University of Hokkaido Hospital.</w:t>
            </w:r>
          </w:p>
          <w:p w14:paraId="35DA1517" w14:textId="558B417A" w:rsidR="00F609A1" w:rsidRPr="00F609A1" w:rsidRDefault="00F609A1" w:rsidP="00F609A1">
            <w:pPr>
              <w:tabs>
                <w:tab w:val="left" w:pos="5400"/>
              </w:tabs>
              <w:rPr>
                <w:sz w:val="20"/>
                <w:lang w:eastAsia="ja-JP"/>
              </w:rPr>
            </w:pPr>
            <w:r w:rsidRPr="00F609A1">
              <w:rPr>
                <w:sz w:val="20"/>
                <w:lang w:eastAsia="ja-JP"/>
              </w:rPr>
              <w:t>2. We classified patients with diabetes based on specialists' diabetes diagnoses. Patients in the diabetes group underwent treatment at the Division of Internal Medicine, Health Sciences University of Hokkaido Hospital.</w:t>
            </w:r>
          </w:p>
          <w:p w14:paraId="0A67E34F" w14:textId="77777777" w:rsidR="00F609A1" w:rsidRPr="00F609A1" w:rsidRDefault="00F609A1" w:rsidP="00F609A1">
            <w:pPr>
              <w:tabs>
                <w:tab w:val="left" w:pos="5400"/>
              </w:tabs>
              <w:rPr>
                <w:sz w:val="20"/>
                <w:lang w:eastAsia="ja-JP"/>
              </w:rPr>
            </w:pPr>
            <w:r w:rsidRPr="00F609A1">
              <w:rPr>
                <w:sz w:val="20"/>
                <w:lang w:eastAsia="ja-JP"/>
              </w:rPr>
              <w:t>Exclusion criteria</w:t>
            </w:r>
          </w:p>
          <w:p w14:paraId="4E87F9E8" w14:textId="77777777" w:rsidR="00F609A1" w:rsidRPr="00F609A1" w:rsidRDefault="00F609A1" w:rsidP="00F609A1">
            <w:pPr>
              <w:tabs>
                <w:tab w:val="left" w:pos="5400"/>
              </w:tabs>
              <w:rPr>
                <w:sz w:val="20"/>
                <w:lang w:eastAsia="ja-JP"/>
              </w:rPr>
            </w:pPr>
            <w:r w:rsidRPr="00F609A1">
              <w:rPr>
                <w:sz w:val="20"/>
                <w:lang w:eastAsia="ja-JP"/>
              </w:rPr>
              <w:t>1. Pregnant or lactating women.</w:t>
            </w:r>
          </w:p>
          <w:p w14:paraId="29B26265" w14:textId="518B1990" w:rsidR="000F5A01" w:rsidRPr="0022554A" w:rsidRDefault="00F609A1" w:rsidP="00F609A1">
            <w:pPr>
              <w:tabs>
                <w:tab w:val="left" w:pos="5400"/>
              </w:tabs>
              <w:rPr>
                <w:sz w:val="20"/>
                <w:lang w:eastAsia="ja-JP"/>
              </w:rPr>
            </w:pPr>
            <w:r w:rsidRPr="00F609A1">
              <w:rPr>
                <w:sz w:val="20"/>
                <w:lang w:eastAsia="ja-JP"/>
              </w:rPr>
              <w:t>2. Patients without diabetes with GBG or FTBG levels greater than 200 mg/dL.</w:t>
            </w:r>
          </w:p>
        </w:tc>
      </w:tr>
      <w:tr w:rsidR="000F5A01" w:rsidRPr="0022554A" w14:paraId="6280AA7B" w14:textId="77777777" w:rsidTr="00E341E9">
        <w:tc>
          <w:tcPr>
            <w:tcW w:w="1951" w:type="dxa"/>
            <w:vMerge/>
          </w:tcPr>
          <w:p w14:paraId="24E101D6" w14:textId="77777777" w:rsidR="000F5A01" w:rsidRPr="0022554A" w:rsidRDefault="000F5A01" w:rsidP="000F5A01">
            <w:pPr>
              <w:tabs>
                <w:tab w:val="left" w:pos="5400"/>
              </w:tabs>
              <w:rPr>
                <w:bCs/>
                <w:sz w:val="20"/>
              </w:rPr>
            </w:pPr>
            <w:bookmarkStart w:id="27" w:name="bold14" w:colFirst="0" w:colLast="0"/>
            <w:bookmarkStart w:id="28" w:name="italic15" w:colFirst="0" w:colLast="0"/>
          </w:p>
        </w:tc>
        <w:tc>
          <w:tcPr>
            <w:tcW w:w="616" w:type="dxa"/>
            <w:vMerge/>
          </w:tcPr>
          <w:p w14:paraId="671034DF" w14:textId="77777777" w:rsidR="000F5A01" w:rsidRPr="0022554A" w:rsidRDefault="000F5A01" w:rsidP="000F5A01">
            <w:pPr>
              <w:tabs>
                <w:tab w:val="left" w:pos="5400"/>
              </w:tabs>
              <w:jc w:val="center"/>
              <w:rPr>
                <w:sz w:val="20"/>
              </w:rPr>
            </w:pPr>
          </w:p>
        </w:tc>
        <w:tc>
          <w:tcPr>
            <w:tcW w:w="8031" w:type="dxa"/>
          </w:tcPr>
          <w:p w14:paraId="73C94FD0" w14:textId="77777777" w:rsidR="000F5A01" w:rsidRPr="0022554A" w:rsidRDefault="000F5A01" w:rsidP="000F5A01">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D07C19F" w14:textId="77777777" w:rsidR="000F5A01" w:rsidRPr="0022554A" w:rsidRDefault="000F5A01" w:rsidP="000F5A01">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D9BA954" w14:textId="7E3A09B9" w:rsidR="000F5A01" w:rsidRPr="0022554A" w:rsidRDefault="000F5A01" w:rsidP="000F5A01">
            <w:pPr>
              <w:tabs>
                <w:tab w:val="left" w:pos="5400"/>
              </w:tabs>
              <w:rPr>
                <w:sz w:val="20"/>
                <w:lang w:eastAsia="ja-JP"/>
              </w:rPr>
            </w:pPr>
            <w:r w:rsidRPr="008F3E0B">
              <w:rPr>
                <w:sz w:val="20"/>
                <w:lang w:eastAsia="ja-JP"/>
              </w:rPr>
              <w:t>N</w:t>
            </w:r>
            <w:r w:rsidRPr="008F3E0B">
              <w:rPr>
                <w:rFonts w:hint="eastAsia"/>
                <w:sz w:val="20"/>
                <w:lang w:eastAsia="ja-JP"/>
              </w:rPr>
              <w:t>ot applicable</w:t>
            </w:r>
          </w:p>
        </w:tc>
        <w:tc>
          <w:tcPr>
            <w:tcW w:w="2835" w:type="dxa"/>
          </w:tcPr>
          <w:p w14:paraId="57BC0109" w14:textId="71E1ADCC" w:rsidR="000F5A01" w:rsidRPr="0022554A" w:rsidRDefault="000F5A01" w:rsidP="000F5A01">
            <w:pPr>
              <w:tabs>
                <w:tab w:val="left" w:pos="5400"/>
              </w:tabs>
              <w:rPr>
                <w:sz w:val="20"/>
                <w:lang w:eastAsia="ja-JP"/>
              </w:rPr>
            </w:pPr>
            <w:r>
              <w:rPr>
                <w:sz w:val="20"/>
                <w:lang w:eastAsia="ja-JP"/>
              </w:rPr>
              <w:t>N</w:t>
            </w:r>
            <w:r>
              <w:rPr>
                <w:rFonts w:hint="eastAsia"/>
                <w:sz w:val="20"/>
                <w:lang w:eastAsia="ja-JP"/>
              </w:rPr>
              <w:t>ot applicable</w:t>
            </w:r>
          </w:p>
        </w:tc>
      </w:tr>
      <w:tr w:rsidR="000F5A01" w:rsidRPr="0022554A" w14:paraId="2DD8618E" w14:textId="77777777" w:rsidTr="00E341E9">
        <w:tc>
          <w:tcPr>
            <w:tcW w:w="1951" w:type="dxa"/>
          </w:tcPr>
          <w:p w14:paraId="7D192651" w14:textId="77777777" w:rsidR="000F5A01" w:rsidRPr="0022554A" w:rsidRDefault="000F5A01" w:rsidP="000F5A01">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8DFF85F" w14:textId="77777777" w:rsidR="000F5A01" w:rsidRPr="0022554A" w:rsidRDefault="000F5A01" w:rsidP="000F5A01">
            <w:pPr>
              <w:tabs>
                <w:tab w:val="left" w:pos="5400"/>
              </w:tabs>
              <w:jc w:val="center"/>
              <w:rPr>
                <w:sz w:val="20"/>
              </w:rPr>
            </w:pPr>
            <w:r w:rsidRPr="0022554A">
              <w:rPr>
                <w:sz w:val="20"/>
              </w:rPr>
              <w:t>7</w:t>
            </w:r>
          </w:p>
        </w:tc>
        <w:tc>
          <w:tcPr>
            <w:tcW w:w="8031" w:type="dxa"/>
          </w:tcPr>
          <w:p w14:paraId="53483398" w14:textId="77777777" w:rsidR="000F5A01" w:rsidRPr="0022554A" w:rsidRDefault="000F5A01" w:rsidP="000F5A01">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13F03B51" w14:textId="25DDFE37" w:rsidR="000F5A01" w:rsidRPr="0022554A" w:rsidRDefault="000F5A01" w:rsidP="000F5A01">
            <w:pPr>
              <w:tabs>
                <w:tab w:val="left" w:pos="5400"/>
              </w:tabs>
              <w:rPr>
                <w:sz w:val="20"/>
                <w:lang w:eastAsia="ja-JP"/>
              </w:rPr>
            </w:pPr>
            <w:r>
              <w:rPr>
                <w:rFonts w:hint="eastAsia"/>
                <w:sz w:val="20"/>
                <w:lang w:eastAsia="ja-JP"/>
              </w:rPr>
              <w:t>4-5</w:t>
            </w:r>
          </w:p>
        </w:tc>
        <w:tc>
          <w:tcPr>
            <w:tcW w:w="2835" w:type="dxa"/>
          </w:tcPr>
          <w:p w14:paraId="4BB0FB18" w14:textId="77777777" w:rsidR="000A5CF4" w:rsidRPr="000A5CF4" w:rsidRDefault="000A5CF4" w:rsidP="000A5CF4">
            <w:pPr>
              <w:tabs>
                <w:tab w:val="left" w:pos="5400"/>
              </w:tabs>
              <w:rPr>
                <w:bCs/>
                <w:sz w:val="20"/>
                <w:lang w:val="en-US" w:eastAsia="ja-JP"/>
              </w:rPr>
            </w:pPr>
            <w:r w:rsidRPr="000A5CF4">
              <w:rPr>
                <w:bCs/>
                <w:sz w:val="20"/>
                <w:lang w:val="en-US" w:eastAsia="ja-JP"/>
              </w:rPr>
              <w:t>Medical and dental examinations</w:t>
            </w:r>
          </w:p>
          <w:p w14:paraId="5F9DABBF" w14:textId="77777777" w:rsidR="000A5CF4" w:rsidRPr="000A5CF4" w:rsidRDefault="000A5CF4" w:rsidP="000A5CF4">
            <w:pPr>
              <w:tabs>
                <w:tab w:val="left" w:pos="5400"/>
              </w:tabs>
              <w:rPr>
                <w:bCs/>
                <w:sz w:val="20"/>
                <w:lang w:val="en-US" w:eastAsia="ja-JP"/>
              </w:rPr>
            </w:pPr>
            <w:r w:rsidRPr="000A5CF4">
              <w:rPr>
                <w:bCs/>
                <w:sz w:val="20"/>
                <w:lang w:val="en-US" w:eastAsia="ja-JP"/>
              </w:rPr>
              <w:t>Details regarding sex, age, the time at which the participants finished their last meal on the day of examination, whether they had visited a physician, and smoking history were recorded. In addition, the most recent HbA1c levels were also recorded, and patients with type 2 diabetes were assigned to the diabetes group.</w:t>
            </w:r>
          </w:p>
          <w:p w14:paraId="3ED2AB08" w14:textId="77777777" w:rsidR="000A5CF4" w:rsidRPr="000A5CF4" w:rsidRDefault="000A5CF4" w:rsidP="000A5CF4">
            <w:pPr>
              <w:tabs>
                <w:tab w:val="left" w:pos="5400"/>
              </w:tabs>
              <w:rPr>
                <w:bCs/>
                <w:sz w:val="20"/>
                <w:lang w:val="en-US" w:eastAsia="ja-JP"/>
              </w:rPr>
            </w:pPr>
            <w:r w:rsidRPr="000A5CF4">
              <w:rPr>
                <w:bCs/>
                <w:sz w:val="20"/>
                <w:lang w:val="en-US" w:eastAsia="ja-JP"/>
              </w:rPr>
              <w:lastRenderedPageBreak/>
              <w:t xml:space="preserve">Multiple examiners conducted periodontal examinations, and an </w:t>
            </w:r>
            <w:proofErr w:type="spellStart"/>
            <w:r w:rsidRPr="000A5CF4">
              <w:rPr>
                <w:bCs/>
                <w:sz w:val="20"/>
                <w:lang w:val="en-US" w:eastAsia="ja-JP"/>
              </w:rPr>
              <w:t>interexaminer</w:t>
            </w:r>
            <w:proofErr w:type="spellEnd"/>
            <w:r w:rsidRPr="000A5CF4">
              <w:rPr>
                <w:bCs/>
                <w:sz w:val="20"/>
                <w:lang w:val="en-US" w:eastAsia="ja-JP"/>
              </w:rPr>
              <w:t xml:space="preserve"> reliability assessment was conducted. Dental examinations were subsequently performed. The number of teeth present was recorded. In addition, the dental plaque was stained, and the plaque control record (PCR) was determined (O'Leary, Drake &amp; Naylor, 1972). The probing pocket depth (PPD) and BOP were evaluated using a periodontal pocket probe (CP-11, Hu-</w:t>
            </w:r>
            <w:proofErr w:type="spellStart"/>
            <w:r w:rsidRPr="000A5CF4">
              <w:rPr>
                <w:bCs/>
                <w:sz w:val="20"/>
                <w:lang w:val="en-US" w:eastAsia="ja-JP"/>
              </w:rPr>
              <w:t>Friedy</w:t>
            </w:r>
            <w:proofErr w:type="spellEnd"/>
            <w:r w:rsidRPr="000A5CF4">
              <w:rPr>
                <w:bCs/>
                <w:sz w:val="20"/>
                <w:lang w:val="en-US" w:eastAsia="ja-JP"/>
              </w:rPr>
              <w:t xml:space="preserve">, Chicago, IL, USA) and recorded. Tooth mobility was measured with dental tweezers using Miller’s mobility index (Japanese Society of Periodontology, 2017; Wu et al., 2018) and classified as follows: Grade 0 (physiological mobility), ≤0.2 mm; Grade 1 (slight, labiolingual), 0.2–1 mm; Grade 2 (moderate, labiolingual and mesiodistal), 1–2 mm; and Grade 3 (severe, labiolingual and mesiodistal) ≥2 mm or vertical movement. The periodontal inflamed surface </w:t>
            </w:r>
            <w:r w:rsidRPr="000A5CF4">
              <w:rPr>
                <w:bCs/>
                <w:sz w:val="20"/>
                <w:lang w:val="en-US" w:eastAsia="ja-JP"/>
              </w:rPr>
              <w:lastRenderedPageBreak/>
              <w:t>area (PISA) and periodontal epithelial surface area (PESA) were calculated (Nesse et al., 2008) using a spreadsheet (</w:t>
            </w:r>
            <w:proofErr w:type="spellStart"/>
            <w:r w:rsidRPr="000A5CF4">
              <w:rPr>
                <w:bCs/>
                <w:sz w:val="20"/>
                <w:lang w:val="en-US" w:eastAsia="ja-JP"/>
              </w:rPr>
              <w:t>Vissink</w:t>
            </w:r>
            <w:proofErr w:type="spellEnd"/>
            <w:r w:rsidRPr="000A5CF4">
              <w:rPr>
                <w:bCs/>
                <w:sz w:val="20"/>
                <w:lang w:val="en-US" w:eastAsia="ja-JP"/>
              </w:rPr>
              <w:t xml:space="preserve"> et al., 2008a) available on an internet website (</w:t>
            </w:r>
            <w:proofErr w:type="spellStart"/>
            <w:r w:rsidRPr="000A5CF4">
              <w:rPr>
                <w:bCs/>
                <w:sz w:val="20"/>
                <w:lang w:val="en-US" w:eastAsia="ja-JP"/>
              </w:rPr>
              <w:t>Vissink</w:t>
            </w:r>
            <w:proofErr w:type="spellEnd"/>
            <w:r w:rsidRPr="000A5CF4">
              <w:rPr>
                <w:bCs/>
                <w:sz w:val="20"/>
                <w:lang w:val="en-US" w:eastAsia="ja-JP"/>
              </w:rPr>
              <w:t xml:space="preserve"> et al., 2008b), and the PPD and BOP were entered. Periodontitis was diagnosed and classified based on the examinations and radiographs (Tonetti, Greenwell &amp; Kornman, 2018a; Tonetti, Greenwell &amp; Kornman, 2018b). Stages indicating the severity and complexity of periodontitis were as follows: Stage I, initial; Stage II, moderate; Stage III, severe with potential for additional tooth loss; and Stage IV, severe with potential for loss of dentition. The extent was defined as generalized (&gt;30% of teeth involved) or localized for each stage. In addition, the grade, which indicates the risk of periodontitis progression, was defined as follows: Grade A, slow rate of progression; Grade B, moderate rate of progression; and Grade C, rapid rate of progression. Risk factors, including smoking and diabetes, </w:t>
            </w:r>
            <w:r w:rsidRPr="000A5CF4">
              <w:rPr>
                <w:bCs/>
                <w:sz w:val="20"/>
                <w:lang w:val="en-US" w:eastAsia="ja-JP"/>
              </w:rPr>
              <w:lastRenderedPageBreak/>
              <w:t>were considered when the grade was determined.</w:t>
            </w:r>
          </w:p>
          <w:p w14:paraId="32F83A48" w14:textId="77777777" w:rsidR="000A5CF4" w:rsidRPr="000A5CF4" w:rsidRDefault="000A5CF4" w:rsidP="000A5CF4">
            <w:pPr>
              <w:tabs>
                <w:tab w:val="left" w:pos="5400"/>
              </w:tabs>
              <w:rPr>
                <w:bCs/>
                <w:sz w:val="20"/>
                <w:lang w:val="en-US" w:eastAsia="ja-JP"/>
              </w:rPr>
            </w:pPr>
            <w:r w:rsidRPr="000A5CF4">
              <w:rPr>
                <w:bCs/>
                <w:sz w:val="20"/>
                <w:lang w:val="en-US" w:eastAsia="ja-JP"/>
              </w:rPr>
              <w:t>Blood glucose measurements</w:t>
            </w:r>
          </w:p>
          <w:p w14:paraId="022057E3" w14:textId="77E0B6F7" w:rsidR="000F5A01" w:rsidRPr="0002123C" w:rsidRDefault="000A5CF4" w:rsidP="000A5CF4">
            <w:pPr>
              <w:tabs>
                <w:tab w:val="left" w:pos="5400"/>
              </w:tabs>
              <w:rPr>
                <w:bCs/>
                <w:sz w:val="20"/>
                <w:lang w:val="en-US" w:eastAsia="ja-JP"/>
              </w:rPr>
            </w:pPr>
            <w:r w:rsidRPr="000A5CF4">
              <w:rPr>
                <w:bCs/>
                <w:sz w:val="20"/>
                <w:lang w:val="en-US" w:eastAsia="ja-JP"/>
              </w:rPr>
              <w:t xml:space="preserve">The dental plaque was gently removed with cotton pellets, and the sampling sites were isolated using cotton rolls to prevent contamination with saliva and dental plaque. A saliva ejector was also used. Periodontal probing of the sampling sites was subsequently performed. A micropipette (Eppendorf Reference 2, Eppendorf AG, Hamburg, Germany) collected approximately 1.0 </w:t>
            </w:r>
            <w:proofErr w:type="spellStart"/>
            <w:r w:rsidRPr="000A5CF4">
              <w:rPr>
                <w:bCs/>
                <w:sz w:val="20"/>
                <w:lang w:val="en-US" w:eastAsia="ja-JP"/>
              </w:rPr>
              <w:t>μL</w:t>
            </w:r>
            <w:proofErr w:type="spellEnd"/>
            <w:r w:rsidRPr="000A5CF4">
              <w:rPr>
                <w:bCs/>
                <w:sz w:val="20"/>
                <w:lang w:val="en-US" w:eastAsia="ja-JP"/>
              </w:rPr>
              <w:t xml:space="preserve"> (the minimum volume required for a single blood glucose level measurement) of blood from the sampling site. The mandibular sampling sites were restricted to the labial or buccal sides of the teeth to prevent salivary contamination. The labial or palatal sides of the maxillary anterior teeth were sampled, whereas the palatal sides of the maxillary premolars or molars were sampled. Periodontal pockets with pus were excluded. Blood samples were also acquired from the fingertip. The </w:t>
            </w:r>
            <w:r w:rsidRPr="000A5CF4">
              <w:rPr>
                <w:bCs/>
                <w:sz w:val="20"/>
                <w:lang w:val="en-US" w:eastAsia="ja-JP"/>
              </w:rPr>
              <w:lastRenderedPageBreak/>
              <w:t>blood glucose levels were measured using an SMBG device (</w:t>
            </w:r>
            <w:proofErr w:type="spellStart"/>
            <w:r w:rsidRPr="000A5CF4">
              <w:rPr>
                <w:bCs/>
                <w:sz w:val="20"/>
                <w:lang w:val="en-US" w:eastAsia="ja-JP"/>
              </w:rPr>
              <w:t>FreeStyle</w:t>
            </w:r>
            <w:proofErr w:type="spellEnd"/>
            <w:r w:rsidRPr="000A5CF4">
              <w:rPr>
                <w:bCs/>
                <w:sz w:val="20"/>
                <w:lang w:val="en-US" w:eastAsia="ja-JP"/>
              </w:rPr>
              <w:t xml:space="preserve"> Precision Neo, Abbott Diabetes Care, Inc., Alameda, CA, USA) immediately after blood collection.</w:t>
            </w:r>
          </w:p>
        </w:tc>
      </w:tr>
      <w:tr w:rsidR="00A90886" w:rsidRPr="0022554A" w14:paraId="403F760D" w14:textId="77777777" w:rsidTr="00E341E9">
        <w:trPr>
          <w:trHeight w:val="294"/>
        </w:trPr>
        <w:tc>
          <w:tcPr>
            <w:tcW w:w="1951" w:type="dxa"/>
          </w:tcPr>
          <w:p w14:paraId="61234001" w14:textId="77777777" w:rsidR="00A90886" w:rsidRPr="0022554A" w:rsidRDefault="00A90886" w:rsidP="00A90886">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05B58C8" w14:textId="77777777" w:rsidR="00A90886" w:rsidRPr="0022554A" w:rsidRDefault="00A90886" w:rsidP="00A90886">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6B69B224" w14:textId="77777777" w:rsidR="00A90886" w:rsidRPr="0022554A" w:rsidRDefault="00A90886" w:rsidP="00A90886">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0E405D7" w14:textId="117D0B76" w:rsidR="00A90886" w:rsidRPr="00E84FFF" w:rsidRDefault="00A90886" w:rsidP="00A90886">
            <w:pPr>
              <w:tabs>
                <w:tab w:val="left" w:pos="5400"/>
              </w:tabs>
              <w:rPr>
                <w:iCs/>
                <w:sz w:val="20"/>
                <w:lang w:eastAsia="ja-JP"/>
              </w:rPr>
            </w:pPr>
            <w:r>
              <w:rPr>
                <w:rFonts w:hint="eastAsia"/>
                <w:iCs/>
                <w:sz w:val="20"/>
                <w:lang w:eastAsia="ja-JP"/>
              </w:rPr>
              <w:t>4-5</w:t>
            </w:r>
          </w:p>
        </w:tc>
        <w:tc>
          <w:tcPr>
            <w:tcW w:w="2835" w:type="dxa"/>
          </w:tcPr>
          <w:p w14:paraId="7C5D7649" w14:textId="77777777" w:rsidR="00CC6F66" w:rsidRPr="00CC6F66" w:rsidRDefault="00CC6F66" w:rsidP="00CC6F66">
            <w:pPr>
              <w:tabs>
                <w:tab w:val="left" w:pos="5400"/>
              </w:tabs>
              <w:rPr>
                <w:bCs/>
                <w:iCs/>
                <w:sz w:val="20"/>
                <w:lang w:eastAsia="ja-JP"/>
              </w:rPr>
            </w:pPr>
            <w:r w:rsidRPr="00CC6F66">
              <w:rPr>
                <w:bCs/>
                <w:iCs/>
                <w:sz w:val="20"/>
                <w:lang w:eastAsia="ja-JP"/>
              </w:rPr>
              <w:t>Medical and dental examinations</w:t>
            </w:r>
          </w:p>
          <w:p w14:paraId="288FCAD4" w14:textId="77777777" w:rsidR="00CC6F66" w:rsidRPr="00CC6F66" w:rsidRDefault="00CC6F66" w:rsidP="00CC6F66">
            <w:pPr>
              <w:tabs>
                <w:tab w:val="left" w:pos="5400"/>
              </w:tabs>
              <w:rPr>
                <w:bCs/>
                <w:iCs/>
                <w:sz w:val="20"/>
                <w:lang w:eastAsia="ja-JP"/>
              </w:rPr>
            </w:pPr>
            <w:r w:rsidRPr="00CC6F66">
              <w:rPr>
                <w:bCs/>
                <w:iCs/>
                <w:sz w:val="20"/>
                <w:lang w:eastAsia="ja-JP"/>
              </w:rPr>
              <w:t>Details regarding sex, age, the time at which the participants finished their last meal on the day of examination, whether they had visited a physician, and smoking history were recorded. In addition, the most recent HbA1c levels were also recorded, and patients with type 2 diabetes were assigned to the diabetes group.</w:t>
            </w:r>
          </w:p>
          <w:p w14:paraId="2F64E7AE" w14:textId="77777777" w:rsidR="00CC6F66" w:rsidRPr="00CC6F66" w:rsidRDefault="00CC6F66" w:rsidP="00CC6F66">
            <w:pPr>
              <w:tabs>
                <w:tab w:val="left" w:pos="5400"/>
              </w:tabs>
              <w:rPr>
                <w:bCs/>
                <w:iCs/>
                <w:sz w:val="20"/>
                <w:lang w:eastAsia="ja-JP"/>
              </w:rPr>
            </w:pPr>
            <w:r w:rsidRPr="00CC6F66">
              <w:rPr>
                <w:bCs/>
                <w:iCs/>
                <w:sz w:val="20"/>
                <w:lang w:eastAsia="ja-JP"/>
              </w:rPr>
              <w:t xml:space="preserve">Multiple examiners conducted periodontal examinations, and an </w:t>
            </w:r>
            <w:proofErr w:type="spellStart"/>
            <w:r w:rsidRPr="00CC6F66">
              <w:rPr>
                <w:bCs/>
                <w:iCs/>
                <w:sz w:val="20"/>
                <w:lang w:eastAsia="ja-JP"/>
              </w:rPr>
              <w:t>interexaminer</w:t>
            </w:r>
            <w:proofErr w:type="spellEnd"/>
            <w:r w:rsidRPr="00CC6F66">
              <w:rPr>
                <w:bCs/>
                <w:iCs/>
                <w:sz w:val="20"/>
                <w:lang w:eastAsia="ja-JP"/>
              </w:rPr>
              <w:t xml:space="preserve"> reliability assessment was conducted. Dental examinations were subsequently performed. The number of teeth present was recorded. In addition, the dental plaque was stained, and the plaque control record (PCR) was determined (O'Leary, Drake &amp; Naylor, 1972). The probing </w:t>
            </w:r>
            <w:r w:rsidRPr="00CC6F66">
              <w:rPr>
                <w:bCs/>
                <w:iCs/>
                <w:sz w:val="20"/>
                <w:lang w:eastAsia="ja-JP"/>
              </w:rPr>
              <w:lastRenderedPageBreak/>
              <w:t>pocket depth (PPD) and BOP were evaluated using a periodontal pocket probe (CP-11, Hu-</w:t>
            </w:r>
            <w:proofErr w:type="spellStart"/>
            <w:r w:rsidRPr="00CC6F66">
              <w:rPr>
                <w:bCs/>
                <w:iCs/>
                <w:sz w:val="20"/>
                <w:lang w:eastAsia="ja-JP"/>
              </w:rPr>
              <w:t>Friedy</w:t>
            </w:r>
            <w:proofErr w:type="spellEnd"/>
            <w:r w:rsidRPr="00CC6F66">
              <w:rPr>
                <w:bCs/>
                <w:iCs/>
                <w:sz w:val="20"/>
                <w:lang w:eastAsia="ja-JP"/>
              </w:rPr>
              <w:t>, Chicago, IL, USA) and recorded. Tooth mobility was measured with dental tweezers using Miller’s mobility index (Japanese Society of Periodontology, 2017; Wu et al., 2018) and classified as follows: Grade 0 (physiological mobility), ≤0.2 mm; Grade 1 (slight, labiolingual), 0.2–1 mm; Grade 2 (moderate, labiolingual and mesiodistal), 1–2 mm; and Grade 3 (severe, labiolingual and mesiodistal) ≥2 mm or vertical movement. The periodontal inflamed surface area (PISA) and periodontal epithelial surface area (PESA) were calculated (Nesse et al., 2008) using a spreadsheet (</w:t>
            </w:r>
            <w:proofErr w:type="spellStart"/>
            <w:r w:rsidRPr="00CC6F66">
              <w:rPr>
                <w:bCs/>
                <w:iCs/>
                <w:sz w:val="20"/>
                <w:lang w:eastAsia="ja-JP"/>
              </w:rPr>
              <w:t>Vissink</w:t>
            </w:r>
            <w:proofErr w:type="spellEnd"/>
            <w:r w:rsidRPr="00CC6F66">
              <w:rPr>
                <w:bCs/>
                <w:iCs/>
                <w:sz w:val="20"/>
                <w:lang w:eastAsia="ja-JP"/>
              </w:rPr>
              <w:t xml:space="preserve"> et al., 2008a) available on an internet website (</w:t>
            </w:r>
            <w:proofErr w:type="spellStart"/>
            <w:r w:rsidRPr="00CC6F66">
              <w:rPr>
                <w:bCs/>
                <w:iCs/>
                <w:sz w:val="20"/>
                <w:lang w:eastAsia="ja-JP"/>
              </w:rPr>
              <w:t>Vissink</w:t>
            </w:r>
            <w:proofErr w:type="spellEnd"/>
            <w:r w:rsidRPr="00CC6F66">
              <w:rPr>
                <w:bCs/>
                <w:iCs/>
                <w:sz w:val="20"/>
                <w:lang w:eastAsia="ja-JP"/>
              </w:rPr>
              <w:t xml:space="preserve"> et al., 2008b), and the PPD and BOP were entered. Periodontitis was diagnosed and classified based on the examinations and radiographs (Tonetti, Greenwell &amp; Kornman, 2018a; Tonetti, </w:t>
            </w:r>
            <w:r w:rsidRPr="00CC6F66">
              <w:rPr>
                <w:bCs/>
                <w:iCs/>
                <w:sz w:val="20"/>
                <w:lang w:eastAsia="ja-JP"/>
              </w:rPr>
              <w:lastRenderedPageBreak/>
              <w:t>Greenwell &amp; Kornman, 2018b). Stages indicating the severity and complexity of periodontitis were as follows: Stage I, initial; Stage II, moderate; Stage III, severe with potential for additional tooth loss; and Stage IV, severe with potential for loss of dentition. The extent was defined as generalized (&gt;30% of teeth involved) or localized for each stage. In addition, the grade, which indicates the risk of periodontitis progression, was defined as follows: Grade A, slow rate of progression; Grade B, moderate rate of progression; and Grade C, rapid rate of progression. Risk factors, including smoking and diabetes, were considered when the grade was determined.</w:t>
            </w:r>
          </w:p>
          <w:p w14:paraId="4D18CEAF" w14:textId="77777777" w:rsidR="00CC6F66" w:rsidRPr="00CC6F66" w:rsidRDefault="00CC6F66" w:rsidP="00CC6F66">
            <w:pPr>
              <w:tabs>
                <w:tab w:val="left" w:pos="5400"/>
              </w:tabs>
              <w:rPr>
                <w:bCs/>
                <w:iCs/>
                <w:sz w:val="20"/>
                <w:lang w:eastAsia="ja-JP"/>
              </w:rPr>
            </w:pPr>
            <w:r w:rsidRPr="00CC6F66">
              <w:rPr>
                <w:bCs/>
                <w:iCs/>
                <w:sz w:val="20"/>
                <w:lang w:eastAsia="ja-JP"/>
              </w:rPr>
              <w:t>Blood glucose measurements</w:t>
            </w:r>
          </w:p>
          <w:p w14:paraId="56C0DF32" w14:textId="4BBDEC8F" w:rsidR="00A90886" w:rsidRPr="00A64316" w:rsidRDefault="00CC6F66" w:rsidP="00CC6F66">
            <w:pPr>
              <w:tabs>
                <w:tab w:val="left" w:pos="5400"/>
              </w:tabs>
              <w:rPr>
                <w:bCs/>
                <w:iCs/>
                <w:sz w:val="20"/>
                <w:lang w:eastAsia="ja-JP"/>
              </w:rPr>
            </w:pPr>
            <w:r w:rsidRPr="00CC6F66">
              <w:rPr>
                <w:bCs/>
                <w:iCs/>
                <w:sz w:val="20"/>
                <w:lang w:eastAsia="ja-JP"/>
              </w:rPr>
              <w:t xml:space="preserve">The dental plaque was gently removed with cotton pellets, and the sampling sites were isolated using cotton rolls to prevent contamination with saliva and dental plaque. A saliva ejector was also used. Periodontal probing of the sampling sites was subsequently performed. A </w:t>
            </w:r>
            <w:r w:rsidRPr="00CC6F66">
              <w:rPr>
                <w:bCs/>
                <w:iCs/>
                <w:sz w:val="20"/>
                <w:lang w:eastAsia="ja-JP"/>
              </w:rPr>
              <w:lastRenderedPageBreak/>
              <w:t xml:space="preserve">micropipette (Eppendorf Reference 2, Eppendorf AG, Hamburg, Germany) collected approximately 1.0 </w:t>
            </w:r>
            <w:proofErr w:type="spellStart"/>
            <w:r w:rsidRPr="00CC6F66">
              <w:rPr>
                <w:bCs/>
                <w:iCs/>
                <w:sz w:val="20"/>
                <w:lang w:eastAsia="ja-JP"/>
              </w:rPr>
              <w:t>μL</w:t>
            </w:r>
            <w:proofErr w:type="spellEnd"/>
            <w:r w:rsidRPr="00CC6F66">
              <w:rPr>
                <w:bCs/>
                <w:iCs/>
                <w:sz w:val="20"/>
                <w:lang w:eastAsia="ja-JP"/>
              </w:rPr>
              <w:t xml:space="preserve"> (the minimum volume required for a single blood glucose level measurement) of blood from the sampling site. The mandibular sampling sites were restricted to the labial or buccal sides of the teeth to prevent salivary contamination. The labial or palatal sides of the maxillary anterior teeth were sampled, whereas the palatal sides of the maxillary premolars or molars were sampled. Periodontal pockets with pus were excluded. Blood samples were also acquired from the fingertip. The blood glucose levels were measured using an SMBG device (</w:t>
            </w:r>
            <w:proofErr w:type="spellStart"/>
            <w:r w:rsidRPr="00CC6F66">
              <w:rPr>
                <w:bCs/>
                <w:iCs/>
                <w:sz w:val="20"/>
                <w:lang w:eastAsia="ja-JP"/>
              </w:rPr>
              <w:t>FreeStyle</w:t>
            </w:r>
            <w:proofErr w:type="spellEnd"/>
            <w:r w:rsidRPr="00CC6F66">
              <w:rPr>
                <w:bCs/>
                <w:iCs/>
                <w:sz w:val="20"/>
                <w:lang w:eastAsia="ja-JP"/>
              </w:rPr>
              <w:t xml:space="preserve"> Precision Neo, Abbott Diabetes Care, Inc., Alameda, CA, USA) immediately after blood collection.</w:t>
            </w:r>
          </w:p>
        </w:tc>
      </w:tr>
      <w:tr w:rsidR="00A90886" w:rsidRPr="0022554A" w14:paraId="7E021CFD" w14:textId="77777777" w:rsidTr="00E341E9">
        <w:tc>
          <w:tcPr>
            <w:tcW w:w="1951" w:type="dxa"/>
          </w:tcPr>
          <w:p w14:paraId="5DA0B859" w14:textId="77777777" w:rsidR="00A90886" w:rsidRPr="0022554A" w:rsidRDefault="00A90886" w:rsidP="00A90886">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79CD102F" w14:textId="77777777" w:rsidR="00A90886" w:rsidRPr="0022554A" w:rsidRDefault="00A90886" w:rsidP="00A90886">
            <w:pPr>
              <w:tabs>
                <w:tab w:val="left" w:pos="5400"/>
              </w:tabs>
              <w:jc w:val="center"/>
              <w:rPr>
                <w:sz w:val="20"/>
              </w:rPr>
            </w:pPr>
            <w:r w:rsidRPr="0022554A">
              <w:rPr>
                <w:sz w:val="20"/>
              </w:rPr>
              <w:t>9</w:t>
            </w:r>
          </w:p>
        </w:tc>
        <w:tc>
          <w:tcPr>
            <w:tcW w:w="8031" w:type="dxa"/>
          </w:tcPr>
          <w:p w14:paraId="4AF2E3D1" w14:textId="77777777" w:rsidR="00A90886" w:rsidRPr="0022554A" w:rsidRDefault="00A90886" w:rsidP="00A90886">
            <w:pPr>
              <w:tabs>
                <w:tab w:val="left" w:pos="5400"/>
              </w:tabs>
              <w:rPr>
                <w:color w:val="000000"/>
                <w:sz w:val="20"/>
              </w:rPr>
            </w:pPr>
            <w:r w:rsidRPr="0022554A">
              <w:rPr>
                <w:color w:val="000000"/>
                <w:sz w:val="20"/>
              </w:rPr>
              <w:t>Describe any efforts to address potential sources of bias</w:t>
            </w:r>
          </w:p>
        </w:tc>
        <w:tc>
          <w:tcPr>
            <w:tcW w:w="1559" w:type="dxa"/>
          </w:tcPr>
          <w:p w14:paraId="631AB5CB" w14:textId="1DA802AF" w:rsidR="00A90886" w:rsidRPr="0022554A" w:rsidRDefault="00EA3388" w:rsidP="00A90886">
            <w:pPr>
              <w:tabs>
                <w:tab w:val="left" w:pos="5400"/>
              </w:tabs>
              <w:rPr>
                <w:color w:val="000000"/>
                <w:sz w:val="20"/>
                <w:lang w:eastAsia="ja-JP"/>
              </w:rPr>
            </w:pPr>
            <w:r>
              <w:rPr>
                <w:rFonts w:hint="eastAsia"/>
                <w:color w:val="000000"/>
                <w:sz w:val="20"/>
                <w:lang w:eastAsia="ja-JP"/>
              </w:rPr>
              <w:t>4</w:t>
            </w:r>
            <w:r w:rsidR="00CE70F8">
              <w:rPr>
                <w:rFonts w:hint="eastAsia"/>
                <w:color w:val="000000"/>
                <w:sz w:val="20"/>
                <w:lang w:eastAsia="ja-JP"/>
              </w:rPr>
              <w:t>-5</w:t>
            </w:r>
          </w:p>
        </w:tc>
        <w:tc>
          <w:tcPr>
            <w:tcW w:w="2835" w:type="dxa"/>
          </w:tcPr>
          <w:p w14:paraId="2130958A"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Sample size setting</w:t>
            </w:r>
          </w:p>
          <w:p w14:paraId="5FE5883A"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 xml:space="preserve">Previous studies were extracted from the PubMed database and examined to determine the number of participants required </w:t>
            </w:r>
            <w:r w:rsidRPr="00DE76E2">
              <w:rPr>
                <w:rFonts w:ascii="Times New Roman" w:hAnsi="Times New Roman" w:cs="Times New Roman"/>
                <w:bCs/>
                <w:sz w:val="20"/>
                <w:szCs w:val="20"/>
              </w:rPr>
              <w:lastRenderedPageBreak/>
              <w:t xml:space="preserve">to evaluate the efficacy of GBG measurements compared with that of FTBG measurements. One study (Rajesh et al., 2016) had 24 participants, one study (Gaikwad et al., 2013) had 25 participants, and three studies (Gupta et al., 2014; Shylaja et al., 2016; Sibyl et al., 2017) with 30 participants reported a significant correlation between the GBG and FTBG measurements. G*Power 3.1 (Faul et al., 2007) obtained from an internet website (Research Team of Cognitive and Industrial Psychology, Department of Experimental Psychology, Faculty of Mathematics and Natural Sciences, Heinrich Heine University Düsseldorf, 2007) was used to calculate the sample size. The α and β errors were set to 0.05 and 0.2, respectively. According to a previous report, a correlation coefficient of 0.715 was selected for the correlation analysis (Gupta et al., 2014). The effect size was set as 0.8 for paired t tests evaluated via Bland–Altman analysis. The sample sizes were calculated as 12 for the correlation analysis and 15 for the paired t test using G*Power </w:t>
            </w:r>
            <w:r w:rsidRPr="00DE76E2">
              <w:rPr>
                <w:rFonts w:ascii="Times New Roman" w:hAnsi="Times New Roman" w:cs="Times New Roman"/>
                <w:bCs/>
                <w:sz w:val="20"/>
                <w:szCs w:val="20"/>
              </w:rPr>
              <w:lastRenderedPageBreak/>
              <w:t>3.1. The total number of participants was 30, with 15 participants each in the diabetic and nondiabetic groups.</w:t>
            </w:r>
          </w:p>
          <w:p w14:paraId="03A802A6"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Inclusion criteria</w:t>
            </w:r>
          </w:p>
          <w:p w14:paraId="5F7A4B28"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1. 20 years or older with at least one current tooth undergoing dental treatment at the Division of General Dentistry, Health Sciences University of Hokkaido Hospital.</w:t>
            </w:r>
          </w:p>
          <w:p w14:paraId="74DFCCBB" w14:textId="1CA74917" w:rsidR="00DE76E2" w:rsidRPr="00DE76E2" w:rsidRDefault="00DE76E2" w:rsidP="00DE76E2">
            <w:pPr>
              <w:pStyle w:val="11"/>
              <w:rPr>
                <w:rFonts w:ascii="Times New Roman" w:hAnsi="Times New Roman" w:cs="Times New Roman"/>
                <w:bCs/>
                <w:sz w:val="20"/>
                <w:szCs w:val="20"/>
                <w:lang w:eastAsia="ja-JP"/>
              </w:rPr>
            </w:pPr>
            <w:r w:rsidRPr="00DE76E2">
              <w:rPr>
                <w:rFonts w:ascii="Times New Roman" w:hAnsi="Times New Roman" w:cs="Times New Roman"/>
                <w:bCs/>
                <w:sz w:val="20"/>
                <w:szCs w:val="20"/>
              </w:rPr>
              <w:t>2. We classified patients with diabetes based on specialists' diabetes diagnoses. Patients in the diabetes group underwent treatment at the Division of Internal Medicine, Health Sciences University of Hokkaido Hospital.</w:t>
            </w:r>
          </w:p>
          <w:p w14:paraId="48BE098F"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Exclusion criteria</w:t>
            </w:r>
          </w:p>
          <w:p w14:paraId="3D8194E2"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1. Pregnant or lactating women.</w:t>
            </w:r>
          </w:p>
          <w:p w14:paraId="2F396517"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2. Patients without diabetes with GBG or FTBG levels greater than 200 mg/dL.</w:t>
            </w:r>
          </w:p>
          <w:p w14:paraId="47E7E5AB"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This study adhered to the tenets of the Declaration of Helsinki. Written informed consent was obtained from the participants after the study was explained. This study was approved by the Ethics Committee of the Institute of Preventive Medical Science, Health Sciences University of Hokkaido (No. 2019_028).</w:t>
            </w:r>
          </w:p>
          <w:p w14:paraId="2662A172"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lastRenderedPageBreak/>
              <w:t>Medical and dental examinations</w:t>
            </w:r>
          </w:p>
          <w:p w14:paraId="30D86177"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Details regarding sex, age, the time at which the participants finished their last meal on the day of examination, whether they had visited a physician, and smoking history were recorded. In addition, the most recent HbA1c levels were also recorded, and patients with type 2 diabetes were assigned to the diabetes group.</w:t>
            </w:r>
          </w:p>
          <w:p w14:paraId="781FDDE8"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 xml:space="preserve">Multiple examiners conducted periodontal examinations, and an </w:t>
            </w:r>
            <w:proofErr w:type="spellStart"/>
            <w:r w:rsidRPr="00DE76E2">
              <w:rPr>
                <w:rFonts w:ascii="Times New Roman" w:hAnsi="Times New Roman" w:cs="Times New Roman"/>
                <w:bCs/>
                <w:sz w:val="20"/>
                <w:szCs w:val="20"/>
              </w:rPr>
              <w:t>interexaminer</w:t>
            </w:r>
            <w:proofErr w:type="spellEnd"/>
            <w:r w:rsidRPr="00DE76E2">
              <w:rPr>
                <w:rFonts w:ascii="Times New Roman" w:hAnsi="Times New Roman" w:cs="Times New Roman"/>
                <w:bCs/>
                <w:sz w:val="20"/>
                <w:szCs w:val="20"/>
              </w:rPr>
              <w:t xml:space="preserve"> reliability assessment was conducted. Dental examinations were subsequently performed. The number of teeth present was recorded. In addition, the dental plaque was stained, and the plaque control record (PCR) was determined (O'Leary, Drake &amp; Naylor, 1972). The probing pocket depth (PPD) and BOP were evaluated using a periodontal pocket probe (CP-11, Hu-</w:t>
            </w:r>
            <w:proofErr w:type="spellStart"/>
            <w:r w:rsidRPr="00DE76E2">
              <w:rPr>
                <w:rFonts w:ascii="Times New Roman" w:hAnsi="Times New Roman" w:cs="Times New Roman"/>
                <w:bCs/>
                <w:sz w:val="20"/>
                <w:szCs w:val="20"/>
              </w:rPr>
              <w:t>Friedy</w:t>
            </w:r>
            <w:proofErr w:type="spellEnd"/>
            <w:r w:rsidRPr="00DE76E2">
              <w:rPr>
                <w:rFonts w:ascii="Times New Roman" w:hAnsi="Times New Roman" w:cs="Times New Roman"/>
                <w:bCs/>
                <w:sz w:val="20"/>
                <w:szCs w:val="20"/>
              </w:rPr>
              <w:t xml:space="preserve">, Chicago, IL, USA) and recorded. Tooth mobility was measured with dental tweezers using Miller’s mobility index (Japanese Society of Periodontology, 2017; Wu et al., 2018) and classified as follows: Grade 0 </w:t>
            </w:r>
            <w:r w:rsidRPr="00DE76E2">
              <w:rPr>
                <w:rFonts w:ascii="Times New Roman" w:hAnsi="Times New Roman" w:cs="Times New Roman"/>
                <w:bCs/>
                <w:sz w:val="20"/>
                <w:szCs w:val="20"/>
              </w:rPr>
              <w:lastRenderedPageBreak/>
              <w:t>(physiological mobility), ≤0.2 mm; Grade 1 (slight, labiolingual), 0.2–1 mm; Grade 2 (moderate, labiolingual and mesiodistal), 1–2 mm; and Grade 3 (severe, labiolingual and mesiodistal) ≥2 mm or vertical movement. The periodontal inflamed surface area (PISA) and periodontal epithelial surface area (PESA) were calculated (Nesse et al., 2008) using a spreadsheet (</w:t>
            </w:r>
            <w:proofErr w:type="spellStart"/>
            <w:r w:rsidRPr="00DE76E2">
              <w:rPr>
                <w:rFonts w:ascii="Times New Roman" w:hAnsi="Times New Roman" w:cs="Times New Roman"/>
                <w:bCs/>
                <w:sz w:val="20"/>
                <w:szCs w:val="20"/>
              </w:rPr>
              <w:t>Vissink</w:t>
            </w:r>
            <w:proofErr w:type="spellEnd"/>
            <w:r w:rsidRPr="00DE76E2">
              <w:rPr>
                <w:rFonts w:ascii="Times New Roman" w:hAnsi="Times New Roman" w:cs="Times New Roman"/>
                <w:bCs/>
                <w:sz w:val="20"/>
                <w:szCs w:val="20"/>
              </w:rPr>
              <w:t xml:space="preserve"> et al., 2008a) available on an internet website (</w:t>
            </w:r>
            <w:proofErr w:type="spellStart"/>
            <w:r w:rsidRPr="00DE76E2">
              <w:rPr>
                <w:rFonts w:ascii="Times New Roman" w:hAnsi="Times New Roman" w:cs="Times New Roman"/>
                <w:bCs/>
                <w:sz w:val="20"/>
                <w:szCs w:val="20"/>
              </w:rPr>
              <w:t>Vissink</w:t>
            </w:r>
            <w:proofErr w:type="spellEnd"/>
            <w:r w:rsidRPr="00DE76E2">
              <w:rPr>
                <w:rFonts w:ascii="Times New Roman" w:hAnsi="Times New Roman" w:cs="Times New Roman"/>
                <w:bCs/>
                <w:sz w:val="20"/>
                <w:szCs w:val="20"/>
              </w:rPr>
              <w:t xml:space="preserve"> et al., 2008b), and the PPD and BOP were entered. Periodontitis was diagnosed and classified based on the examinations and radiographs (Tonetti, Greenwell &amp; Kornman, 2018a; Tonetti, Greenwell &amp; Kornman, 2018b). Stages indicating the severity and complexity of periodontitis were as follows: Stage I, initial; Stage II, moderate; Stage III, severe with potential for additional tooth loss; and Stage IV, severe with potential for loss of dentition. The extent was defined as generalized (&gt;30% of teeth involved) or localized for each stage. In addition, the grade, which indicates the risk of periodontitis progression, was defined as follows: Grade </w:t>
            </w:r>
            <w:r w:rsidRPr="00DE76E2">
              <w:rPr>
                <w:rFonts w:ascii="Times New Roman" w:hAnsi="Times New Roman" w:cs="Times New Roman"/>
                <w:bCs/>
                <w:sz w:val="20"/>
                <w:szCs w:val="20"/>
              </w:rPr>
              <w:lastRenderedPageBreak/>
              <w:t>A, slow rate of progression; Grade B, moderate rate of progression; and Grade C, rapid rate of progression. Risk factors, including smoking and diabetes, were considered when the grade was determined.</w:t>
            </w:r>
          </w:p>
          <w:p w14:paraId="7990F8A6" w14:textId="77777777" w:rsidR="00DE76E2" w:rsidRPr="00DE76E2"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Blood glucose measurements</w:t>
            </w:r>
          </w:p>
          <w:p w14:paraId="12BD2A07" w14:textId="49A003BF" w:rsidR="00A90886" w:rsidRPr="00D446D6" w:rsidRDefault="00DE76E2" w:rsidP="00DE76E2">
            <w:pPr>
              <w:pStyle w:val="11"/>
              <w:rPr>
                <w:rFonts w:ascii="Times New Roman" w:hAnsi="Times New Roman" w:cs="Times New Roman"/>
                <w:bCs/>
                <w:sz w:val="20"/>
                <w:szCs w:val="20"/>
              </w:rPr>
            </w:pPr>
            <w:r w:rsidRPr="00DE76E2">
              <w:rPr>
                <w:rFonts w:ascii="Times New Roman" w:hAnsi="Times New Roman" w:cs="Times New Roman"/>
                <w:bCs/>
                <w:sz w:val="20"/>
                <w:szCs w:val="20"/>
              </w:rPr>
              <w:t xml:space="preserve">The dental plaque was gently removed with cotton pellets, and the sampling sites were isolated using cotton rolls to prevent contamination with saliva and dental plaque. A saliva ejector was also used. Periodontal probing of the sampling sites was subsequently performed. A micropipette (Eppendorf Reference 2, Eppendorf AG, Hamburg, Germany) collected approximately 1.0 </w:t>
            </w:r>
            <w:proofErr w:type="spellStart"/>
            <w:r w:rsidRPr="00DE76E2">
              <w:rPr>
                <w:rFonts w:ascii="Times New Roman" w:hAnsi="Times New Roman" w:cs="Times New Roman"/>
                <w:bCs/>
                <w:sz w:val="20"/>
                <w:szCs w:val="20"/>
              </w:rPr>
              <w:t>μL</w:t>
            </w:r>
            <w:proofErr w:type="spellEnd"/>
            <w:r w:rsidRPr="00DE76E2">
              <w:rPr>
                <w:rFonts w:ascii="Times New Roman" w:hAnsi="Times New Roman" w:cs="Times New Roman"/>
                <w:bCs/>
                <w:sz w:val="20"/>
                <w:szCs w:val="20"/>
              </w:rPr>
              <w:t xml:space="preserve"> (the minimum volume required for a single blood glucose level measurement) of blood from the sampling site. The mandibular sampling sites were restricted to the labial or buccal sides of the teeth to prevent salivary contamination. The labial or palatal sides of the maxillary anterior teeth were sampled, whereas the palatal sides of the maxillary premolars or molars were sampled. Periodontal pockets with pus were excluded. Blood samples were also </w:t>
            </w:r>
            <w:r w:rsidRPr="00DE76E2">
              <w:rPr>
                <w:rFonts w:ascii="Times New Roman" w:hAnsi="Times New Roman" w:cs="Times New Roman"/>
                <w:bCs/>
                <w:sz w:val="20"/>
                <w:szCs w:val="20"/>
              </w:rPr>
              <w:lastRenderedPageBreak/>
              <w:t>acquired from the fingertip. The blood glucose levels were measured using an SMBG device (</w:t>
            </w:r>
            <w:proofErr w:type="spellStart"/>
            <w:r w:rsidRPr="00DE76E2">
              <w:rPr>
                <w:rFonts w:ascii="Times New Roman" w:hAnsi="Times New Roman" w:cs="Times New Roman"/>
                <w:bCs/>
                <w:sz w:val="20"/>
                <w:szCs w:val="20"/>
              </w:rPr>
              <w:t>FreeStyle</w:t>
            </w:r>
            <w:proofErr w:type="spellEnd"/>
            <w:r w:rsidRPr="00DE76E2">
              <w:rPr>
                <w:rFonts w:ascii="Times New Roman" w:hAnsi="Times New Roman" w:cs="Times New Roman"/>
                <w:bCs/>
                <w:sz w:val="20"/>
                <w:szCs w:val="20"/>
              </w:rPr>
              <w:t xml:space="preserve"> Precision Neo, Abbott Diabetes Care, Inc., Alameda, CA, USA) immediately after blood collection.</w:t>
            </w:r>
          </w:p>
        </w:tc>
      </w:tr>
      <w:tr w:rsidR="00A90886" w:rsidRPr="0022554A" w14:paraId="233F04DC" w14:textId="77777777" w:rsidTr="00E341E9">
        <w:tc>
          <w:tcPr>
            <w:tcW w:w="1951" w:type="dxa"/>
          </w:tcPr>
          <w:p w14:paraId="321F1CEF" w14:textId="77777777" w:rsidR="00A90886" w:rsidRPr="0022554A" w:rsidRDefault="00A90886" w:rsidP="00A90886">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6EA5BC96" w14:textId="77777777" w:rsidR="00A90886" w:rsidRPr="0022554A" w:rsidRDefault="00A90886" w:rsidP="00A90886">
            <w:pPr>
              <w:tabs>
                <w:tab w:val="left" w:pos="5400"/>
              </w:tabs>
              <w:jc w:val="center"/>
              <w:rPr>
                <w:sz w:val="20"/>
              </w:rPr>
            </w:pPr>
            <w:r w:rsidRPr="0022554A">
              <w:rPr>
                <w:sz w:val="20"/>
              </w:rPr>
              <w:t>10</w:t>
            </w:r>
          </w:p>
        </w:tc>
        <w:tc>
          <w:tcPr>
            <w:tcW w:w="8031" w:type="dxa"/>
          </w:tcPr>
          <w:p w14:paraId="6740B66F" w14:textId="77777777" w:rsidR="00A90886" w:rsidRPr="0022554A" w:rsidRDefault="00A90886" w:rsidP="00A90886">
            <w:pPr>
              <w:tabs>
                <w:tab w:val="left" w:pos="5400"/>
              </w:tabs>
              <w:rPr>
                <w:sz w:val="20"/>
              </w:rPr>
            </w:pPr>
            <w:r w:rsidRPr="0022554A">
              <w:rPr>
                <w:sz w:val="20"/>
              </w:rPr>
              <w:t>Explain how the study size was arrived at</w:t>
            </w:r>
          </w:p>
        </w:tc>
        <w:tc>
          <w:tcPr>
            <w:tcW w:w="1559" w:type="dxa"/>
          </w:tcPr>
          <w:p w14:paraId="38A3A88D" w14:textId="4E6F5F98" w:rsidR="00A90886" w:rsidRPr="0022554A" w:rsidRDefault="00267A03" w:rsidP="00A90886">
            <w:pPr>
              <w:tabs>
                <w:tab w:val="left" w:pos="5400"/>
              </w:tabs>
              <w:rPr>
                <w:sz w:val="20"/>
                <w:lang w:eastAsia="ja-JP"/>
              </w:rPr>
            </w:pPr>
            <w:r>
              <w:rPr>
                <w:rFonts w:hint="eastAsia"/>
                <w:sz w:val="20"/>
                <w:lang w:eastAsia="ja-JP"/>
              </w:rPr>
              <w:t>4</w:t>
            </w:r>
          </w:p>
        </w:tc>
        <w:tc>
          <w:tcPr>
            <w:tcW w:w="2835" w:type="dxa"/>
          </w:tcPr>
          <w:p w14:paraId="2B60DDE7" w14:textId="77777777" w:rsidR="002D2E3C" w:rsidRPr="002D2E3C" w:rsidRDefault="002D2E3C" w:rsidP="002D2E3C">
            <w:pPr>
              <w:tabs>
                <w:tab w:val="left" w:pos="5400"/>
              </w:tabs>
              <w:rPr>
                <w:sz w:val="20"/>
                <w:lang w:eastAsia="ja-JP"/>
              </w:rPr>
            </w:pPr>
            <w:r w:rsidRPr="002D2E3C">
              <w:rPr>
                <w:sz w:val="20"/>
                <w:lang w:eastAsia="ja-JP"/>
              </w:rPr>
              <w:t>Sample size setting</w:t>
            </w:r>
          </w:p>
          <w:p w14:paraId="3E2DB2BF" w14:textId="77777777" w:rsidR="002D2E3C" w:rsidRPr="002D2E3C" w:rsidRDefault="002D2E3C" w:rsidP="002D2E3C">
            <w:pPr>
              <w:tabs>
                <w:tab w:val="left" w:pos="5400"/>
              </w:tabs>
              <w:rPr>
                <w:sz w:val="20"/>
                <w:lang w:eastAsia="ja-JP"/>
              </w:rPr>
            </w:pPr>
            <w:r w:rsidRPr="002D2E3C">
              <w:rPr>
                <w:sz w:val="20"/>
                <w:lang w:eastAsia="ja-JP"/>
              </w:rPr>
              <w:t xml:space="preserve">Previous studies were extracted from the PubMed database and examined to determine the number of participants required to evaluate the efficacy of GBG measurements compared with that of FTBG measurements. One study (Rajesh et al., 2016) had 24 participants, one study (Gaikwad et al., 2013) had 25 participants, and three studies (Gupta et al., 2014; Shylaja et al., 2016; Sibyl et al., 2017) with 30 participants reported a significant correlation between the GBG and FTBG measurements. G*Power 3.1 (Faul et al., 2007) obtained from an internet website (Research Team of Cognitive and Industrial Psychology, Department of Experimental Psychology, Faculty of </w:t>
            </w:r>
            <w:r w:rsidRPr="002D2E3C">
              <w:rPr>
                <w:sz w:val="20"/>
                <w:lang w:eastAsia="ja-JP"/>
              </w:rPr>
              <w:lastRenderedPageBreak/>
              <w:t>Mathematics and Natural Sciences, Heinrich Heine University Düsseldorf, 2007) was used to calculate the sample size. The α and β errors were set to 0.05 and 0.2, respectively. According to a previous report, a correlation coefficient of 0.715 was selected for the correlation analysis (Gupta et al., 2014). The effect size was set as 0.8 for paired t tests evaluated via Bland–Altman analysis. The sample sizes were calculated as 12 for the correlation analysis and 15 for the paired t test using G*Power 3.1. The total number of participants was 30, with 15 participants each in the diabetic and nondiabetic groups.</w:t>
            </w:r>
          </w:p>
          <w:p w14:paraId="7A2F1C54" w14:textId="77777777" w:rsidR="002D2E3C" w:rsidRPr="002D2E3C" w:rsidRDefault="002D2E3C" w:rsidP="002D2E3C">
            <w:pPr>
              <w:tabs>
                <w:tab w:val="left" w:pos="5400"/>
              </w:tabs>
              <w:rPr>
                <w:sz w:val="20"/>
                <w:lang w:eastAsia="ja-JP"/>
              </w:rPr>
            </w:pPr>
            <w:r w:rsidRPr="002D2E3C">
              <w:rPr>
                <w:sz w:val="20"/>
                <w:lang w:eastAsia="ja-JP"/>
              </w:rPr>
              <w:t>Inclusion criteria</w:t>
            </w:r>
          </w:p>
          <w:p w14:paraId="7C5EC5A3" w14:textId="77777777" w:rsidR="002D2E3C" w:rsidRPr="002D2E3C" w:rsidRDefault="002D2E3C" w:rsidP="002D2E3C">
            <w:pPr>
              <w:tabs>
                <w:tab w:val="left" w:pos="5400"/>
              </w:tabs>
              <w:rPr>
                <w:sz w:val="20"/>
                <w:lang w:eastAsia="ja-JP"/>
              </w:rPr>
            </w:pPr>
            <w:r w:rsidRPr="002D2E3C">
              <w:rPr>
                <w:sz w:val="20"/>
                <w:lang w:eastAsia="ja-JP"/>
              </w:rPr>
              <w:t>1. 20 years or older with at least one current tooth undergoing dental treatment at the Division of General Dentistry, Health Sciences University of Hokkaido Hospital.</w:t>
            </w:r>
          </w:p>
          <w:p w14:paraId="1E0528E6" w14:textId="21D4BB5E" w:rsidR="002D2E3C" w:rsidRPr="002D2E3C" w:rsidRDefault="002D2E3C" w:rsidP="002D2E3C">
            <w:pPr>
              <w:tabs>
                <w:tab w:val="left" w:pos="5400"/>
              </w:tabs>
              <w:rPr>
                <w:sz w:val="20"/>
                <w:lang w:eastAsia="ja-JP"/>
              </w:rPr>
            </w:pPr>
            <w:r w:rsidRPr="002D2E3C">
              <w:rPr>
                <w:sz w:val="20"/>
                <w:lang w:eastAsia="ja-JP"/>
              </w:rPr>
              <w:t xml:space="preserve">2. We classified patients with diabetes based on specialists' diabetes diagnoses. Patients in the diabetes group underwent </w:t>
            </w:r>
            <w:r w:rsidRPr="002D2E3C">
              <w:rPr>
                <w:sz w:val="20"/>
                <w:lang w:eastAsia="ja-JP"/>
              </w:rPr>
              <w:lastRenderedPageBreak/>
              <w:t>treatment at the Division of Internal Medicine, Health Sciences University of Hokkaido Hospital.</w:t>
            </w:r>
          </w:p>
          <w:p w14:paraId="46FEB4C1" w14:textId="77777777" w:rsidR="002D2E3C" w:rsidRPr="002D2E3C" w:rsidRDefault="002D2E3C" w:rsidP="002D2E3C">
            <w:pPr>
              <w:tabs>
                <w:tab w:val="left" w:pos="5400"/>
              </w:tabs>
              <w:rPr>
                <w:sz w:val="20"/>
                <w:lang w:eastAsia="ja-JP"/>
              </w:rPr>
            </w:pPr>
            <w:r w:rsidRPr="002D2E3C">
              <w:rPr>
                <w:sz w:val="20"/>
                <w:lang w:eastAsia="ja-JP"/>
              </w:rPr>
              <w:t>Exclusion criteria</w:t>
            </w:r>
          </w:p>
          <w:p w14:paraId="3469289B" w14:textId="77777777" w:rsidR="002D2E3C" w:rsidRPr="002D2E3C" w:rsidRDefault="002D2E3C" w:rsidP="002D2E3C">
            <w:pPr>
              <w:tabs>
                <w:tab w:val="left" w:pos="5400"/>
              </w:tabs>
              <w:rPr>
                <w:sz w:val="20"/>
                <w:lang w:eastAsia="ja-JP"/>
              </w:rPr>
            </w:pPr>
            <w:r w:rsidRPr="002D2E3C">
              <w:rPr>
                <w:sz w:val="20"/>
                <w:lang w:eastAsia="ja-JP"/>
              </w:rPr>
              <w:t>1. Pregnant or lactating women.</w:t>
            </w:r>
          </w:p>
          <w:p w14:paraId="414789A4" w14:textId="77777777" w:rsidR="002D2E3C" w:rsidRPr="002D2E3C" w:rsidRDefault="002D2E3C" w:rsidP="002D2E3C">
            <w:pPr>
              <w:tabs>
                <w:tab w:val="left" w:pos="5400"/>
              </w:tabs>
              <w:rPr>
                <w:sz w:val="20"/>
                <w:lang w:eastAsia="ja-JP"/>
              </w:rPr>
            </w:pPr>
            <w:r w:rsidRPr="002D2E3C">
              <w:rPr>
                <w:sz w:val="20"/>
                <w:lang w:eastAsia="ja-JP"/>
              </w:rPr>
              <w:t>2. Patients without diabetes with GBG or FTBG levels greater than 200 mg/dL.</w:t>
            </w:r>
          </w:p>
          <w:p w14:paraId="7985F619" w14:textId="70782F6B" w:rsidR="00A90886" w:rsidRPr="00365029" w:rsidRDefault="002D2E3C" w:rsidP="002D2E3C">
            <w:pPr>
              <w:tabs>
                <w:tab w:val="left" w:pos="5400"/>
              </w:tabs>
              <w:rPr>
                <w:sz w:val="20"/>
                <w:lang w:eastAsia="ja-JP"/>
              </w:rPr>
            </w:pPr>
            <w:r w:rsidRPr="002D2E3C">
              <w:rPr>
                <w:sz w:val="20"/>
                <w:lang w:eastAsia="ja-JP"/>
              </w:rPr>
              <w:t>This study adhered to the tenets of the Declaration of Helsinki. Written informed consent was obtained from the participants after the study was explained. This study was approved by the Ethics Committee of the Institute of Preventive Medical Science, Health Sciences University of Hokkaido (No. 2019_028).</w:t>
            </w:r>
          </w:p>
        </w:tc>
      </w:tr>
    </w:tbl>
    <w:p w14:paraId="43AA356D" w14:textId="77777777" w:rsidR="00191A23" w:rsidRDefault="00191A23">
      <w:bookmarkStart w:id="40" w:name="bold22"/>
      <w:bookmarkStart w:id="41" w:name="italic22"/>
      <w:bookmarkEnd w:id="38"/>
      <w:bookmarkEnd w:id="3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7611F6D1" w14:textId="77777777" w:rsidTr="00517788">
        <w:tc>
          <w:tcPr>
            <w:tcW w:w="1521" w:type="dxa"/>
          </w:tcPr>
          <w:p w14:paraId="73D077B4"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1F8D1DD1" w14:textId="77777777" w:rsidR="00191A23" w:rsidRPr="0022554A" w:rsidRDefault="00191A23" w:rsidP="00191A23">
            <w:pPr>
              <w:tabs>
                <w:tab w:val="left" w:pos="5400"/>
              </w:tabs>
              <w:jc w:val="center"/>
              <w:rPr>
                <w:sz w:val="20"/>
              </w:rPr>
            </w:pPr>
            <w:r w:rsidRPr="0022554A">
              <w:rPr>
                <w:sz w:val="20"/>
              </w:rPr>
              <w:t>11</w:t>
            </w:r>
          </w:p>
        </w:tc>
        <w:tc>
          <w:tcPr>
            <w:tcW w:w="8328" w:type="dxa"/>
          </w:tcPr>
          <w:p w14:paraId="03BDA449"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D543154" w14:textId="61E5EB34" w:rsidR="00191A23" w:rsidRPr="0022554A" w:rsidRDefault="000109B4" w:rsidP="00191A23">
            <w:pPr>
              <w:tabs>
                <w:tab w:val="left" w:pos="5400"/>
              </w:tabs>
              <w:rPr>
                <w:sz w:val="20"/>
                <w:lang w:eastAsia="ja-JP"/>
              </w:rPr>
            </w:pPr>
            <w:r>
              <w:rPr>
                <w:rFonts w:hint="eastAsia"/>
                <w:sz w:val="20"/>
                <w:lang w:eastAsia="ja-JP"/>
              </w:rPr>
              <w:t>5</w:t>
            </w:r>
            <w:r w:rsidR="002439F0">
              <w:rPr>
                <w:rFonts w:hint="eastAsia"/>
                <w:sz w:val="20"/>
                <w:lang w:eastAsia="ja-JP"/>
              </w:rPr>
              <w:t>-</w:t>
            </w:r>
            <w:r w:rsidR="0048610D">
              <w:rPr>
                <w:rFonts w:hint="eastAsia"/>
                <w:sz w:val="20"/>
                <w:lang w:eastAsia="ja-JP"/>
              </w:rPr>
              <w:t>7</w:t>
            </w:r>
          </w:p>
        </w:tc>
        <w:tc>
          <w:tcPr>
            <w:tcW w:w="3118" w:type="dxa"/>
          </w:tcPr>
          <w:p w14:paraId="6B252F6D" w14:textId="77777777" w:rsidR="001703DF" w:rsidRPr="001703DF" w:rsidRDefault="001703DF" w:rsidP="001703DF">
            <w:pPr>
              <w:tabs>
                <w:tab w:val="left" w:pos="5400"/>
              </w:tabs>
              <w:rPr>
                <w:bCs/>
                <w:sz w:val="20"/>
                <w:lang w:eastAsia="ja-JP"/>
              </w:rPr>
            </w:pPr>
            <w:r w:rsidRPr="001703DF">
              <w:rPr>
                <w:bCs/>
                <w:sz w:val="20"/>
                <w:lang w:eastAsia="ja-JP"/>
              </w:rPr>
              <w:t>Clinical characteristics of the participants</w:t>
            </w:r>
          </w:p>
          <w:p w14:paraId="0C9948CF" w14:textId="77777777" w:rsidR="001703DF" w:rsidRPr="001703DF" w:rsidRDefault="001703DF" w:rsidP="001703DF">
            <w:pPr>
              <w:tabs>
                <w:tab w:val="left" w:pos="5400"/>
              </w:tabs>
              <w:rPr>
                <w:bCs/>
                <w:sz w:val="20"/>
                <w:lang w:eastAsia="ja-JP"/>
              </w:rPr>
            </w:pPr>
            <w:r w:rsidRPr="001703DF">
              <w:rPr>
                <w:bCs/>
                <w:sz w:val="20"/>
                <w:lang w:eastAsia="ja-JP"/>
              </w:rPr>
              <w:t xml:space="preserve">All the statistical analyses were performed via SPSS Statistics Version 26 (IBM, Chicago, IL, USA). Categorical variables of the diabetic and nondiabetic groups were </w:t>
            </w:r>
            <w:proofErr w:type="spellStart"/>
            <w:r w:rsidRPr="001703DF">
              <w:rPr>
                <w:bCs/>
                <w:sz w:val="20"/>
                <w:lang w:eastAsia="ja-JP"/>
              </w:rPr>
              <w:t>analyzed</w:t>
            </w:r>
            <w:proofErr w:type="spellEnd"/>
            <w:r w:rsidRPr="001703DF">
              <w:rPr>
                <w:bCs/>
                <w:sz w:val="20"/>
                <w:lang w:eastAsia="ja-JP"/>
              </w:rPr>
              <w:t xml:space="preserve"> according to sex, smoking habits, diagnosis and classification of periodontitis, and PPDs of ≥4 mm and ≤3 mm at the blood sampling site. The chi-square or Fisher's exact tests were used to examine these parameters. Age and HbA1c levels in the diabetic group, blood glucose levels, and postprandial time were continuous variables. The continuous dental variables were the number of teeth present, PPD, BOP, PISA, PESA, PCR, and tooth mobility. The mean ± standard deviation values were calculated. Continuous variables of the diabetic and nondiabetic groups were </w:t>
            </w:r>
            <w:proofErr w:type="spellStart"/>
            <w:r w:rsidRPr="001703DF">
              <w:rPr>
                <w:bCs/>
                <w:sz w:val="20"/>
                <w:lang w:eastAsia="ja-JP"/>
              </w:rPr>
              <w:t>analyzed</w:t>
            </w:r>
            <w:proofErr w:type="spellEnd"/>
            <w:r w:rsidRPr="001703DF">
              <w:rPr>
                <w:bCs/>
                <w:sz w:val="20"/>
                <w:lang w:eastAsia="ja-JP"/>
              </w:rPr>
              <w:t xml:space="preserve"> using a two-sample t tests.</w:t>
            </w:r>
          </w:p>
          <w:p w14:paraId="6F8AE95D" w14:textId="77777777" w:rsidR="001703DF" w:rsidRPr="001703DF" w:rsidRDefault="001703DF" w:rsidP="001703DF">
            <w:pPr>
              <w:tabs>
                <w:tab w:val="left" w:pos="5400"/>
              </w:tabs>
              <w:rPr>
                <w:bCs/>
                <w:sz w:val="20"/>
                <w:lang w:eastAsia="ja-JP"/>
              </w:rPr>
            </w:pPr>
            <w:r w:rsidRPr="001703DF">
              <w:rPr>
                <w:bCs/>
                <w:sz w:val="20"/>
                <w:lang w:eastAsia="ja-JP"/>
              </w:rPr>
              <w:t>Correlation and regression analyses</w:t>
            </w:r>
          </w:p>
          <w:p w14:paraId="3F278F85" w14:textId="267B9DD2" w:rsidR="001703DF" w:rsidRPr="001703DF" w:rsidRDefault="001703DF" w:rsidP="001703DF">
            <w:pPr>
              <w:tabs>
                <w:tab w:val="left" w:pos="5400"/>
              </w:tabs>
              <w:rPr>
                <w:bCs/>
                <w:sz w:val="20"/>
                <w:lang w:eastAsia="ja-JP"/>
              </w:rPr>
            </w:pPr>
            <w:r w:rsidRPr="001703DF">
              <w:rPr>
                <w:bCs/>
                <w:sz w:val="20"/>
                <w:lang w:eastAsia="ja-JP"/>
              </w:rPr>
              <w:t xml:space="preserve">The correlation between the GBG and FTBG measurements was </w:t>
            </w:r>
            <w:proofErr w:type="spellStart"/>
            <w:r w:rsidRPr="001703DF">
              <w:rPr>
                <w:bCs/>
                <w:sz w:val="20"/>
                <w:lang w:eastAsia="ja-JP"/>
              </w:rPr>
              <w:t>analyzed</w:t>
            </w:r>
            <w:proofErr w:type="spellEnd"/>
            <w:r w:rsidRPr="001703DF">
              <w:rPr>
                <w:bCs/>
                <w:sz w:val="20"/>
                <w:lang w:eastAsia="ja-JP"/>
              </w:rPr>
              <w:t xml:space="preserve"> to determine whether the GBG measurements were as reliable as the FTBG </w:t>
            </w:r>
            <w:r w:rsidRPr="001703DF">
              <w:rPr>
                <w:bCs/>
                <w:sz w:val="20"/>
                <w:lang w:eastAsia="ja-JP"/>
              </w:rPr>
              <w:lastRenderedPageBreak/>
              <w:t xml:space="preserve">measurements. The Pearson's product‒moment correlation coefficient (r) was used to evaluate the correlation. In addition, the </w:t>
            </w:r>
            <w:r w:rsidR="00CC5278">
              <w:rPr>
                <w:rFonts w:hint="eastAsia"/>
                <w:bCs/>
                <w:sz w:val="20"/>
                <w:lang w:eastAsia="ja-JP"/>
              </w:rPr>
              <w:t xml:space="preserve">simple linear </w:t>
            </w:r>
            <w:r w:rsidRPr="001703DF">
              <w:rPr>
                <w:bCs/>
                <w:sz w:val="20"/>
                <w:lang w:eastAsia="ja-JP"/>
              </w:rPr>
              <w:t xml:space="preserve">regression equation {FTBG = constant + </w:t>
            </w:r>
            <w:r w:rsidR="00CC5278">
              <w:rPr>
                <w:bCs/>
                <w:sz w:val="20"/>
                <w:lang w:eastAsia="ja-JP"/>
              </w:rPr>
              <w:t>simple</w:t>
            </w:r>
            <w:r w:rsidR="00CC5278">
              <w:rPr>
                <w:rFonts w:hint="eastAsia"/>
                <w:bCs/>
                <w:sz w:val="20"/>
                <w:lang w:eastAsia="ja-JP"/>
              </w:rPr>
              <w:t xml:space="preserve"> linear </w:t>
            </w:r>
            <w:r w:rsidRPr="001703DF">
              <w:rPr>
                <w:bCs/>
                <w:sz w:val="20"/>
                <w:lang w:eastAsia="ja-JP"/>
              </w:rPr>
              <w:t>regression coefficient (</w:t>
            </w:r>
            <w:r w:rsidR="00A345A5">
              <w:rPr>
                <w:rFonts w:hint="eastAsia"/>
                <w:bCs/>
                <w:sz w:val="20"/>
                <w:lang w:eastAsia="ja-JP"/>
              </w:rPr>
              <w:t>R</w:t>
            </w:r>
            <w:r w:rsidRPr="001703DF">
              <w:rPr>
                <w:bCs/>
                <w:sz w:val="20"/>
                <w:lang w:eastAsia="ja-JP"/>
              </w:rPr>
              <w:t>) × GBG} and the coefficient of determination (R²) for simple linear regression analysis were determined (Müller &amp; Behbehani, 2005; Rajesh et al., 2016).</w:t>
            </w:r>
            <w:r w:rsidR="00FB203A">
              <w:rPr>
                <w:rFonts w:hint="eastAsia"/>
                <w:bCs/>
                <w:sz w:val="20"/>
                <w:lang w:eastAsia="ja-JP"/>
              </w:rPr>
              <w:t xml:space="preserve"> </w:t>
            </w:r>
            <w:r w:rsidR="00FB203A" w:rsidRPr="00FB203A">
              <w:rPr>
                <w:bCs/>
                <w:sz w:val="20"/>
                <w:lang w:eastAsia="ja-JP"/>
              </w:rPr>
              <w:t>In the case of simple linear regression analysis, there is only one explanatory variable, so the R is equal to the r.</w:t>
            </w:r>
            <w:r w:rsidR="00422A22">
              <w:rPr>
                <w:rFonts w:hint="eastAsia"/>
                <w:bCs/>
                <w:sz w:val="20"/>
                <w:lang w:eastAsia="ja-JP"/>
              </w:rPr>
              <w:t xml:space="preserve"> </w:t>
            </w:r>
          </w:p>
          <w:p w14:paraId="6BB9A92C" w14:textId="77777777" w:rsidR="001703DF" w:rsidRPr="001703DF" w:rsidRDefault="001703DF" w:rsidP="001703DF">
            <w:pPr>
              <w:tabs>
                <w:tab w:val="left" w:pos="5400"/>
              </w:tabs>
              <w:rPr>
                <w:bCs/>
                <w:sz w:val="20"/>
                <w:lang w:eastAsia="ja-JP"/>
              </w:rPr>
            </w:pPr>
            <w:r w:rsidRPr="001703DF">
              <w:rPr>
                <w:bCs/>
                <w:sz w:val="20"/>
                <w:lang w:eastAsia="ja-JP"/>
              </w:rPr>
              <w:t>Bland–Altman analysis</w:t>
            </w:r>
          </w:p>
          <w:p w14:paraId="4C9BDE3E" w14:textId="7F3F3A3B" w:rsidR="001703DF" w:rsidRPr="001703DF" w:rsidRDefault="001703DF" w:rsidP="001703DF">
            <w:pPr>
              <w:tabs>
                <w:tab w:val="left" w:pos="5400"/>
              </w:tabs>
              <w:rPr>
                <w:bCs/>
                <w:sz w:val="20"/>
                <w:lang w:eastAsia="ja-JP"/>
              </w:rPr>
            </w:pPr>
            <w:r w:rsidRPr="001703DF">
              <w:rPr>
                <w:bCs/>
                <w:sz w:val="20"/>
                <w:lang w:eastAsia="ja-JP"/>
              </w:rPr>
              <w:t xml:space="preserve">The Bland–Altman analysis was performed as follows (Bland &amp; Altman, 1986; Bland &amp; Altman, 1999; Müller &amp; Behbehani, 2005; Strauss et al., 2009; IBM Support, 2020). The interpretation of bias was based on the mean difference (MD) between the GBG and FTBG values. Bias and MD are synonymous. The limit of agreement (LOA) is the range corresponding to bias (MD) ±1.96×standard deviation (SD) for the 95% confidence interval (CI), and theoretically, 95% of the differences in the measured values </w:t>
            </w:r>
            <w:r w:rsidRPr="001703DF">
              <w:rPr>
                <w:bCs/>
                <w:sz w:val="20"/>
                <w:lang w:eastAsia="ja-JP"/>
              </w:rPr>
              <w:lastRenderedPageBreak/>
              <w:t xml:space="preserve">converge to the LOA. The MD ± SD between GBG and FTBG and the 95% confidence interval (95% CI) of the MD were calculated. A one-sample t test was then used to compare GBG and FTBG, and a fixed bias was considered present if the 95% CI did not exceed zero. The coefficient of agreement (COA) and LOAs were determined. The COA was calculated as 1.96 × SD. The LOA was calculated as the MD±COA. The 95% CIs of the upper and lower LOAs were also calculated. A simple linear regression analysis was performed with the difference between GBG and FTBG as the objective variable and (GBG+FTBG)/2 as the explanatory variable to determine the presence of proportional bias, and the significance was tested. Proportional bias was considered present if </w:t>
            </w:r>
            <w:r w:rsidR="004A66A9">
              <w:rPr>
                <w:rFonts w:hint="eastAsia"/>
                <w:bCs/>
                <w:sz w:val="20"/>
                <w:lang w:eastAsia="ja-JP"/>
              </w:rPr>
              <w:t>the R</w:t>
            </w:r>
            <w:r w:rsidRPr="001703DF">
              <w:rPr>
                <w:bCs/>
                <w:sz w:val="20"/>
                <w:lang w:eastAsia="ja-JP"/>
              </w:rPr>
              <w:t xml:space="preserve"> was judged to be significant. Furthermore, only the MD ± SD and evaluation up to 95% CIs were used to determine fixed bias in the presence of fixed and proportional bias. Sites with a PPD of ≥4 mm were considered suitable for obtaining the same GBG value as the FTBG value (Strauss et al., </w:t>
            </w:r>
            <w:r w:rsidRPr="001703DF">
              <w:rPr>
                <w:bCs/>
                <w:sz w:val="20"/>
                <w:lang w:eastAsia="ja-JP"/>
              </w:rPr>
              <w:lastRenderedPageBreak/>
              <w:t>2009). A subgroup analysis for PPDs of ≥4 mm and ≤3 mm was also conducted.</w:t>
            </w:r>
          </w:p>
          <w:p w14:paraId="12A9C1AD" w14:textId="77777777" w:rsidR="001703DF" w:rsidRPr="001703DF" w:rsidRDefault="001703DF" w:rsidP="001703DF">
            <w:pPr>
              <w:tabs>
                <w:tab w:val="left" w:pos="5400"/>
              </w:tabs>
              <w:rPr>
                <w:bCs/>
                <w:sz w:val="20"/>
                <w:lang w:eastAsia="ja-JP"/>
              </w:rPr>
            </w:pPr>
            <w:r w:rsidRPr="001703DF">
              <w:rPr>
                <w:bCs/>
                <w:sz w:val="20"/>
                <w:lang w:eastAsia="ja-JP"/>
              </w:rPr>
              <w:t>Receiver operating characteristic analysis</w:t>
            </w:r>
          </w:p>
          <w:p w14:paraId="41F52ED2" w14:textId="1577B276" w:rsidR="00191A23" w:rsidRPr="00153AF4" w:rsidRDefault="001703DF" w:rsidP="001703DF">
            <w:pPr>
              <w:tabs>
                <w:tab w:val="left" w:pos="5400"/>
              </w:tabs>
              <w:rPr>
                <w:bCs/>
                <w:sz w:val="20"/>
                <w:lang w:eastAsia="ja-JP"/>
              </w:rPr>
            </w:pPr>
            <w:r w:rsidRPr="001703DF">
              <w:rPr>
                <w:bCs/>
                <w:sz w:val="20"/>
                <w:lang w:eastAsia="ja-JP"/>
              </w:rPr>
              <w:t>The ROC curves of the GBG and FTBG levels were plotted, and the areas under the curves (AUCs) were calculated. The sensitivity and specificity were also calculated. The optimal cutoff values for diabetes screening were subsequently determined. The cutoff values were calculated as the coordinate point, i.e., the minimum value of (1-sensitivity) ² + (1-specificity) ² from the coordinate point table of the ROC curve (Strauss et al., 2012; Strauss et al., 2015). The difference between the AUCs was determined via a one-sample t test if the AUCs of the GBG and FTBG values were significant. All significance levels were set at p&lt;0.05.</w:t>
            </w:r>
          </w:p>
        </w:tc>
      </w:tr>
      <w:tr w:rsidR="00191A23" w:rsidRPr="0022554A" w14:paraId="563D258B" w14:textId="77777777" w:rsidTr="00517788">
        <w:tc>
          <w:tcPr>
            <w:tcW w:w="1521" w:type="dxa"/>
            <w:vMerge w:val="restart"/>
          </w:tcPr>
          <w:p w14:paraId="2A36A989" w14:textId="77777777" w:rsidR="00191A23" w:rsidRPr="0022554A" w:rsidRDefault="00191A23" w:rsidP="00191A23">
            <w:pPr>
              <w:tabs>
                <w:tab w:val="left" w:pos="5400"/>
              </w:tabs>
              <w:rPr>
                <w:sz w:val="20"/>
              </w:rPr>
            </w:pPr>
            <w:bookmarkStart w:id="44" w:name="italic24"/>
            <w:r w:rsidRPr="0022554A">
              <w:rPr>
                <w:sz w:val="20"/>
              </w:rPr>
              <w:lastRenderedPageBreak/>
              <w:t>Statistical</w:t>
            </w:r>
            <w:bookmarkStart w:id="45" w:name="italic25"/>
            <w:bookmarkEnd w:id="44"/>
            <w:r w:rsidRPr="0022554A">
              <w:rPr>
                <w:sz w:val="20"/>
              </w:rPr>
              <w:t xml:space="preserve"> methods</w:t>
            </w:r>
            <w:bookmarkEnd w:id="45"/>
          </w:p>
        </w:tc>
        <w:tc>
          <w:tcPr>
            <w:tcW w:w="749" w:type="dxa"/>
            <w:vMerge w:val="restart"/>
          </w:tcPr>
          <w:p w14:paraId="0E12BF1E" w14:textId="77777777" w:rsidR="00191A23" w:rsidRPr="0022554A" w:rsidRDefault="00191A23" w:rsidP="00191A23">
            <w:pPr>
              <w:tabs>
                <w:tab w:val="left" w:pos="5400"/>
              </w:tabs>
              <w:jc w:val="center"/>
              <w:rPr>
                <w:sz w:val="20"/>
              </w:rPr>
            </w:pPr>
            <w:r w:rsidRPr="0022554A">
              <w:rPr>
                <w:sz w:val="20"/>
              </w:rPr>
              <w:t>12</w:t>
            </w:r>
          </w:p>
        </w:tc>
        <w:tc>
          <w:tcPr>
            <w:tcW w:w="8328" w:type="dxa"/>
          </w:tcPr>
          <w:p w14:paraId="003AAD48"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6164C4A" w14:textId="10285995" w:rsidR="00191A23" w:rsidRPr="0022554A" w:rsidRDefault="005F1502" w:rsidP="00191A23">
            <w:pPr>
              <w:tabs>
                <w:tab w:val="left" w:pos="5400"/>
              </w:tabs>
              <w:rPr>
                <w:sz w:val="20"/>
                <w:lang w:eastAsia="ja-JP"/>
              </w:rPr>
            </w:pPr>
            <w:r>
              <w:rPr>
                <w:rFonts w:hint="eastAsia"/>
                <w:sz w:val="20"/>
                <w:lang w:eastAsia="ja-JP"/>
              </w:rPr>
              <w:t>5</w:t>
            </w:r>
            <w:r w:rsidR="00DD4043">
              <w:rPr>
                <w:rFonts w:hint="eastAsia"/>
                <w:sz w:val="20"/>
                <w:lang w:eastAsia="ja-JP"/>
              </w:rPr>
              <w:t>-</w:t>
            </w:r>
            <w:r w:rsidR="002316F7">
              <w:rPr>
                <w:rFonts w:hint="eastAsia"/>
                <w:sz w:val="20"/>
                <w:lang w:eastAsia="ja-JP"/>
              </w:rPr>
              <w:t>7</w:t>
            </w:r>
          </w:p>
        </w:tc>
        <w:tc>
          <w:tcPr>
            <w:tcW w:w="3118" w:type="dxa"/>
          </w:tcPr>
          <w:p w14:paraId="0C44DF8A" w14:textId="77777777" w:rsidR="004B553C" w:rsidRPr="004B553C" w:rsidRDefault="004B553C" w:rsidP="004B553C">
            <w:pPr>
              <w:tabs>
                <w:tab w:val="left" w:pos="5400"/>
              </w:tabs>
              <w:rPr>
                <w:bCs/>
                <w:sz w:val="20"/>
                <w:lang w:eastAsia="ja-JP"/>
              </w:rPr>
            </w:pPr>
            <w:r w:rsidRPr="004B553C">
              <w:rPr>
                <w:bCs/>
                <w:sz w:val="20"/>
                <w:lang w:eastAsia="ja-JP"/>
              </w:rPr>
              <w:t>Clinical characteristics of the participants</w:t>
            </w:r>
          </w:p>
          <w:p w14:paraId="494059D2" w14:textId="77777777" w:rsidR="004B553C" w:rsidRPr="004B553C" w:rsidRDefault="004B553C" w:rsidP="004B553C">
            <w:pPr>
              <w:tabs>
                <w:tab w:val="left" w:pos="5400"/>
              </w:tabs>
              <w:rPr>
                <w:bCs/>
                <w:sz w:val="20"/>
                <w:lang w:eastAsia="ja-JP"/>
              </w:rPr>
            </w:pPr>
            <w:r w:rsidRPr="004B553C">
              <w:rPr>
                <w:bCs/>
                <w:sz w:val="20"/>
                <w:lang w:eastAsia="ja-JP"/>
              </w:rPr>
              <w:t xml:space="preserve">All the statistical analyses were performed via SPSS Statistics Version 26 (IBM, Chicago, IL, USA). Categorical variables of the diabetic and nondiabetic groups </w:t>
            </w:r>
            <w:r w:rsidRPr="004B553C">
              <w:rPr>
                <w:bCs/>
                <w:sz w:val="20"/>
                <w:lang w:eastAsia="ja-JP"/>
              </w:rPr>
              <w:lastRenderedPageBreak/>
              <w:t xml:space="preserve">were </w:t>
            </w:r>
            <w:proofErr w:type="spellStart"/>
            <w:r w:rsidRPr="004B553C">
              <w:rPr>
                <w:bCs/>
                <w:sz w:val="20"/>
                <w:lang w:eastAsia="ja-JP"/>
              </w:rPr>
              <w:t>analyzed</w:t>
            </w:r>
            <w:proofErr w:type="spellEnd"/>
            <w:r w:rsidRPr="004B553C">
              <w:rPr>
                <w:bCs/>
                <w:sz w:val="20"/>
                <w:lang w:eastAsia="ja-JP"/>
              </w:rPr>
              <w:t xml:space="preserve"> according to sex, smoking habits, diagnosis and classification of periodontitis, and PPDs of ≥4 mm and ≤3 mm at the blood sampling site. The chi-square or Fisher's exact tests were used to examine these parameters. Age and HbA1c levels in the diabetic group, blood glucose levels, and postprandial time were continuous variables. The continuous dental variables were the number of teeth present, PPD, BOP, PISA, PESA, PCR, and tooth mobility. The mean ± standard deviation values were calculated. Continuous variables of the diabetic and nondiabetic groups were </w:t>
            </w:r>
            <w:proofErr w:type="spellStart"/>
            <w:r w:rsidRPr="004B553C">
              <w:rPr>
                <w:bCs/>
                <w:sz w:val="20"/>
                <w:lang w:eastAsia="ja-JP"/>
              </w:rPr>
              <w:t>analyzed</w:t>
            </w:r>
            <w:proofErr w:type="spellEnd"/>
            <w:r w:rsidRPr="004B553C">
              <w:rPr>
                <w:bCs/>
                <w:sz w:val="20"/>
                <w:lang w:eastAsia="ja-JP"/>
              </w:rPr>
              <w:t xml:space="preserve"> using a two-sample t tests.</w:t>
            </w:r>
          </w:p>
          <w:p w14:paraId="44C298F7" w14:textId="77777777" w:rsidR="004B553C" w:rsidRPr="004B553C" w:rsidRDefault="004B553C" w:rsidP="004B553C">
            <w:pPr>
              <w:tabs>
                <w:tab w:val="left" w:pos="5400"/>
              </w:tabs>
              <w:rPr>
                <w:bCs/>
                <w:sz w:val="20"/>
                <w:lang w:eastAsia="ja-JP"/>
              </w:rPr>
            </w:pPr>
            <w:r w:rsidRPr="004B553C">
              <w:rPr>
                <w:bCs/>
                <w:sz w:val="20"/>
                <w:lang w:eastAsia="ja-JP"/>
              </w:rPr>
              <w:t>Correlation and regression analyses</w:t>
            </w:r>
          </w:p>
          <w:p w14:paraId="78732719" w14:textId="22AB7B0A" w:rsidR="004B553C" w:rsidRPr="004B553C" w:rsidRDefault="004B553C" w:rsidP="004B553C">
            <w:pPr>
              <w:tabs>
                <w:tab w:val="left" w:pos="5400"/>
              </w:tabs>
              <w:rPr>
                <w:bCs/>
                <w:sz w:val="20"/>
                <w:lang w:eastAsia="ja-JP"/>
              </w:rPr>
            </w:pPr>
            <w:r w:rsidRPr="004B553C">
              <w:rPr>
                <w:bCs/>
                <w:sz w:val="20"/>
                <w:lang w:eastAsia="ja-JP"/>
              </w:rPr>
              <w:t xml:space="preserve">The correlation between the GBG and FTBG measurements was </w:t>
            </w:r>
            <w:proofErr w:type="spellStart"/>
            <w:r w:rsidRPr="004B553C">
              <w:rPr>
                <w:bCs/>
                <w:sz w:val="20"/>
                <w:lang w:eastAsia="ja-JP"/>
              </w:rPr>
              <w:t>analyzed</w:t>
            </w:r>
            <w:proofErr w:type="spellEnd"/>
            <w:r w:rsidRPr="004B553C">
              <w:rPr>
                <w:bCs/>
                <w:sz w:val="20"/>
                <w:lang w:eastAsia="ja-JP"/>
              </w:rPr>
              <w:t xml:space="preserve"> to determine whether the GBG measurements were as reliable as the FTBG measurements. The Pearson's product‒moment correlation coefficient (r) was used to evaluate the correlation. In addition, the </w:t>
            </w:r>
            <w:r w:rsidR="009D45BD">
              <w:rPr>
                <w:rFonts w:hint="eastAsia"/>
                <w:bCs/>
                <w:sz w:val="20"/>
                <w:lang w:eastAsia="ja-JP"/>
              </w:rPr>
              <w:t xml:space="preserve">simple linear </w:t>
            </w:r>
            <w:r w:rsidRPr="004B553C">
              <w:rPr>
                <w:bCs/>
                <w:sz w:val="20"/>
                <w:lang w:eastAsia="ja-JP"/>
              </w:rPr>
              <w:t xml:space="preserve">regression equation {FTBG = constant + </w:t>
            </w:r>
            <w:r w:rsidR="00D870B9">
              <w:rPr>
                <w:rFonts w:hint="eastAsia"/>
                <w:bCs/>
                <w:sz w:val="20"/>
                <w:lang w:eastAsia="ja-JP"/>
              </w:rPr>
              <w:t xml:space="preserve">simple linear </w:t>
            </w:r>
            <w:r w:rsidRPr="004B553C">
              <w:rPr>
                <w:bCs/>
                <w:sz w:val="20"/>
                <w:lang w:eastAsia="ja-JP"/>
              </w:rPr>
              <w:t>regression coefficient (</w:t>
            </w:r>
            <w:r w:rsidR="00D870B9">
              <w:rPr>
                <w:rFonts w:hint="eastAsia"/>
                <w:bCs/>
                <w:sz w:val="20"/>
                <w:lang w:eastAsia="ja-JP"/>
              </w:rPr>
              <w:t>R</w:t>
            </w:r>
            <w:r w:rsidRPr="004B553C">
              <w:rPr>
                <w:bCs/>
                <w:sz w:val="20"/>
                <w:lang w:eastAsia="ja-JP"/>
              </w:rPr>
              <w:t xml:space="preserve">) × GBG} </w:t>
            </w:r>
            <w:r w:rsidRPr="004B553C">
              <w:rPr>
                <w:bCs/>
                <w:sz w:val="20"/>
                <w:lang w:eastAsia="ja-JP"/>
              </w:rPr>
              <w:lastRenderedPageBreak/>
              <w:t>and the coefficient of determination (R²) for simple linear regression analysis were determined (Müller &amp; Behbehani, 2005; Rajesh et al., 2016).</w:t>
            </w:r>
            <w:r w:rsidR="00EC5567">
              <w:rPr>
                <w:rFonts w:hint="eastAsia"/>
                <w:bCs/>
                <w:sz w:val="20"/>
                <w:lang w:eastAsia="ja-JP"/>
              </w:rPr>
              <w:t xml:space="preserve"> </w:t>
            </w:r>
            <w:r w:rsidR="00EC5567" w:rsidRPr="00EC5567">
              <w:rPr>
                <w:bCs/>
                <w:sz w:val="20"/>
                <w:lang w:eastAsia="ja-JP"/>
              </w:rPr>
              <w:t>In the case of simple linear regression analysis, there is only one explanatory variable, so the R is equal to the r.</w:t>
            </w:r>
          </w:p>
          <w:p w14:paraId="74AFF572" w14:textId="77777777" w:rsidR="004B553C" w:rsidRPr="004B553C" w:rsidRDefault="004B553C" w:rsidP="004B553C">
            <w:pPr>
              <w:tabs>
                <w:tab w:val="left" w:pos="5400"/>
              </w:tabs>
              <w:rPr>
                <w:bCs/>
                <w:sz w:val="20"/>
                <w:lang w:eastAsia="ja-JP"/>
              </w:rPr>
            </w:pPr>
            <w:r w:rsidRPr="004B553C">
              <w:rPr>
                <w:bCs/>
                <w:sz w:val="20"/>
                <w:lang w:eastAsia="ja-JP"/>
              </w:rPr>
              <w:t>Bland–Altman analysis</w:t>
            </w:r>
          </w:p>
          <w:p w14:paraId="1D6810ED" w14:textId="7AE8D687" w:rsidR="004B553C" w:rsidRPr="004B553C" w:rsidRDefault="004B553C" w:rsidP="004B553C">
            <w:pPr>
              <w:tabs>
                <w:tab w:val="left" w:pos="5400"/>
              </w:tabs>
              <w:rPr>
                <w:bCs/>
                <w:sz w:val="20"/>
                <w:lang w:eastAsia="ja-JP"/>
              </w:rPr>
            </w:pPr>
            <w:r w:rsidRPr="004B553C">
              <w:rPr>
                <w:bCs/>
                <w:sz w:val="20"/>
                <w:lang w:eastAsia="ja-JP"/>
              </w:rPr>
              <w:t xml:space="preserve">The Bland–Altman analysis was performed as follows (Bland &amp; Altman, 1986; Bland &amp; Altman, 1999; Müller &amp; Behbehani, 2005; Strauss et al., 2009; IBM Support, 2020). The interpretation of bias was based on the mean difference (MD) between the GBG and FTBG values. Bias and MD are synonymous. The limit of agreement (LOA) is the range corresponding to bias (MD) ±1.96×standard deviation (SD) for the 95% confidence interval (CI), and theoretically, 95% of the differences in the measured values converge to the LOA. The MD ± SD between GBG and FTBG and the 95% confidence interval (95% CI) of the MD were calculated. A one-sample t test was then used to compare GBG and FTBG, and a fixed bias was considered present if </w:t>
            </w:r>
            <w:r w:rsidRPr="004B553C">
              <w:rPr>
                <w:bCs/>
                <w:sz w:val="20"/>
                <w:lang w:eastAsia="ja-JP"/>
              </w:rPr>
              <w:lastRenderedPageBreak/>
              <w:t xml:space="preserve">the 95% CI did not exceed zero. The coefficient of agreement (COA) and LOAs were determined. The COA was calculated as 1.96 × SD. The LOA was calculated as the MD±COA. The 95% CIs of the upper and lower LOAs were also calculated. A simple linear regression analysis was performed with the difference between GBG and FTBG as the objective variable and (GBG+FTBG)/2 as the explanatory variable to determine the presence of proportional bias, and the significance was tested. Proportional bias was considered present if </w:t>
            </w:r>
            <w:r w:rsidR="00BB271B">
              <w:rPr>
                <w:rFonts w:hint="eastAsia"/>
                <w:bCs/>
                <w:sz w:val="20"/>
                <w:lang w:eastAsia="ja-JP"/>
              </w:rPr>
              <w:t>the R</w:t>
            </w:r>
            <w:r w:rsidRPr="004B553C">
              <w:rPr>
                <w:bCs/>
                <w:sz w:val="20"/>
                <w:lang w:eastAsia="ja-JP"/>
              </w:rPr>
              <w:t xml:space="preserve"> was judged to be significant. Furthermore, only the MD ± SD and evaluation up to 95% CIs were used to determine fixed bias in the presence of fixed and proportional bias. Sites with a PPD of ≥4 mm were considered suitable for obtaining the same GBG value as the FTBG value (Strauss et al., 2009). A subgroup analysis for PPDs of ≥4 mm and ≤3 mm was also conducted.</w:t>
            </w:r>
          </w:p>
          <w:p w14:paraId="3C5E06F9" w14:textId="77777777" w:rsidR="004B553C" w:rsidRPr="004B553C" w:rsidRDefault="004B553C" w:rsidP="004B553C">
            <w:pPr>
              <w:tabs>
                <w:tab w:val="left" w:pos="5400"/>
              </w:tabs>
              <w:rPr>
                <w:bCs/>
                <w:sz w:val="20"/>
                <w:lang w:eastAsia="ja-JP"/>
              </w:rPr>
            </w:pPr>
            <w:r w:rsidRPr="004B553C">
              <w:rPr>
                <w:bCs/>
                <w:sz w:val="20"/>
                <w:lang w:eastAsia="ja-JP"/>
              </w:rPr>
              <w:t>Receiver operating characteristic analysis</w:t>
            </w:r>
          </w:p>
          <w:p w14:paraId="0079A860" w14:textId="7E3E651B" w:rsidR="00191A23" w:rsidRPr="00E63874" w:rsidRDefault="004B553C" w:rsidP="004B553C">
            <w:pPr>
              <w:tabs>
                <w:tab w:val="left" w:pos="5400"/>
              </w:tabs>
              <w:rPr>
                <w:bCs/>
                <w:sz w:val="20"/>
                <w:lang w:eastAsia="ja-JP"/>
              </w:rPr>
            </w:pPr>
            <w:r w:rsidRPr="004B553C">
              <w:rPr>
                <w:bCs/>
                <w:sz w:val="20"/>
                <w:lang w:eastAsia="ja-JP"/>
              </w:rPr>
              <w:t xml:space="preserve">The ROC curves of the GBG and FTBG levels were plotted, and the </w:t>
            </w:r>
            <w:r w:rsidRPr="004B553C">
              <w:rPr>
                <w:bCs/>
                <w:sz w:val="20"/>
                <w:lang w:eastAsia="ja-JP"/>
              </w:rPr>
              <w:lastRenderedPageBreak/>
              <w:t>areas under the curves (AUCs) were calculated. The sensitivity and specificity were also calculated. The optimal cutoff values for diabetes screening were subsequently determined. The cutoff values were calculated as the coordinate point, i.e., the minimum value of (1-sensitivity) ² + (1-specificity) ² from the coordinate point table of the ROC curve (Strauss et al., 2012; Strauss et al., 2015). The difference between the AUCs was determined via a one-sample t test if the AUCs of the GBG and FTBG values were significant. All significance levels were set at p&lt;0.05.</w:t>
            </w:r>
          </w:p>
        </w:tc>
      </w:tr>
      <w:tr w:rsidR="00191A23" w:rsidRPr="0022554A" w14:paraId="198FE1E8" w14:textId="77777777" w:rsidTr="00517788">
        <w:tc>
          <w:tcPr>
            <w:tcW w:w="1521" w:type="dxa"/>
            <w:vMerge/>
          </w:tcPr>
          <w:p w14:paraId="02D627F5"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6CC79481" w14:textId="77777777" w:rsidR="00191A23" w:rsidRPr="0022554A" w:rsidRDefault="00191A23" w:rsidP="00191A23">
            <w:pPr>
              <w:tabs>
                <w:tab w:val="left" w:pos="5400"/>
              </w:tabs>
              <w:jc w:val="center"/>
              <w:rPr>
                <w:sz w:val="20"/>
              </w:rPr>
            </w:pPr>
          </w:p>
        </w:tc>
        <w:tc>
          <w:tcPr>
            <w:tcW w:w="8328" w:type="dxa"/>
          </w:tcPr>
          <w:p w14:paraId="3F99030A"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C166FDF" w14:textId="262022A4" w:rsidR="00191A23" w:rsidRPr="0022554A" w:rsidRDefault="00A521E8" w:rsidP="00191A23">
            <w:pPr>
              <w:tabs>
                <w:tab w:val="left" w:pos="5400"/>
              </w:tabs>
              <w:rPr>
                <w:sz w:val="20"/>
                <w:lang w:eastAsia="ja-JP"/>
              </w:rPr>
            </w:pPr>
            <w:r>
              <w:rPr>
                <w:rFonts w:hint="eastAsia"/>
                <w:sz w:val="20"/>
                <w:lang w:eastAsia="ja-JP"/>
              </w:rPr>
              <w:t>6</w:t>
            </w:r>
          </w:p>
        </w:tc>
        <w:tc>
          <w:tcPr>
            <w:tcW w:w="3118" w:type="dxa"/>
          </w:tcPr>
          <w:p w14:paraId="614C946D" w14:textId="77777777" w:rsidR="00024FD9" w:rsidRPr="00024FD9" w:rsidRDefault="00024FD9" w:rsidP="00024FD9">
            <w:pPr>
              <w:tabs>
                <w:tab w:val="left" w:pos="5400"/>
              </w:tabs>
              <w:rPr>
                <w:bCs/>
                <w:sz w:val="20"/>
                <w:lang w:eastAsia="ja-JP"/>
              </w:rPr>
            </w:pPr>
            <w:r w:rsidRPr="00024FD9">
              <w:rPr>
                <w:bCs/>
                <w:sz w:val="20"/>
                <w:lang w:eastAsia="ja-JP"/>
              </w:rPr>
              <w:t>Correlation and regression analyses</w:t>
            </w:r>
          </w:p>
          <w:p w14:paraId="51E6F7B5" w14:textId="620167AF" w:rsidR="00024FD9" w:rsidRPr="00024FD9" w:rsidRDefault="00024FD9" w:rsidP="00024FD9">
            <w:pPr>
              <w:tabs>
                <w:tab w:val="left" w:pos="5400"/>
              </w:tabs>
              <w:rPr>
                <w:bCs/>
                <w:sz w:val="20"/>
                <w:lang w:eastAsia="ja-JP"/>
              </w:rPr>
            </w:pPr>
            <w:r w:rsidRPr="00024FD9">
              <w:rPr>
                <w:bCs/>
                <w:sz w:val="20"/>
                <w:lang w:eastAsia="ja-JP"/>
              </w:rPr>
              <w:t xml:space="preserve">The correlation between the GBG and FTBG measurements was </w:t>
            </w:r>
            <w:proofErr w:type="spellStart"/>
            <w:r w:rsidRPr="00024FD9">
              <w:rPr>
                <w:bCs/>
                <w:sz w:val="20"/>
                <w:lang w:eastAsia="ja-JP"/>
              </w:rPr>
              <w:t>analyzed</w:t>
            </w:r>
            <w:proofErr w:type="spellEnd"/>
            <w:r w:rsidRPr="00024FD9">
              <w:rPr>
                <w:bCs/>
                <w:sz w:val="20"/>
                <w:lang w:eastAsia="ja-JP"/>
              </w:rPr>
              <w:t xml:space="preserve"> to determine whether the GBG measurements were as reliable as the FTBG measurements. The Pearson's product‒moment correlation coefficient (r) was used to evaluate the correlation. In addition, the</w:t>
            </w:r>
            <w:r w:rsidR="00024D0E">
              <w:rPr>
                <w:rFonts w:hint="eastAsia"/>
                <w:bCs/>
                <w:sz w:val="20"/>
                <w:lang w:eastAsia="ja-JP"/>
              </w:rPr>
              <w:t xml:space="preserve"> simple linear</w:t>
            </w:r>
            <w:r w:rsidRPr="00024FD9">
              <w:rPr>
                <w:bCs/>
                <w:sz w:val="20"/>
                <w:lang w:eastAsia="ja-JP"/>
              </w:rPr>
              <w:t xml:space="preserve"> regression equation {FTBG = constant + </w:t>
            </w:r>
            <w:r w:rsidR="00024D0E">
              <w:rPr>
                <w:rFonts w:hint="eastAsia"/>
                <w:bCs/>
                <w:sz w:val="20"/>
                <w:lang w:eastAsia="ja-JP"/>
              </w:rPr>
              <w:t xml:space="preserve">simple linear </w:t>
            </w:r>
            <w:r w:rsidRPr="00024FD9">
              <w:rPr>
                <w:bCs/>
                <w:sz w:val="20"/>
                <w:lang w:eastAsia="ja-JP"/>
              </w:rPr>
              <w:t>regression coefficient (</w:t>
            </w:r>
            <w:r w:rsidR="00024D0E">
              <w:rPr>
                <w:rFonts w:hint="eastAsia"/>
                <w:bCs/>
                <w:sz w:val="20"/>
                <w:lang w:eastAsia="ja-JP"/>
              </w:rPr>
              <w:t>R</w:t>
            </w:r>
            <w:r w:rsidRPr="00024FD9">
              <w:rPr>
                <w:bCs/>
                <w:sz w:val="20"/>
                <w:lang w:eastAsia="ja-JP"/>
              </w:rPr>
              <w:t xml:space="preserve">) × GBG} and the coefficient of determination </w:t>
            </w:r>
            <w:r w:rsidRPr="00024FD9">
              <w:rPr>
                <w:bCs/>
                <w:sz w:val="20"/>
                <w:lang w:eastAsia="ja-JP"/>
              </w:rPr>
              <w:lastRenderedPageBreak/>
              <w:t>(R²) for simple linear regression analysis were determined (Müller &amp; Behbehani, 2005; Rajesh et al., 2016).</w:t>
            </w:r>
            <w:r w:rsidR="00565A77" w:rsidRPr="00565A77">
              <w:rPr>
                <w:bCs/>
                <w:sz w:val="20"/>
                <w:lang w:eastAsia="ja-JP"/>
              </w:rPr>
              <w:t xml:space="preserve"> In the case of simple linear regression analysis, there is only one explanatory variable, so the R is equal to the r.</w:t>
            </w:r>
            <w:r w:rsidR="00565A77">
              <w:rPr>
                <w:rFonts w:hint="eastAsia"/>
                <w:bCs/>
                <w:sz w:val="20"/>
                <w:lang w:eastAsia="ja-JP"/>
              </w:rPr>
              <w:t xml:space="preserve"> </w:t>
            </w:r>
          </w:p>
          <w:p w14:paraId="24B9B9FD" w14:textId="77777777" w:rsidR="00024FD9" w:rsidRPr="00024FD9" w:rsidRDefault="00024FD9" w:rsidP="00024FD9">
            <w:pPr>
              <w:tabs>
                <w:tab w:val="left" w:pos="5400"/>
              </w:tabs>
              <w:rPr>
                <w:bCs/>
                <w:sz w:val="20"/>
                <w:lang w:eastAsia="ja-JP"/>
              </w:rPr>
            </w:pPr>
            <w:r w:rsidRPr="00024FD9">
              <w:rPr>
                <w:bCs/>
                <w:sz w:val="20"/>
                <w:lang w:eastAsia="ja-JP"/>
              </w:rPr>
              <w:t>Bland–Altman analysis</w:t>
            </w:r>
          </w:p>
          <w:p w14:paraId="33CEA4AA" w14:textId="2B2D749F" w:rsidR="00191A23" w:rsidRPr="00987130" w:rsidRDefault="00024FD9" w:rsidP="00024FD9">
            <w:pPr>
              <w:tabs>
                <w:tab w:val="left" w:pos="5400"/>
              </w:tabs>
              <w:rPr>
                <w:bCs/>
                <w:sz w:val="20"/>
                <w:lang w:eastAsia="ja-JP"/>
              </w:rPr>
            </w:pPr>
            <w:r w:rsidRPr="00024FD9">
              <w:rPr>
                <w:bCs/>
                <w:sz w:val="20"/>
                <w:lang w:eastAsia="ja-JP"/>
              </w:rPr>
              <w:t xml:space="preserve">The Bland–Altman analysis was performed as follows (Bland &amp; Altman, 1986; Bland &amp; Altman, 1999; Müller &amp; Behbehani, 2005; Strauss et al., 2009; IBM Support, 2020). The interpretation of bias was based on the mean difference (MD) between the GBG and FTBG values. Bias and MD are synonymous. The limit of agreement (LOA) is the range corresponding to bias (MD) ±1.96×standard deviation (SD) for the 95% confidence interval (CI), and theoretically, 95% of the differences in the measured values converge to the LOA. The MD ± SD between GBG and FTBG and the 95% confidence interval (95% CI) of the MD were calculated. A one-sample t test was then used to compare GBG and FTBG, and a fixed bias was considered present if the 95% CI did not exceed zero. </w:t>
            </w:r>
            <w:r w:rsidRPr="00024FD9">
              <w:rPr>
                <w:bCs/>
                <w:sz w:val="20"/>
                <w:lang w:eastAsia="ja-JP"/>
              </w:rPr>
              <w:lastRenderedPageBreak/>
              <w:t xml:space="preserve">The coefficient of agreement (COA) and LOAs were determined. The COA was calculated as 1.96 × SD. The LOA was calculated as the MD±COA. The 95% CIs of the upper and lower LOAs were also calculated. A simple linear regression analysis was performed with the difference between GBG and FTBG as the objective variable and (GBG+FTBG)/2 as the explanatory variable to determine the presence of proportional bias, and the significance was tested. Proportional bias was considered present if </w:t>
            </w:r>
            <w:r w:rsidR="00201BE9">
              <w:rPr>
                <w:rFonts w:hint="eastAsia"/>
                <w:bCs/>
                <w:sz w:val="20"/>
                <w:lang w:eastAsia="ja-JP"/>
              </w:rPr>
              <w:t>the R</w:t>
            </w:r>
            <w:r w:rsidRPr="00024FD9">
              <w:rPr>
                <w:bCs/>
                <w:sz w:val="20"/>
                <w:lang w:eastAsia="ja-JP"/>
              </w:rPr>
              <w:t xml:space="preserve"> was judged to be significant. Furthermore, only the MD ± SD and evaluation up to 95% CIs were used to determine fixed bias in the presence of fixed and proportional bias. Sites with a PPD of ≥4 mm were considered suitable for obtaining the same GBG value as the FTBG value (Strauss et al., 2009). A subgroup analysis for PPDs of ≥4 mm and ≤3 mm was also conducted.</w:t>
            </w:r>
          </w:p>
        </w:tc>
      </w:tr>
      <w:tr w:rsidR="00191A23" w:rsidRPr="0022554A" w14:paraId="4B60EA73" w14:textId="77777777" w:rsidTr="00517788">
        <w:tc>
          <w:tcPr>
            <w:tcW w:w="1521" w:type="dxa"/>
            <w:vMerge/>
          </w:tcPr>
          <w:p w14:paraId="3FDA3415"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310CE950" w14:textId="77777777" w:rsidR="00191A23" w:rsidRPr="0022554A" w:rsidRDefault="00191A23" w:rsidP="00191A23">
            <w:pPr>
              <w:tabs>
                <w:tab w:val="left" w:pos="5400"/>
              </w:tabs>
              <w:jc w:val="center"/>
              <w:rPr>
                <w:sz w:val="20"/>
              </w:rPr>
            </w:pPr>
          </w:p>
        </w:tc>
        <w:tc>
          <w:tcPr>
            <w:tcW w:w="8328" w:type="dxa"/>
          </w:tcPr>
          <w:p w14:paraId="575F7A2D"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04DF0191" w14:textId="5C2FCFB7" w:rsidR="00191A23" w:rsidRPr="0022554A" w:rsidRDefault="008F3E0B" w:rsidP="00191A23">
            <w:pPr>
              <w:tabs>
                <w:tab w:val="left" w:pos="5400"/>
              </w:tabs>
              <w:rPr>
                <w:sz w:val="20"/>
              </w:rPr>
            </w:pPr>
            <w:r w:rsidRPr="008F3E0B">
              <w:rPr>
                <w:sz w:val="20"/>
              </w:rPr>
              <w:t>N</w:t>
            </w:r>
            <w:r w:rsidRPr="008F3E0B">
              <w:rPr>
                <w:rFonts w:hint="eastAsia"/>
                <w:sz w:val="20"/>
              </w:rPr>
              <w:t>ot applicable</w:t>
            </w:r>
          </w:p>
        </w:tc>
        <w:tc>
          <w:tcPr>
            <w:tcW w:w="3118" w:type="dxa"/>
          </w:tcPr>
          <w:p w14:paraId="7A4BDCC2" w14:textId="2226C548" w:rsidR="00191A23" w:rsidRPr="0022554A" w:rsidRDefault="00222077" w:rsidP="00191A23">
            <w:pPr>
              <w:tabs>
                <w:tab w:val="left" w:pos="5400"/>
              </w:tabs>
              <w:rPr>
                <w:sz w:val="20"/>
                <w:lang w:eastAsia="ja-JP"/>
              </w:rPr>
            </w:pPr>
            <w:r>
              <w:rPr>
                <w:sz w:val="20"/>
                <w:lang w:eastAsia="ja-JP"/>
              </w:rPr>
              <w:t>N</w:t>
            </w:r>
            <w:r>
              <w:rPr>
                <w:rFonts w:hint="eastAsia"/>
                <w:sz w:val="20"/>
                <w:lang w:eastAsia="ja-JP"/>
              </w:rPr>
              <w:t>ot applicable</w:t>
            </w:r>
          </w:p>
        </w:tc>
      </w:tr>
      <w:tr w:rsidR="00191A23" w:rsidRPr="0022554A" w14:paraId="62810F5D" w14:textId="77777777" w:rsidTr="00517788">
        <w:tc>
          <w:tcPr>
            <w:tcW w:w="1521" w:type="dxa"/>
            <w:vMerge/>
          </w:tcPr>
          <w:p w14:paraId="600F0DE0"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C942AE2" w14:textId="77777777" w:rsidR="00191A23" w:rsidRPr="0022554A" w:rsidRDefault="00191A23" w:rsidP="00191A23">
            <w:pPr>
              <w:tabs>
                <w:tab w:val="left" w:pos="5400"/>
              </w:tabs>
              <w:jc w:val="center"/>
              <w:rPr>
                <w:sz w:val="20"/>
              </w:rPr>
            </w:pPr>
          </w:p>
        </w:tc>
        <w:tc>
          <w:tcPr>
            <w:tcW w:w="8328" w:type="dxa"/>
          </w:tcPr>
          <w:p w14:paraId="1B3DF825"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365675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439CAB8" w14:textId="77777777" w:rsidR="00191A23" w:rsidRPr="0022554A" w:rsidRDefault="00191A23" w:rsidP="00191A23">
            <w:pPr>
              <w:tabs>
                <w:tab w:val="left" w:pos="5400"/>
              </w:tabs>
              <w:rPr>
                <w:sz w:val="20"/>
              </w:rPr>
            </w:pPr>
            <w:r>
              <w:rPr>
                <w:bCs/>
                <w:i/>
                <w:sz w:val="20"/>
              </w:rPr>
              <w:lastRenderedPageBreak/>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4822E071" w14:textId="46C725F0" w:rsidR="00191A23" w:rsidRPr="0022554A" w:rsidRDefault="00C86820" w:rsidP="00191A23">
            <w:pPr>
              <w:tabs>
                <w:tab w:val="left" w:pos="5400"/>
              </w:tabs>
              <w:rPr>
                <w:sz w:val="20"/>
              </w:rPr>
            </w:pPr>
            <w:r w:rsidRPr="00C86820">
              <w:rPr>
                <w:sz w:val="20"/>
              </w:rPr>
              <w:lastRenderedPageBreak/>
              <w:t>N</w:t>
            </w:r>
            <w:r w:rsidRPr="00C86820">
              <w:rPr>
                <w:rFonts w:hint="eastAsia"/>
                <w:sz w:val="20"/>
              </w:rPr>
              <w:t>ot applicable</w:t>
            </w:r>
          </w:p>
        </w:tc>
        <w:tc>
          <w:tcPr>
            <w:tcW w:w="3118" w:type="dxa"/>
          </w:tcPr>
          <w:p w14:paraId="7D092298" w14:textId="166A477F" w:rsidR="00191A23" w:rsidRPr="0022554A" w:rsidRDefault="00C86820" w:rsidP="00191A23">
            <w:pPr>
              <w:tabs>
                <w:tab w:val="left" w:pos="5400"/>
              </w:tabs>
              <w:rPr>
                <w:sz w:val="20"/>
              </w:rPr>
            </w:pPr>
            <w:r w:rsidRPr="00C86820">
              <w:rPr>
                <w:sz w:val="20"/>
              </w:rPr>
              <w:t>N</w:t>
            </w:r>
            <w:r w:rsidRPr="00C86820">
              <w:rPr>
                <w:rFonts w:hint="eastAsia"/>
                <w:sz w:val="20"/>
              </w:rPr>
              <w:t>ot applicable</w:t>
            </w:r>
          </w:p>
        </w:tc>
      </w:tr>
      <w:tr w:rsidR="00191A23" w:rsidRPr="0022554A" w14:paraId="54F6C362" w14:textId="77777777" w:rsidTr="00517788">
        <w:tc>
          <w:tcPr>
            <w:tcW w:w="1521" w:type="dxa"/>
            <w:vMerge/>
          </w:tcPr>
          <w:p w14:paraId="0C373D3A"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E3496C3" w14:textId="77777777" w:rsidR="00191A23" w:rsidRPr="0022554A" w:rsidRDefault="00191A23" w:rsidP="00191A23">
            <w:pPr>
              <w:tabs>
                <w:tab w:val="left" w:pos="5400"/>
              </w:tabs>
              <w:jc w:val="center"/>
              <w:rPr>
                <w:sz w:val="20"/>
              </w:rPr>
            </w:pPr>
          </w:p>
        </w:tc>
        <w:tc>
          <w:tcPr>
            <w:tcW w:w="8328" w:type="dxa"/>
          </w:tcPr>
          <w:p w14:paraId="028895A1"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4CE0EC59" w14:textId="2D5FC2B1" w:rsidR="00191A23" w:rsidRPr="0022554A" w:rsidRDefault="005714FA" w:rsidP="00191A23">
            <w:pPr>
              <w:tabs>
                <w:tab w:val="left" w:pos="5400"/>
              </w:tabs>
              <w:rPr>
                <w:sz w:val="20"/>
                <w:lang w:eastAsia="ja-JP"/>
              </w:rPr>
            </w:pPr>
            <w:r>
              <w:rPr>
                <w:rFonts w:hint="eastAsia"/>
                <w:sz w:val="20"/>
                <w:lang w:eastAsia="ja-JP"/>
              </w:rPr>
              <w:t>6</w:t>
            </w:r>
            <w:r w:rsidR="00566384">
              <w:rPr>
                <w:rFonts w:hint="eastAsia"/>
                <w:sz w:val="20"/>
                <w:lang w:eastAsia="ja-JP"/>
              </w:rPr>
              <w:t>-7</w:t>
            </w:r>
          </w:p>
        </w:tc>
        <w:tc>
          <w:tcPr>
            <w:tcW w:w="3118" w:type="dxa"/>
          </w:tcPr>
          <w:p w14:paraId="2BFE0632" w14:textId="77777777" w:rsidR="005B51AE" w:rsidRPr="005B51AE" w:rsidRDefault="005B51AE" w:rsidP="005B51AE">
            <w:pPr>
              <w:tabs>
                <w:tab w:val="left" w:pos="5400"/>
              </w:tabs>
              <w:rPr>
                <w:sz w:val="20"/>
              </w:rPr>
            </w:pPr>
            <w:r w:rsidRPr="005B51AE">
              <w:rPr>
                <w:sz w:val="20"/>
              </w:rPr>
              <w:t>Receiver operating characteristic analysis</w:t>
            </w:r>
          </w:p>
          <w:p w14:paraId="6BD7E846" w14:textId="4B408541" w:rsidR="00191A23" w:rsidRPr="0022554A" w:rsidRDefault="005B51AE" w:rsidP="005B51AE">
            <w:pPr>
              <w:tabs>
                <w:tab w:val="left" w:pos="5400"/>
              </w:tabs>
              <w:rPr>
                <w:sz w:val="20"/>
              </w:rPr>
            </w:pPr>
            <w:r w:rsidRPr="005B51AE">
              <w:rPr>
                <w:sz w:val="20"/>
              </w:rPr>
              <w:t>The ROC curves of the GBG and FTBG levels were plotted, and the areas under the curves (AUCs) were calculated. The sensitivity and specificity were also calculated. The optimal cutoff values for diabetes screening were subsequently determined. The cutoff values were calculated as the coordinate point, i.e., the minimum value of (1-sensitivity) ² + (1-specificity) ² from the coordinate point table of the ROC curve (Strauss et al., 2012; Strauss et al., 2015). The difference between the AUCs was determined via a one-sample t test if the AUCs of the GBG and FTBG values were significant.</w:t>
            </w:r>
          </w:p>
        </w:tc>
      </w:tr>
      <w:bookmarkEnd w:id="52"/>
      <w:bookmarkEnd w:id="53"/>
      <w:tr w:rsidR="00191A23" w:rsidRPr="0022554A" w14:paraId="6D1ECA38" w14:textId="77777777" w:rsidTr="00191A23">
        <w:tc>
          <w:tcPr>
            <w:tcW w:w="14992" w:type="dxa"/>
            <w:gridSpan w:val="5"/>
          </w:tcPr>
          <w:p w14:paraId="19B26D7B"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E1D55AA" w14:textId="77777777" w:rsidTr="00517788">
        <w:tc>
          <w:tcPr>
            <w:tcW w:w="0" w:type="auto"/>
            <w:vMerge w:val="restart"/>
          </w:tcPr>
          <w:p w14:paraId="5140AB92"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3902E92A"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3FB7C407"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07E81D3C" w14:textId="40D904D3" w:rsidR="00191A23" w:rsidRDefault="0091510F" w:rsidP="00191A23">
            <w:pPr>
              <w:tabs>
                <w:tab w:val="left" w:pos="5400"/>
              </w:tabs>
              <w:rPr>
                <w:sz w:val="20"/>
                <w:lang w:eastAsia="ja-JP"/>
              </w:rPr>
            </w:pPr>
            <w:r>
              <w:rPr>
                <w:rFonts w:hint="eastAsia"/>
                <w:sz w:val="20"/>
                <w:lang w:eastAsia="ja-JP"/>
              </w:rPr>
              <w:t>6</w:t>
            </w:r>
          </w:p>
        </w:tc>
        <w:tc>
          <w:tcPr>
            <w:tcW w:w="3118" w:type="dxa"/>
          </w:tcPr>
          <w:p w14:paraId="6EB62E5B" w14:textId="08CAE1CE" w:rsidR="00191A23" w:rsidRPr="00B877B0" w:rsidRDefault="00C10DD5" w:rsidP="00191A23">
            <w:pPr>
              <w:tabs>
                <w:tab w:val="left" w:pos="5400"/>
              </w:tabs>
              <w:rPr>
                <w:sz w:val="20"/>
                <w:lang w:eastAsia="ja-JP"/>
              </w:rPr>
            </w:pPr>
            <w:r w:rsidRPr="00C10DD5">
              <w:rPr>
                <w:sz w:val="20"/>
                <w:lang w:eastAsia="ja-JP"/>
              </w:rPr>
              <w:t xml:space="preserve">Informed consent was obtained from 37 participants between November 2020 and June 2021. The diabetic and nondiabetic groups comprised 15 and 22 participants, respectively. Therefore, case‒control matching </w:t>
            </w:r>
            <w:r w:rsidRPr="00C10DD5">
              <w:rPr>
                <w:sz w:val="20"/>
                <w:lang w:eastAsia="ja-JP"/>
              </w:rPr>
              <w:lastRenderedPageBreak/>
              <w:t>was performed in the diabetic and nondiabetic groups for 15 participants. Eight male and seven female participants matched perfectly. The analysis was conducted under these conditions, as the minimum age difference possible was within 8 years. The supplemental file (Data S1) presents the raw data before analysis.</w:t>
            </w:r>
          </w:p>
        </w:tc>
      </w:tr>
      <w:tr w:rsidR="00191A23" w:rsidRPr="0022554A" w14:paraId="2D886B48" w14:textId="77777777" w:rsidTr="00517788">
        <w:tc>
          <w:tcPr>
            <w:tcW w:w="0" w:type="auto"/>
            <w:vMerge/>
          </w:tcPr>
          <w:p w14:paraId="266C374C"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20921E9A" w14:textId="77777777" w:rsidR="00191A23" w:rsidRPr="0022554A" w:rsidRDefault="00191A23" w:rsidP="00191A23">
            <w:pPr>
              <w:tabs>
                <w:tab w:val="left" w:pos="5400"/>
              </w:tabs>
              <w:jc w:val="center"/>
              <w:rPr>
                <w:sz w:val="20"/>
              </w:rPr>
            </w:pPr>
          </w:p>
        </w:tc>
        <w:tc>
          <w:tcPr>
            <w:tcW w:w="8328" w:type="dxa"/>
          </w:tcPr>
          <w:p w14:paraId="20ACB212"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C3811E4" w14:textId="3002B365" w:rsidR="00191A23" w:rsidRDefault="006B61A6" w:rsidP="00191A23">
            <w:pPr>
              <w:tabs>
                <w:tab w:val="left" w:pos="5400"/>
              </w:tabs>
              <w:rPr>
                <w:sz w:val="20"/>
                <w:lang w:eastAsia="ja-JP"/>
              </w:rPr>
            </w:pPr>
            <w:r w:rsidRPr="006B61A6">
              <w:rPr>
                <w:sz w:val="20"/>
                <w:lang w:eastAsia="ja-JP"/>
              </w:rPr>
              <w:t>Not applicable</w:t>
            </w:r>
          </w:p>
        </w:tc>
        <w:tc>
          <w:tcPr>
            <w:tcW w:w="3118" w:type="dxa"/>
          </w:tcPr>
          <w:p w14:paraId="2E1317E5" w14:textId="74701463" w:rsidR="00191A23" w:rsidRDefault="006B61A6" w:rsidP="00191A23">
            <w:pPr>
              <w:tabs>
                <w:tab w:val="left" w:pos="5400"/>
              </w:tabs>
              <w:rPr>
                <w:sz w:val="20"/>
              </w:rPr>
            </w:pPr>
            <w:r w:rsidRPr="006B61A6">
              <w:rPr>
                <w:sz w:val="20"/>
              </w:rPr>
              <w:t>Not applicable</w:t>
            </w:r>
          </w:p>
        </w:tc>
      </w:tr>
      <w:tr w:rsidR="00191A23" w:rsidRPr="0022554A" w14:paraId="6946A7E2" w14:textId="77777777" w:rsidTr="00517788">
        <w:tc>
          <w:tcPr>
            <w:tcW w:w="0" w:type="auto"/>
            <w:vMerge/>
          </w:tcPr>
          <w:p w14:paraId="658880BF"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0C00630" w14:textId="77777777" w:rsidR="00191A23" w:rsidRPr="0022554A" w:rsidRDefault="00191A23" w:rsidP="00191A23">
            <w:pPr>
              <w:tabs>
                <w:tab w:val="left" w:pos="5400"/>
              </w:tabs>
              <w:jc w:val="center"/>
              <w:rPr>
                <w:sz w:val="20"/>
              </w:rPr>
            </w:pPr>
          </w:p>
        </w:tc>
        <w:tc>
          <w:tcPr>
            <w:tcW w:w="8328" w:type="dxa"/>
          </w:tcPr>
          <w:p w14:paraId="21BA415F"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016A9C80" w14:textId="77F87002" w:rsidR="00191A23" w:rsidRDefault="00FA4279" w:rsidP="00191A23">
            <w:pPr>
              <w:tabs>
                <w:tab w:val="left" w:pos="5400"/>
              </w:tabs>
              <w:rPr>
                <w:sz w:val="20"/>
                <w:lang w:eastAsia="ja-JP"/>
              </w:rPr>
            </w:pPr>
            <w:r>
              <w:rPr>
                <w:sz w:val="20"/>
                <w:lang w:eastAsia="ja-JP"/>
              </w:rPr>
              <w:t>N</w:t>
            </w:r>
            <w:r>
              <w:rPr>
                <w:rFonts w:hint="eastAsia"/>
                <w:sz w:val="20"/>
                <w:lang w:eastAsia="ja-JP"/>
              </w:rPr>
              <w:t>ot applicable</w:t>
            </w:r>
          </w:p>
        </w:tc>
        <w:tc>
          <w:tcPr>
            <w:tcW w:w="3118" w:type="dxa"/>
          </w:tcPr>
          <w:p w14:paraId="72029CCF" w14:textId="067CBBDD" w:rsidR="00191A23" w:rsidRDefault="00FA4279" w:rsidP="00191A23">
            <w:pPr>
              <w:tabs>
                <w:tab w:val="left" w:pos="5400"/>
              </w:tabs>
              <w:rPr>
                <w:sz w:val="20"/>
                <w:lang w:eastAsia="ja-JP"/>
              </w:rPr>
            </w:pPr>
            <w:r>
              <w:rPr>
                <w:sz w:val="20"/>
                <w:lang w:eastAsia="ja-JP"/>
              </w:rPr>
              <w:t>N</w:t>
            </w:r>
            <w:r>
              <w:rPr>
                <w:rFonts w:hint="eastAsia"/>
                <w:sz w:val="20"/>
                <w:lang w:eastAsia="ja-JP"/>
              </w:rPr>
              <w:t>ot applicable</w:t>
            </w:r>
          </w:p>
        </w:tc>
      </w:tr>
      <w:tr w:rsidR="00191A23" w:rsidRPr="0022554A" w14:paraId="2099F748" w14:textId="77777777" w:rsidTr="00517788">
        <w:tc>
          <w:tcPr>
            <w:tcW w:w="0" w:type="auto"/>
            <w:vMerge w:val="restart"/>
          </w:tcPr>
          <w:p w14:paraId="56A38A0D"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AF405B7"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5E8C1405"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3EE8FC27" w14:textId="2E2D708C" w:rsidR="00191A23" w:rsidRDefault="00670FD5" w:rsidP="00191A23">
            <w:pPr>
              <w:tabs>
                <w:tab w:val="left" w:pos="5400"/>
              </w:tabs>
              <w:rPr>
                <w:sz w:val="20"/>
                <w:lang w:eastAsia="ja-JP"/>
              </w:rPr>
            </w:pPr>
            <w:r>
              <w:rPr>
                <w:rFonts w:hint="eastAsia"/>
                <w:sz w:val="20"/>
                <w:lang w:eastAsia="ja-JP"/>
              </w:rPr>
              <w:t>7</w:t>
            </w:r>
          </w:p>
        </w:tc>
        <w:tc>
          <w:tcPr>
            <w:tcW w:w="3118" w:type="dxa"/>
          </w:tcPr>
          <w:p w14:paraId="0B1E3312" w14:textId="48780043" w:rsidR="00191A23" w:rsidRPr="006F7FB3" w:rsidRDefault="00AF1A69" w:rsidP="00191A23">
            <w:pPr>
              <w:tabs>
                <w:tab w:val="left" w:pos="5400"/>
              </w:tabs>
              <w:rPr>
                <w:sz w:val="20"/>
                <w:lang w:eastAsia="ja-JP"/>
              </w:rPr>
            </w:pPr>
            <w:r w:rsidRPr="00AF1A69">
              <w:rPr>
                <w:sz w:val="20"/>
                <w:lang w:eastAsia="ja-JP"/>
              </w:rPr>
              <w:t xml:space="preserve">The diabetic group did not include patients with Grade A periodontitis; in contrast, 14 of the 15 participants (93%) in the nondiabetic group had Grade A or B periodontitis (Table 1), indicating a significant difference (p=0.001). The participants in the diabetic group were significantly more likely to have generalized chronic periodontitis (14 of the 15 patients, 93%) (p=0.040). The mean number of present teeth was 19.9±4.85 and 23.7±3.81 in the diabetic and nondiabetic groups, respectively, </w:t>
            </w:r>
            <w:r w:rsidRPr="00AF1A69">
              <w:rPr>
                <w:sz w:val="20"/>
                <w:lang w:eastAsia="ja-JP"/>
              </w:rPr>
              <w:lastRenderedPageBreak/>
              <w:t>indicating a significant difference (p=0.026; Table 2).</w:t>
            </w:r>
          </w:p>
        </w:tc>
      </w:tr>
      <w:tr w:rsidR="00191A23" w:rsidRPr="0022554A" w14:paraId="1EC4CDF5" w14:textId="77777777" w:rsidTr="00517788">
        <w:tc>
          <w:tcPr>
            <w:tcW w:w="0" w:type="auto"/>
            <w:vMerge/>
          </w:tcPr>
          <w:p w14:paraId="4DB05268"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0056440A" w14:textId="77777777" w:rsidR="00191A23" w:rsidRPr="0022554A" w:rsidRDefault="00191A23" w:rsidP="00191A23">
            <w:pPr>
              <w:tabs>
                <w:tab w:val="left" w:pos="5400"/>
              </w:tabs>
              <w:jc w:val="center"/>
              <w:rPr>
                <w:sz w:val="20"/>
              </w:rPr>
            </w:pPr>
          </w:p>
        </w:tc>
        <w:tc>
          <w:tcPr>
            <w:tcW w:w="8328" w:type="dxa"/>
          </w:tcPr>
          <w:p w14:paraId="087CE876"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AEEAC85" w14:textId="3C6A6CC4" w:rsidR="00191A23" w:rsidRDefault="00396860" w:rsidP="00191A23">
            <w:pPr>
              <w:tabs>
                <w:tab w:val="left" w:pos="5400"/>
              </w:tabs>
              <w:rPr>
                <w:sz w:val="20"/>
                <w:lang w:eastAsia="ja-JP"/>
              </w:rPr>
            </w:pPr>
            <w:r>
              <w:rPr>
                <w:sz w:val="20"/>
                <w:lang w:eastAsia="ja-JP"/>
              </w:rPr>
              <w:t>N</w:t>
            </w:r>
            <w:r>
              <w:rPr>
                <w:rFonts w:hint="eastAsia"/>
                <w:sz w:val="20"/>
                <w:lang w:eastAsia="ja-JP"/>
              </w:rPr>
              <w:t>ot applicable</w:t>
            </w:r>
          </w:p>
        </w:tc>
        <w:tc>
          <w:tcPr>
            <w:tcW w:w="3118" w:type="dxa"/>
          </w:tcPr>
          <w:p w14:paraId="715D2E44" w14:textId="204E560B" w:rsidR="00191A23" w:rsidRDefault="00396860" w:rsidP="00191A23">
            <w:pPr>
              <w:tabs>
                <w:tab w:val="left" w:pos="5400"/>
              </w:tabs>
              <w:rPr>
                <w:sz w:val="20"/>
                <w:lang w:eastAsia="ja-JP"/>
              </w:rPr>
            </w:pPr>
            <w:r>
              <w:rPr>
                <w:sz w:val="20"/>
                <w:lang w:eastAsia="ja-JP"/>
              </w:rPr>
              <w:t>N</w:t>
            </w:r>
            <w:r>
              <w:rPr>
                <w:rFonts w:hint="eastAsia"/>
                <w:sz w:val="20"/>
                <w:lang w:eastAsia="ja-JP"/>
              </w:rPr>
              <w:t>ot applicable</w:t>
            </w:r>
          </w:p>
        </w:tc>
      </w:tr>
      <w:tr w:rsidR="00191A23" w:rsidRPr="0022554A" w14:paraId="7C9947C2" w14:textId="77777777" w:rsidTr="00517788">
        <w:tc>
          <w:tcPr>
            <w:tcW w:w="0" w:type="auto"/>
            <w:vMerge/>
          </w:tcPr>
          <w:p w14:paraId="7F1DEF2A"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A6D232E" w14:textId="77777777" w:rsidR="00191A23" w:rsidRPr="0022554A" w:rsidRDefault="00191A23" w:rsidP="00191A23">
            <w:pPr>
              <w:tabs>
                <w:tab w:val="left" w:pos="5400"/>
              </w:tabs>
              <w:jc w:val="center"/>
              <w:rPr>
                <w:sz w:val="20"/>
              </w:rPr>
            </w:pPr>
          </w:p>
        </w:tc>
        <w:tc>
          <w:tcPr>
            <w:tcW w:w="8328" w:type="dxa"/>
          </w:tcPr>
          <w:p w14:paraId="07EB7E8C"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7062645F" w14:textId="43E473A8" w:rsidR="00191A23" w:rsidRDefault="00CB7BC4" w:rsidP="00191A23">
            <w:pPr>
              <w:tabs>
                <w:tab w:val="left" w:pos="5400"/>
              </w:tabs>
              <w:rPr>
                <w:sz w:val="20"/>
                <w:lang w:eastAsia="ja-JP"/>
              </w:rPr>
            </w:pPr>
            <w:r>
              <w:rPr>
                <w:sz w:val="20"/>
                <w:lang w:eastAsia="ja-JP"/>
              </w:rPr>
              <w:t>N</w:t>
            </w:r>
            <w:r>
              <w:rPr>
                <w:rFonts w:hint="eastAsia"/>
                <w:sz w:val="20"/>
                <w:lang w:eastAsia="ja-JP"/>
              </w:rPr>
              <w:t>ot applicable</w:t>
            </w:r>
          </w:p>
        </w:tc>
        <w:tc>
          <w:tcPr>
            <w:tcW w:w="3118" w:type="dxa"/>
          </w:tcPr>
          <w:p w14:paraId="09B19477" w14:textId="411BE357" w:rsidR="00191A23" w:rsidRDefault="00CB7BC4" w:rsidP="00191A23">
            <w:pPr>
              <w:tabs>
                <w:tab w:val="left" w:pos="5400"/>
              </w:tabs>
              <w:rPr>
                <w:sz w:val="20"/>
                <w:lang w:eastAsia="ja-JP"/>
              </w:rPr>
            </w:pPr>
            <w:r>
              <w:rPr>
                <w:sz w:val="20"/>
                <w:lang w:eastAsia="ja-JP"/>
              </w:rPr>
              <w:t>N</w:t>
            </w:r>
            <w:r>
              <w:rPr>
                <w:rFonts w:hint="eastAsia"/>
                <w:sz w:val="20"/>
                <w:lang w:eastAsia="ja-JP"/>
              </w:rPr>
              <w:t>ot applicable</w:t>
            </w:r>
          </w:p>
        </w:tc>
      </w:tr>
      <w:tr w:rsidR="00191A23" w:rsidRPr="0022554A" w14:paraId="3FCE0BBA" w14:textId="77777777" w:rsidTr="00517788">
        <w:trPr>
          <w:trHeight w:val="295"/>
        </w:trPr>
        <w:tc>
          <w:tcPr>
            <w:tcW w:w="0" w:type="auto"/>
            <w:vMerge w:val="restart"/>
          </w:tcPr>
          <w:p w14:paraId="1F62D5F7"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DB71B34"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649B75C0"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B013B1D" w14:textId="3EB7B8DC" w:rsidR="00191A23" w:rsidRPr="00CB7BC4" w:rsidRDefault="00CB7BC4" w:rsidP="00191A23">
            <w:pPr>
              <w:tabs>
                <w:tab w:val="left" w:pos="5400"/>
              </w:tabs>
              <w:rPr>
                <w:iCs/>
                <w:sz w:val="20"/>
                <w:lang w:eastAsia="ja-JP"/>
              </w:rPr>
            </w:pPr>
            <w:r>
              <w:rPr>
                <w:iCs/>
                <w:sz w:val="20"/>
                <w:lang w:eastAsia="ja-JP"/>
              </w:rPr>
              <w:t>N</w:t>
            </w:r>
            <w:r>
              <w:rPr>
                <w:rFonts w:hint="eastAsia"/>
                <w:iCs/>
                <w:sz w:val="20"/>
                <w:lang w:eastAsia="ja-JP"/>
              </w:rPr>
              <w:t>ot applicable</w:t>
            </w:r>
          </w:p>
        </w:tc>
        <w:tc>
          <w:tcPr>
            <w:tcW w:w="3118" w:type="dxa"/>
          </w:tcPr>
          <w:p w14:paraId="3945A4BF" w14:textId="7F92425F" w:rsidR="00191A23" w:rsidRPr="00CB7BC4" w:rsidRDefault="00CB7BC4" w:rsidP="00191A23">
            <w:pPr>
              <w:tabs>
                <w:tab w:val="left" w:pos="5400"/>
              </w:tabs>
              <w:rPr>
                <w:iCs/>
                <w:sz w:val="20"/>
                <w:lang w:eastAsia="ja-JP"/>
              </w:rPr>
            </w:pPr>
            <w:r>
              <w:rPr>
                <w:iCs/>
                <w:sz w:val="20"/>
                <w:lang w:eastAsia="ja-JP"/>
              </w:rPr>
              <w:t>N</w:t>
            </w:r>
            <w:r>
              <w:rPr>
                <w:rFonts w:hint="eastAsia"/>
                <w:iCs/>
                <w:sz w:val="20"/>
                <w:lang w:eastAsia="ja-JP"/>
              </w:rPr>
              <w:t>ot applicable</w:t>
            </w:r>
          </w:p>
        </w:tc>
      </w:tr>
      <w:tr w:rsidR="00191A23" w:rsidRPr="0022554A" w14:paraId="4B374FB1" w14:textId="77777777" w:rsidTr="00517788">
        <w:trPr>
          <w:trHeight w:val="294"/>
        </w:trPr>
        <w:tc>
          <w:tcPr>
            <w:tcW w:w="0" w:type="auto"/>
            <w:vMerge/>
          </w:tcPr>
          <w:p w14:paraId="5EA4BE54" w14:textId="77777777" w:rsidR="00191A23" w:rsidRPr="0022554A" w:rsidRDefault="00191A23" w:rsidP="00191A23">
            <w:pPr>
              <w:tabs>
                <w:tab w:val="left" w:pos="5400"/>
              </w:tabs>
              <w:rPr>
                <w:bCs/>
                <w:sz w:val="20"/>
              </w:rPr>
            </w:pPr>
          </w:p>
        </w:tc>
        <w:tc>
          <w:tcPr>
            <w:tcW w:w="0" w:type="auto"/>
            <w:vMerge/>
          </w:tcPr>
          <w:p w14:paraId="71267B99" w14:textId="77777777" w:rsidR="00191A23" w:rsidRPr="0022554A" w:rsidRDefault="00191A23" w:rsidP="00191A23">
            <w:pPr>
              <w:tabs>
                <w:tab w:val="left" w:pos="5400"/>
              </w:tabs>
              <w:jc w:val="center"/>
              <w:rPr>
                <w:sz w:val="20"/>
              </w:rPr>
            </w:pPr>
          </w:p>
        </w:tc>
        <w:tc>
          <w:tcPr>
            <w:tcW w:w="8328" w:type="dxa"/>
          </w:tcPr>
          <w:p w14:paraId="6C6089AD"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4E8E9DAB" w14:textId="0B8AF317" w:rsidR="00191A23" w:rsidRPr="00CB7BC4" w:rsidRDefault="00CB7BC4" w:rsidP="00191A23">
            <w:pPr>
              <w:tabs>
                <w:tab w:val="left" w:pos="5400"/>
              </w:tabs>
              <w:rPr>
                <w:iCs/>
                <w:sz w:val="20"/>
                <w:lang w:eastAsia="ja-JP"/>
              </w:rPr>
            </w:pPr>
            <w:r>
              <w:rPr>
                <w:iCs/>
                <w:sz w:val="20"/>
                <w:lang w:eastAsia="ja-JP"/>
              </w:rPr>
              <w:t>N</w:t>
            </w:r>
            <w:r>
              <w:rPr>
                <w:rFonts w:hint="eastAsia"/>
                <w:iCs/>
                <w:sz w:val="20"/>
                <w:lang w:eastAsia="ja-JP"/>
              </w:rPr>
              <w:t>ot applicable</w:t>
            </w:r>
          </w:p>
        </w:tc>
        <w:tc>
          <w:tcPr>
            <w:tcW w:w="3118" w:type="dxa"/>
          </w:tcPr>
          <w:p w14:paraId="504391A5" w14:textId="18AC147C" w:rsidR="00191A23" w:rsidRPr="00CB7BC4" w:rsidRDefault="00CB7BC4" w:rsidP="00191A23">
            <w:pPr>
              <w:tabs>
                <w:tab w:val="left" w:pos="5400"/>
              </w:tabs>
              <w:rPr>
                <w:iCs/>
                <w:sz w:val="20"/>
                <w:lang w:eastAsia="ja-JP"/>
              </w:rPr>
            </w:pPr>
            <w:r>
              <w:rPr>
                <w:iCs/>
                <w:sz w:val="20"/>
                <w:lang w:eastAsia="ja-JP"/>
              </w:rPr>
              <w:t>N</w:t>
            </w:r>
            <w:r>
              <w:rPr>
                <w:rFonts w:hint="eastAsia"/>
                <w:iCs/>
                <w:sz w:val="20"/>
                <w:lang w:eastAsia="ja-JP"/>
              </w:rPr>
              <w:t>ot applicable</w:t>
            </w:r>
          </w:p>
        </w:tc>
      </w:tr>
      <w:tr w:rsidR="00191A23" w:rsidRPr="0022554A" w14:paraId="1DE43A84" w14:textId="77777777" w:rsidTr="00517788">
        <w:trPr>
          <w:trHeight w:val="294"/>
        </w:trPr>
        <w:tc>
          <w:tcPr>
            <w:tcW w:w="0" w:type="auto"/>
            <w:vMerge/>
          </w:tcPr>
          <w:p w14:paraId="23F91098" w14:textId="77777777" w:rsidR="00191A23" w:rsidRPr="0022554A" w:rsidRDefault="00191A23" w:rsidP="00191A23">
            <w:pPr>
              <w:tabs>
                <w:tab w:val="left" w:pos="5400"/>
              </w:tabs>
              <w:rPr>
                <w:bCs/>
                <w:sz w:val="20"/>
              </w:rPr>
            </w:pPr>
          </w:p>
        </w:tc>
        <w:tc>
          <w:tcPr>
            <w:tcW w:w="0" w:type="auto"/>
            <w:vMerge/>
          </w:tcPr>
          <w:p w14:paraId="24FE6226" w14:textId="77777777" w:rsidR="00191A23" w:rsidRPr="0022554A" w:rsidRDefault="00191A23" w:rsidP="00191A23">
            <w:pPr>
              <w:tabs>
                <w:tab w:val="left" w:pos="5400"/>
              </w:tabs>
              <w:jc w:val="center"/>
              <w:rPr>
                <w:sz w:val="20"/>
              </w:rPr>
            </w:pPr>
          </w:p>
        </w:tc>
        <w:tc>
          <w:tcPr>
            <w:tcW w:w="8328" w:type="dxa"/>
          </w:tcPr>
          <w:p w14:paraId="4E0817DB"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27881469" w14:textId="29D7F47C" w:rsidR="00191A23" w:rsidRPr="008B4827" w:rsidRDefault="009B22E8" w:rsidP="00191A23">
            <w:pPr>
              <w:tabs>
                <w:tab w:val="left" w:pos="5400"/>
              </w:tabs>
              <w:rPr>
                <w:iCs/>
                <w:sz w:val="20"/>
                <w:lang w:eastAsia="ja-JP"/>
              </w:rPr>
            </w:pPr>
            <w:r>
              <w:rPr>
                <w:rFonts w:hint="eastAsia"/>
                <w:iCs/>
                <w:sz w:val="20"/>
                <w:lang w:eastAsia="ja-JP"/>
              </w:rPr>
              <w:t>7</w:t>
            </w:r>
          </w:p>
        </w:tc>
        <w:tc>
          <w:tcPr>
            <w:tcW w:w="3118" w:type="dxa"/>
          </w:tcPr>
          <w:p w14:paraId="2A83D08B" w14:textId="456E31BD" w:rsidR="00191A23" w:rsidRPr="00BE48D9" w:rsidRDefault="005100B5" w:rsidP="00191A23">
            <w:pPr>
              <w:tabs>
                <w:tab w:val="left" w:pos="5400"/>
              </w:tabs>
              <w:rPr>
                <w:iCs/>
                <w:sz w:val="20"/>
                <w:lang w:eastAsia="ja-JP"/>
              </w:rPr>
            </w:pPr>
            <w:r w:rsidRPr="005100B5">
              <w:rPr>
                <w:iCs/>
                <w:sz w:val="20"/>
                <w:lang w:eastAsia="ja-JP"/>
              </w:rPr>
              <w:t>The diabetic group did not include patients with Grade A periodontitis; in contrast, 14 of the 15 participants (93%) in the nondiabetic group had Grade A or B periodontitis (Table 1), indicating a significant difference (p=0.001). The participants in the diabetic group were significantly more likely to have generalized chronic periodontitis (14 of the 15 patients, 93%) (p=0.040). The mean number of present teeth was 19.9±4.85 and 23.7±3.81 in the diabetic and nondiabetic groups, respectively, indicating a significant difference (p=0.026; Table 2).</w:t>
            </w:r>
          </w:p>
        </w:tc>
      </w:tr>
      <w:tr w:rsidR="00191A23" w:rsidRPr="0022554A" w14:paraId="6F4EB6C4" w14:textId="77777777" w:rsidTr="00517788">
        <w:tc>
          <w:tcPr>
            <w:tcW w:w="0" w:type="auto"/>
            <w:vMerge w:val="restart"/>
          </w:tcPr>
          <w:p w14:paraId="57A5A182"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831E3FA" w14:textId="77777777" w:rsidR="00191A23" w:rsidRPr="0022554A" w:rsidRDefault="00191A23" w:rsidP="00191A23">
            <w:pPr>
              <w:tabs>
                <w:tab w:val="left" w:pos="5400"/>
              </w:tabs>
              <w:jc w:val="center"/>
              <w:rPr>
                <w:sz w:val="20"/>
              </w:rPr>
            </w:pPr>
            <w:r w:rsidRPr="0022554A">
              <w:rPr>
                <w:sz w:val="20"/>
              </w:rPr>
              <w:t>16</w:t>
            </w:r>
          </w:p>
        </w:tc>
        <w:tc>
          <w:tcPr>
            <w:tcW w:w="8328" w:type="dxa"/>
          </w:tcPr>
          <w:p w14:paraId="7D03A8EF"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1074E518" w14:textId="5C942652" w:rsidR="00191A23" w:rsidRPr="0022554A" w:rsidRDefault="00C13A45" w:rsidP="00191A23">
            <w:pPr>
              <w:tabs>
                <w:tab w:val="left" w:pos="5400"/>
              </w:tabs>
              <w:rPr>
                <w:sz w:val="20"/>
                <w:lang w:eastAsia="ja-JP"/>
              </w:rPr>
            </w:pPr>
            <w:r>
              <w:rPr>
                <w:rFonts w:hint="eastAsia"/>
                <w:sz w:val="20"/>
                <w:lang w:eastAsia="ja-JP"/>
              </w:rPr>
              <w:t>7</w:t>
            </w:r>
            <w:r w:rsidR="003E47CA">
              <w:rPr>
                <w:rFonts w:hint="eastAsia"/>
                <w:sz w:val="20"/>
                <w:lang w:eastAsia="ja-JP"/>
              </w:rPr>
              <w:t>-</w:t>
            </w:r>
            <w:r>
              <w:rPr>
                <w:rFonts w:hint="eastAsia"/>
                <w:sz w:val="20"/>
                <w:lang w:eastAsia="ja-JP"/>
              </w:rPr>
              <w:t>8</w:t>
            </w:r>
          </w:p>
        </w:tc>
        <w:tc>
          <w:tcPr>
            <w:tcW w:w="3118" w:type="dxa"/>
          </w:tcPr>
          <w:p w14:paraId="7DB957ED" w14:textId="385A4B97" w:rsidR="007264C9" w:rsidRPr="007264C9" w:rsidRDefault="007264C9" w:rsidP="007264C9">
            <w:pPr>
              <w:tabs>
                <w:tab w:val="left" w:pos="5400"/>
              </w:tabs>
              <w:rPr>
                <w:sz w:val="20"/>
                <w:lang w:eastAsia="ja-JP"/>
              </w:rPr>
            </w:pPr>
            <w:r w:rsidRPr="007264C9">
              <w:rPr>
                <w:sz w:val="20"/>
                <w:lang w:eastAsia="ja-JP"/>
              </w:rPr>
              <w:t xml:space="preserve">Figure 2 shows the correlation </w:t>
            </w:r>
            <w:r w:rsidR="008F5CED" w:rsidRPr="008F5CED">
              <w:rPr>
                <w:sz w:val="20"/>
                <w:lang w:eastAsia="ja-JP"/>
              </w:rPr>
              <w:t xml:space="preserve">and simple linear regression </w:t>
            </w:r>
            <w:r w:rsidRPr="007264C9">
              <w:rPr>
                <w:sz w:val="20"/>
                <w:lang w:eastAsia="ja-JP"/>
              </w:rPr>
              <w:t xml:space="preserve">between the GBG and FTBG levels in all participants. The correlation </w:t>
            </w:r>
            <w:r w:rsidRPr="007264C9">
              <w:rPr>
                <w:sz w:val="20"/>
                <w:lang w:eastAsia="ja-JP"/>
              </w:rPr>
              <w:lastRenderedPageBreak/>
              <w:t xml:space="preserve">coefficient and the </w:t>
            </w:r>
            <w:r w:rsidR="00CE28E6" w:rsidRPr="00CE28E6">
              <w:rPr>
                <w:sz w:val="20"/>
                <w:lang w:eastAsia="ja-JP"/>
              </w:rPr>
              <w:t xml:space="preserve">simple linear </w:t>
            </w:r>
            <w:r w:rsidR="00CE28E6">
              <w:rPr>
                <w:sz w:val="20"/>
                <w:lang w:eastAsia="ja-JP"/>
              </w:rPr>
              <w:t>regression</w:t>
            </w:r>
            <w:r w:rsidRPr="007264C9">
              <w:rPr>
                <w:sz w:val="20"/>
                <w:lang w:eastAsia="ja-JP"/>
              </w:rPr>
              <w:t xml:space="preserve"> equation were r=0.827 (p&lt;0.001) and FTBG value=36.970+0.827×GBG value (95% CI for </w:t>
            </w:r>
            <w:r w:rsidR="00D621DD">
              <w:rPr>
                <w:rFonts w:hint="eastAsia"/>
                <w:sz w:val="20"/>
                <w:lang w:eastAsia="ja-JP"/>
              </w:rPr>
              <w:t>R</w:t>
            </w:r>
            <w:r w:rsidRPr="007264C9">
              <w:rPr>
                <w:sz w:val="20"/>
                <w:lang w:eastAsia="ja-JP"/>
              </w:rPr>
              <w:t>=0.613 to 1.051, p&lt;0.001), R²=0.684, respectively.</w:t>
            </w:r>
          </w:p>
          <w:p w14:paraId="4A6F0F31" w14:textId="456D5182" w:rsidR="007264C9" w:rsidRPr="007264C9" w:rsidRDefault="007264C9" w:rsidP="007264C9">
            <w:pPr>
              <w:tabs>
                <w:tab w:val="left" w:pos="5400"/>
              </w:tabs>
              <w:rPr>
                <w:sz w:val="20"/>
                <w:lang w:eastAsia="ja-JP"/>
              </w:rPr>
            </w:pPr>
            <w:r w:rsidRPr="007264C9">
              <w:rPr>
                <w:sz w:val="20"/>
                <w:lang w:eastAsia="ja-JP"/>
              </w:rPr>
              <w:t>The Bland–Altman analysis revealed a significant difference in fixed bias (MD±SD=-16.8±26.4 mg/dL, 95% CI for MD=-26.7 to -6.94 mg/dL, p=0.002; Fig. 3 and Table 3). The LOA ranged from -68.6 to 35.0 mg/dL. Proportional bias was considered nil, as no significant difference was observed (</w:t>
            </w:r>
            <w:r w:rsidR="00C72D41">
              <w:rPr>
                <w:rFonts w:hint="eastAsia"/>
                <w:sz w:val="20"/>
                <w:lang w:eastAsia="ja-JP"/>
              </w:rPr>
              <w:t>R</w:t>
            </w:r>
            <w:r w:rsidRPr="007264C9">
              <w:rPr>
                <w:sz w:val="20"/>
                <w:lang w:eastAsia="ja-JP"/>
              </w:rPr>
              <w:t xml:space="preserve">=-0.006, 95% CI for </w:t>
            </w:r>
            <w:r w:rsidR="008911C9">
              <w:rPr>
                <w:rFonts w:hint="eastAsia"/>
                <w:sz w:val="20"/>
                <w:lang w:eastAsia="ja-JP"/>
              </w:rPr>
              <w:t>R</w:t>
            </w:r>
            <w:r w:rsidRPr="007264C9">
              <w:rPr>
                <w:sz w:val="20"/>
                <w:lang w:eastAsia="ja-JP"/>
              </w:rPr>
              <w:t>=-0.244 to 0.232, p=0.959).</w:t>
            </w:r>
          </w:p>
          <w:p w14:paraId="21A69A74" w14:textId="1883F673" w:rsidR="007264C9" w:rsidRPr="007264C9" w:rsidRDefault="007264C9" w:rsidP="007264C9">
            <w:pPr>
              <w:tabs>
                <w:tab w:val="left" w:pos="5400"/>
              </w:tabs>
              <w:rPr>
                <w:sz w:val="20"/>
                <w:lang w:eastAsia="ja-JP"/>
              </w:rPr>
            </w:pPr>
            <w:r w:rsidRPr="007264C9">
              <w:rPr>
                <w:sz w:val="20"/>
                <w:lang w:eastAsia="ja-JP"/>
              </w:rPr>
              <w:t xml:space="preserve">Figure 4 presents the correlation </w:t>
            </w:r>
            <w:r w:rsidR="00AA589E" w:rsidRPr="00AA589E">
              <w:rPr>
                <w:sz w:val="20"/>
                <w:lang w:eastAsia="ja-JP"/>
              </w:rPr>
              <w:t xml:space="preserve">and simple linear regression </w:t>
            </w:r>
            <w:r w:rsidRPr="007264C9">
              <w:rPr>
                <w:sz w:val="20"/>
                <w:lang w:eastAsia="ja-JP"/>
              </w:rPr>
              <w:t xml:space="preserve">between the GBG and FTBG levels in the nondiabetic group. The correlation coefficient and the </w:t>
            </w:r>
            <w:r w:rsidR="00794A01" w:rsidRPr="00794A01">
              <w:rPr>
                <w:sz w:val="20"/>
                <w:lang w:eastAsia="ja-JP"/>
              </w:rPr>
              <w:t xml:space="preserve">simple linear </w:t>
            </w:r>
            <w:r w:rsidRPr="007264C9">
              <w:rPr>
                <w:sz w:val="20"/>
                <w:lang w:eastAsia="ja-JP"/>
              </w:rPr>
              <w:t xml:space="preserve">regression equation were r=0.756 (p&lt;0.001) and FTBG value=57.028+0.756×GBG value (95% CI for </w:t>
            </w:r>
            <w:r w:rsidR="00600A2C">
              <w:rPr>
                <w:rFonts w:hint="eastAsia"/>
                <w:sz w:val="20"/>
                <w:lang w:eastAsia="ja-JP"/>
              </w:rPr>
              <w:t>R</w:t>
            </w:r>
            <w:r w:rsidRPr="007264C9">
              <w:rPr>
                <w:sz w:val="20"/>
                <w:lang w:eastAsia="ja-JP"/>
              </w:rPr>
              <w:t>=0.272 to 0.858, p=0.001), R²=0.572, respectively.</w:t>
            </w:r>
          </w:p>
          <w:p w14:paraId="0F800AD7" w14:textId="1574B89A" w:rsidR="007264C9" w:rsidRPr="007264C9" w:rsidRDefault="007264C9" w:rsidP="007264C9">
            <w:pPr>
              <w:tabs>
                <w:tab w:val="left" w:pos="5400"/>
              </w:tabs>
              <w:rPr>
                <w:sz w:val="20"/>
                <w:lang w:eastAsia="ja-JP"/>
              </w:rPr>
            </w:pPr>
            <w:r w:rsidRPr="007264C9">
              <w:rPr>
                <w:sz w:val="20"/>
                <w:lang w:eastAsia="ja-JP"/>
              </w:rPr>
              <w:t xml:space="preserve">The Bland–Altman analysis revealed a significant difference in fixed bias among the participants without diabetes (MD±SD=-15.5±16.5 mg/dL, 95% CI for </w:t>
            </w:r>
            <w:r w:rsidRPr="007264C9">
              <w:rPr>
                <w:sz w:val="20"/>
                <w:lang w:eastAsia="ja-JP"/>
              </w:rPr>
              <w:lastRenderedPageBreak/>
              <w:t>MD=-24.7 to -6.41 mg/dL, p=0.003; Fig. 5 and Table 3). LOA ranged from -47.8 to 16.8 mg/dL. Proportional bias was considered nil, as no significant difference was observed (</w:t>
            </w:r>
            <w:r w:rsidR="00DB7EF9">
              <w:rPr>
                <w:rFonts w:hint="eastAsia"/>
                <w:sz w:val="20"/>
                <w:lang w:eastAsia="ja-JP"/>
              </w:rPr>
              <w:t>R</w:t>
            </w:r>
            <w:r w:rsidRPr="007264C9">
              <w:rPr>
                <w:sz w:val="20"/>
                <w:lang w:eastAsia="ja-JP"/>
              </w:rPr>
              <w:t xml:space="preserve">=0.329, 95% CI for </w:t>
            </w:r>
            <w:r w:rsidR="00DB7EF9">
              <w:rPr>
                <w:rFonts w:hint="eastAsia"/>
                <w:sz w:val="20"/>
                <w:lang w:eastAsia="ja-JP"/>
              </w:rPr>
              <w:t>R</w:t>
            </w:r>
            <w:r w:rsidRPr="007264C9">
              <w:rPr>
                <w:sz w:val="20"/>
                <w:lang w:eastAsia="ja-JP"/>
              </w:rPr>
              <w:t>=-0.107 to 0.765, p=0.127).</w:t>
            </w:r>
          </w:p>
          <w:p w14:paraId="3E2CA482" w14:textId="6CCA82CF" w:rsidR="007264C9" w:rsidRPr="007264C9" w:rsidRDefault="007264C9" w:rsidP="007264C9">
            <w:pPr>
              <w:tabs>
                <w:tab w:val="left" w:pos="5400"/>
              </w:tabs>
              <w:rPr>
                <w:sz w:val="20"/>
                <w:lang w:eastAsia="ja-JP"/>
              </w:rPr>
            </w:pPr>
            <w:r w:rsidRPr="007264C9">
              <w:rPr>
                <w:sz w:val="20"/>
                <w:lang w:eastAsia="ja-JP"/>
              </w:rPr>
              <w:t>Figure 6 depicts the correlation</w:t>
            </w:r>
            <w:r w:rsidR="0084120D">
              <w:t xml:space="preserve"> </w:t>
            </w:r>
            <w:r w:rsidR="0084120D" w:rsidRPr="0084120D">
              <w:rPr>
                <w:sz w:val="20"/>
                <w:lang w:eastAsia="ja-JP"/>
              </w:rPr>
              <w:t>and simple linear regression</w:t>
            </w:r>
            <w:r w:rsidRPr="007264C9">
              <w:rPr>
                <w:sz w:val="20"/>
                <w:lang w:eastAsia="ja-JP"/>
              </w:rPr>
              <w:t xml:space="preserve"> between the GBG and FTBG levels in the diabetic group. The correlation coefficient and </w:t>
            </w:r>
            <w:r w:rsidR="000747FE" w:rsidRPr="000747FE">
              <w:rPr>
                <w:sz w:val="20"/>
                <w:lang w:eastAsia="ja-JP"/>
              </w:rPr>
              <w:t xml:space="preserve">the simple linear </w:t>
            </w:r>
            <w:r w:rsidRPr="007264C9">
              <w:rPr>
                <w:sz w:val="20"/>
                <w:lang w:eastAsia="ja-JP"/>
              </w:rPr>
              <w:t xml:space="preserve">regression equation were r=0.748 (p&lt;0.010) and FTBG value = 49.966 + 0.748×GBG value (95% CI for </w:t>
            </w:r>
            <w:r w:rsidR="00934F4B">
              <w:rPr>
                <w:rFonts w:hint="eastAsia"/>
                <w:sz w:val="20"/>
                <w:lang w:eastAsia="ja-JP"/>
              </w:rPr>
              <w:t>R</w:t>
            </w:r>
            <w:r w:rsidRPr="007264C9">
              <w:rPr>
                <w:sz w:val="20"/>
                <w:lang w:eastAsia="ja-JP"/>
              </w:rPr>
              <w:t>=0.365 to 1.194, p=0.001), R²=0.560, respectively.</w:t>
            </w:r>
          </w:p>
          <w:p w14:paraId="6F857E64" w14:textId="16AE91CB" w:rsidR="00191A23" w:rsidRPr="00186533" w:rsidRDefault="007264C9" w:rsidP="007264C9">
            <w:pPr>
              <w:tabs>
                <w:tab w:val="left" w:pos="5400"/>
              </w:tabs>
              <w:rPr>
                <w:sz w:val="20"/>
                <w:lang w:eastAsia="ja-JP"/>
              </w:rPr>
            </w:pPr>
            <w:r w:rsidRPr="007264C9">
              <w:rPr>
                <w:sz w:val="20"/>
                <w:lang w:eastAsia="ja-JP"/>
              </w:rPr>
              <w:t>The Bland–Altman analysis revealed no significant difference in fixed bias among the participants with diabetes (MD±SD=-18.1±34.2 mg/dL, 95% CI for MD=-37.0 to 0.88 mg/dL, p=0.060; Fig. 7 and Table 3). The LOA ranged from -85.1 to 49.0 mg/dL. Proportional bias was considered nil, as no significant difference was observed (</w:t>
            </w:r>
            <w:r w:rsidR="00975DE4">
              <w:rPr>
                <w:rFonts w:hint="eastAsia"/>
                <w:sz w:val="20"/>
                <w:lang w:eastAsia="ja-JP"/>
              </w:rPr>
              <w:t>R</w:t>
            </w:r>
            <w:r w:rsidRPr="007264C9">
              <w:rPr>
                <w:sz w:val="20"/>
                <w:lang w:eastAsia="ja-JP"/>
              </w:rPr>
              <w:t xml:space="preserve">=-0.047, 95% CI for </w:t>
            </w:r>
            <w:r w:rsidR="00975DE4">
              <w:rPr>
                <w:rFonts w:hint="eastAsia"/>
                <w:sz w:val="20"/>
                <w:lang w:eastAsia="ja-JP"/>
              </w:rPr>
              <w:t>R</w:t>
            </w:r>
            <w:r w:rsidRPr="007264C9">
              <w:rPr>
                <w:sz w:val="20"/>
                <w:lang w:eastAsia="ja-JP"/>
              </w:rPr>
              <w:t>=-0.501 to 0.408, p=0.827).</w:t>
            </w:r>
          </w:p>
        </w:tc>
      </w:tr>
      <w:tr w:rsidR="00191A23" w:rsidRPr="0022554A" w14:paraId="14EE0C76" w14:textId="77777777" w:rsidTr="00517788">
        <w:tc>
          <w:tcPr>
            <w:tcW w:w="0" w:type="auto"/>
            <w:vMerge/>
          </w:tcPr>
          <w:p w14:paraId="39C66188"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A9880A4" w14:textId="77777777" w:rsidR="00191A23" w:rsidRPr="0022554A" w:rsidRDefault="00191A23" w:rsidP="00191A23">
            <w:pPr>
              <w:tabs>
                <w:tab w:val="left" w:pos="5400"/>
              </w:tabs>
              <w:jc w:val="center"/>
              <w:rPr>
                <w:sz w:val="20"/>
              </w:rPr>
            </w:pPr>
          </w:p>
        </w:tc>
        <w:tc>
          <w:tcPr>
            <w:tcW w:w="8328" w:type="dxa"/>
          </w:tcPr>
          <w:p w14:paraId="178BCC14"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6920CD17" w14:textId="6FC10D10" w:rsidR="00191A23" w:rsidRPr="0022554A" w:rsidRDefault="00DB0B92" w:rsidP="00191A23">
            <w:pPr>
              <w:tabs>
                <w:tab w:val="left" w:pos="5400"/>
              </w:tabs>
              <w:rPr>
                <w:sz w:val="20"/>
                <w:lang w:eastAsia="ja-JP"/>
              </w:rPr>
            </w:pPr>
            <w:r>
              <w:rPr>
                <w:rFonts w:hint="eastAsia"/>
                <w:sz w:val="20"/>
                <w:lang w:eastAsia="ja-JP"/>
              </w:rPr>
              <w:t>8</w:t>
            </w:r>
          </w:p>
        </w:tc>
        <w:tc>
          <w:tcPr>
            <w:tcW w:w="3118" w:type="dxa"/>
          </w:tcPr>
          <w:p w14:paraId="09F4232C" w14:textId="7C49AB04" w:rsidR="007E145F" w:rsidRPr="007E145F" w:rsidRDefault="007E145F" w:rsidP="007E145F">
            <w:pPr>
              <w:tabs>
                <w:tab w:val="left" w:pos="5400"/>
              </w:tabs>
              <w:rPr>
                <w:sz w:val="20"/>
                <w:lang w:eastAsia="ja-JP"/>
              </w:rPr>
            </w:pPr>
            <w:r w:rsidRPr="007E145F">
              <w:rPr>
                <w:sz w:val="20"/>
                <w:lang w:eastAsia="ja-JP"/>
              </w:rPr>
              <w:t xml:space="preserve">Figure 8 depicts the correlation </w:t>
            </w:r>
            <w:r w:rsidR="003B2927" w:rsidRPr="003B2927">
              <w:rPr>
                <w:sz w:val="20"/>
                <w:lang w:eastAsia="ja-JP"/>
              </w:rPr>
              <w:t xml:space="preserve">and simple linear regression </w:t>
            </w:r>
            <w:r w:rsidRPr="007E145F">
              <w:rPr>
                <w:sz w:val="20"/>
                <w:lang w:eastAsia="ja-JP"/>
              </w:rPr>
              <w:t xml:space="preserve">between the GBG and FTBG levels in the </w:t>
            </w:r>
            <w:r w:rsidRPr="007E145F">
              <w:rPr>
                <w:sz w:val="20"/>
                <w:lang w:eastAsia="ja-JP"/>
              </w:rPr>
              <w:lastRenderedPageBreak/>
              <w:t xml:space="preserve">subgroups with a PPD of ≥4 mm at the GBG sampling sites (n=17). The correlation coefficient and the </w:t>
            </w:r>
            <w:r w:rsidR="006B02EE" w:rsidRPr="006B02EE">
              <w:rPr>
                <w:sz w:val="20"/>
                <w:lang w:eastAsia="ja-JP"/>
              </w:rPr>
              <w:t xml:space="preserve">simple linear </w:t>
            </w:r>
            <w:r w:rsidRPr="007E145F">
              <w:rPr>
                <w:sz w:val="20"/>
                <w:lang w:eastAsia="ja-JP"/>
              </w:rPr>
              <w:t xml:space="preserve">regression equation were r=0.838 (p&lt;0.001) and FTBG value=43.750+0.838×GBG value (95% CI for </w:t>
            </w:r>
            <w:r w:rsidR="00996C14">
              <w:rPr>
                <w:rFonts w:hint="eastAsia"/>
                <w:sz w:val="20"/>
                <w:lang w:eastAsia="ja-JP"/>
              </w:rPr>
              <w:t>R</w:t>
            </w:r>
            <w:r w:rsidRPr="007E145F">
              <w:rPr>
                <w:sz w:val="20"/>
                <w:lang w:eastAsia="ja-JP"/>
              </w:rPr>
              <w:t>=0.499 to 1.055, p&lt;0.001), R²=0.572, respectively, which is significant (Fig. 8).</w:t>
            </w:r>
          </w:p>
          <w:p w14:paraId="75F607B4" w14:textId="34459F28" w:rsidR="007E145F" w:rsidRPr="007E145F" w:rsidRDefault="007E145F" w:rsidP="007E145F">
            <w:pPr>
              <w:tabs>
                <w:tab w:val="left" w:pos="5400"/>
              </w:tabs>
              <w:rPr>
                <w:sz w:val="20"/>
                <w:lang w:eastAsia="ja-JP"/>
              </w:rPr>
            </w:pPr>
            <w:r w:rsidRPr="007E145F">
              <w:rPr>
                <w:sz w:val="20"/>
                <w:lang w:eastAsia="ja-JP"/>
              </w:rPr>
              <w:t xml:space="preserve">The Bland–Altman analysis of the </w:t>
            </w:r>
            <w:r w:rsidR="00014FAE" w:rsidRPr="00014FAE">
              <w:rPr>
                <w:sz w:val="20"/>
                <w:lang w:eastAsia="ja-JP"/>
              </w:rPr>
              <w:t>PPD ≥4 mm</w:t>
            </w:r>
            <w:r w:rsidR="00014FAE" w:rsidRPr="00014FAE">
              <w:rPr>
                <w:sz w:val="20"/>
                <w:lang w:eastAsia="ja-JP"/>
              </w:rPr>
              <w:t xml:space="preserve"> </w:t>
            </w:r>
            <w:r w:rsidRPr="007E145F">
              <w:rPr>
                <w:sz w:val="20"/>
                <w:lang w:eastAsia="ja-JP"/>
              </w:rPr>
              <w:t>subgroup revealed no significant differences in fixed bias (MD±SD=-15.2±30.4 mg/dL, 95% CI for MD=-30.8 to 0.43 mg/dL, p=0.056; Fig. 9 and Table 4). LOA ranged from -74.7 to 44.3 mg/dL. Proportional bias was considered nil, as no significant difference was observed (</w:t>
            </w:r>
            <w:r w:rsidR="00E011C2">
              <w:rPr>
                <w:rFonts w:hint="eastAsia"/>
                <w:sz w:val="20"/>
                <w:lang w:eastAsia="ja-JP"/>
              </w:rPr>
              <w:t>R</w:t>
            </w:r>
            <w:r w:rsidRPr="007E145F">
              <w:rPr>
                <w:sz w:val="20"/>
                <w:lang w:eastAsia="ja-JP"/>
              </w:rPr>
              <w:t xml:space="preserve">=-0.082, 95% CI for </w:t>
            </w:r>
            <w:r w:rsidR="00E011C2">
              <w:rPr>
                <w:rFonts w:hint="eastAsia"/>
                <w:sz w:val="20"/>
                <w:lang w:eastAsia="ja-JP"/>
              </w:rPr>
              <w:t>R</w:t>
            </w:r>
            <w:r w:rsidRPr="007E145F">
              <w:rPr>
                <w:sz w:val="20"/>
                <w:lang w:eastAsia="ja-JP"/>
              </w:rPr>
              <w:t>=-0.244 to 0.408, p=0.599).</w:t>
            </w:r>
          </w:p>
          <w:p w14:paraId="7A92717C" w14:textId="1D17C2CA" w:rsidR="007E145F" w:rsidRPr="007E145F" w:rsidRDefault="007E145F" w:rsidP="007E145F">
            <w:pPr>
              <w:tabs>
                <w:tab w:val="left" w:pos="5400"/>
              </w:tabs>
              <w:rPr>
                <w:sz w:val="20"/>
                <w:lang w:eastAsia="ja-JP"/>
              </w:rPr>
            </w:pPr>
            <w:r w:rsidRPr="007E145F">
              <w:rPr>
                <w:sz w:val="20"/>
                <w:lang w:eastAsia="ja-JP"/>
              </w:rPr>
              <w:t xml:space="preserve">Figure 10 depicts the correlation </w:t>
            </w:r>
            <w:r w:rsidR="00CB70AB" w:rsidRPr="00CB70AB">
              <w:rPr>
                <w:sz w:val="20"/>
                <w:lang w:eastAsia="ja-JP"/>
              </w:rPr>
              <w:t xml:space="preserve">and simple linear regression </w:t>
            </w:r>
            <w:r w:rsidRPr="007E145F">
              <w:rPr>
                <w:sz w:val="20"/>
                <w:lang w:eastAsia="ja-JP"/>
              </w:rPr>
              <w:t xml:space="preserve">between the GBG and FTBG levels in the PPD ≤3 mm subgroup (n=13). The correlation coefficient and the </w:t>
            </w:r>
            <w:r w:rsidR="009123E2" w:rsidRPr="009123E2">
              <w:rPr>
                <w:sz w:val="20"/>
                <w:lang w:eastAsia="ja-JP"/>
              </w:rPr>
              <w:t xml:space="preserve">simple linear </w:t>
            </w:r>
            <w:r w:rsidRPr="007E145F">
              <w:rPr>
                <w:sz w:val="20"/>
                <w:lang w:eastAsia="ja-JP"/>
              </w:rPr>
              <w:t xml:space="preserve">regression equation were r=0.823 (p&lt;0.001) and FTBG value = -2.804 + 0.823×GBG value (95% CI for </w:t>
            </w:r>
            <w:r w:rsidR="00551599">
              <w:rPr>
                <w:rFonts w:hint="eastAsia"/>
                <w:sz w:val="20"/>
                <w:lang w:eastAsia="ja-JP"/>
              </w:rPr>
              <w:t>R</w:t>
            </w:r>
            <w:r w:rsidRPr="007E145F">
              <w:rPr>
                <w:sz w:val="20"/>
                <w:lang w:eastAsia="ja-JP"/>
              </w:rPr>
              <w:t>=0.650 to 1.748, p=0.001), R²=0.677, respectively (Fig. 10).</w:t>
            </w:r>
          </w:p>
          <w:p w14:paraId="2A68E38B" w14:textId="160A4D46" w:rsidR="00191A23" w:rsidRPr="00E81EB4" w:rsidRDefault="007E145F" w:rsidP="007E145F">
            <w:pPr>
              <w:tabs>
                <w:tab w:val="left" w:pos="5400"/>
              </w:tabs>
              <w:rPr>
                <w:sz w:val="20"/>
                <w:lang w:eastAsia="ja-JP"/>
              </w:rPr>
            </w:pPr>
            <w:r w:rsidRPr="007E145F">
              <w:rPr>
                <w:sz w:val="20"/>
                <w:lang w:eastAsia="ja-JP"/>
              </w:rPr>
              <w:lastRenderedPageBreak/>
              <w:t>The Bland–Altman analysis of the PPD ≤3 mm subgroup revealed a significant difference in fixed bias (MD±SD=-18.9±21.2 mg/dL, 95% CI for MD=-31.7 to -6.11 mg/dL, p=0.007; Fig. 11 and Table 4). Proportional bias was considered significant (</w:t>
            </w:r>
            <w:r w:rsidR="00E548ED">
              <w:rPr>
                <w:rFonts w:hint="eastAsia"/>
                <w:sz w:val="20"/>
                <w:lang w:eastAsia="ja-JP"/>
              </w:rPr>
              <w:t>R</w:t>
            </w:r>
            <w:r w:rsidRPr="007E145F">
              <w:rPr>
                <w:sz w:val="20"/>
                <w:lang w:eastAsia="ja-JP"/>
              </w:rPr>
              <w:t xml:space="preserve">=-0.774, 95% CI for </w:t>
            </w:r>
            <w:r w:rsidR="00E548ED">
              <w:rPr>
                <w:rFonts w:hint="eastAsia"/>
                <w:sz w:val="20"/>
                <w:lang w:eastAsia="ja-JP"/>
              </w:rPr>
              <w:t>R</w:t>
            </w:r>
            <w:r w:rsidRPr="007E145F">
              <w:rPr>
                <w:sz w:val="20"/>
                <w:lang w:eastAsia="ja-JP"/>
              </w:rPr>
              <w:t>=-1.533 to -0.016, p=0.046).</w:t>
            </w:r>
          </w:p>
        </w:tc>
      </w:tr>
      <w:tr w:rsidR="00191A23" w:rsidRPr="0022554A" w14:paraId="042F5A5E" w14:textId="77777777" w:rsidTr="00517788">
        <w:tc>
          <w:tcPr>
            <w:tcW w:w="0" w:type="auto"/>
            <w:vMerge/>
          </w:tcPr>
          <w:p w14:paraId="0B60D0DB"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C3907B3" w14:textId="77777777" w:rsidR="00191A23" w:rsidRPr="0022554A" w:rsidRDefault="00191A23" w:rsidP="00191A23">
            <w:pPr>
              <w:tabs>
                <w:tab w:val="left" w:pos="5400"/>
              </w:tabs>
              <w:jc w:val="center"/>
              <w:rPr>
                <w:sz w:val="20"/>
              </w:rPr>
            </w:pPr>
          </w:p>
        </w:tc>
        <w:tc>
          <w:tcPr>
            <w:tcW w:w="8328" w:type="dxa"/>
          </w:tcPr>
          <w:p w14:paraId="52E922F6"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54EF1567" w14:textId="4DD60439" w:rsidR="00191A23" w:rsidRPr="0022554A" w:rsidRDefault="00221DD4" w:rsidP="00191A23">
            <w:pPr>
              <w:tabs>
                <w:tab w:val="left" w:pos="5400"/>
              </w:tabs>
              <w:rPr>
                <w:sz w:val="20"/>
                <w:lang w:eastAsia="ja-JP"/>
              </w:rPr>
            </w:pPr>
            <w:r>
              <w:rPr>
                <w:sz w:val="20"/>
                <w:lang w:eastAsia="ja-JP"/>
              </w:rPr>
              <w:t>N</w:t>
            </w:r>
            <w:r>
              <w:rPr>
                <w:rFonts w:hint="eastAsia"/>
                <w:sz w:val="20"/>
                <w:lang w:eastAsia="ja-JP"/>
              </w:rPr>
              <w:t>ot applicable</w:t>
            </w:r>
          </w:p>
        </w:tc>
        <w:tc>
          <w:tcPr>
            <w:tcW w:w="3118" w:type="dxa"/>
          </w:tcPr>
          <w:p w14:paraId="7314E8AE" w14:textId="176C1D9C" w:rsidR="00191A23" w:rsidRPr="0022554A" w:rsidRDefault="00221DD4" w:rsidP="00191A23">
            <w:pPr>
              <w:tabs>
                <w:tab w:val="left" w:pos="5400"/>
              </w:tabs>
              <w:rPr>
                <w:sz w:val="20"/>
                <w:lang w:eastAsia="ja-JP"/>
              </w:rPr>
            </w:pPr>
            <w:r>
              <w:rPr>
                <w:sz w:val="20"/>
                <w:lang w:eastAsia="ja-JP"/>
              </w:rPr>
              <w:t>N</w:t>
            </w:r>
            <w:r>
              <w:rPr>
                <w:rFonts w:hint="eastAsia"/>
                <w:sz w:val="20"/>
                <w:lang w:eastAsia="ja-JP"/>
              </w:rPr>
              <w:t>ot applicable</w:t>
            </w:r>
          </w:p>
        </w:tc>
      </w:tr>
    </w:tbl>
    <w:p w14:paraId="27AA8511"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ACE821D" w14:textId="77777777" w:rsidTr="00517788">
        <w:tc>
          <w:tcPr>
            <w:tcW w:w="0" w:type="auto"/>
          </w:tcPr>
          <w:p w14:paraId="53BFAA80"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7AFCDBB8" w14:textId="77777777" w:rsidR="00191A23" w:rsidRPr="0022554A" w:rsidRDefault="00191A23" w:rsidP="00191A23">
            <w:pPr>
              <w:tabs>
                <w:tab w:val="left" w:pos="5400"/>
              </w:tabs>
              <w:jc w:val="center"/>
              <w:rPr>
                <w:sz w:val="20"/>
              </w:rPr>
            </w:pPr>
            <w:r w:rsidRPr="0022554A">
              <w:rPr>
                <w:sz w:val="20"/>
              </w:rPr>
              <w:t>17</w:t>
            </w:r>
          </w:p>
        </w:tc>
        <w:tc>
          <w:tcPr>
            <w:tcW w:w="8687" w:type="dxa"/>
          </w:tcPr>
          <w:p w14:paraId="51861F46"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216A9CF8" w14:textId="15BD1602" w:rsidR="00191A23" w:rsidRPr="0022554A" w:rsidRDefault="001A212D" w:rsidP="00191A23">
            <w:pPr>
              <w:tabs>
                <w:tab w:val="left" w:pos="5400"/>
              </w:tabs>
              <w:rPr>
                <w:sz w:val="20"/>
                <w:lang w:eastAsia="ja-JP"/>
              </w:rPr>
            </w:pPr>
            <w:r>
              <w:rPr>
                <w:rFonts w:hint="eastAsia"/>
                <w:sz w:val="20"/>
                <w:lang w:eastAsia="ja-JP"/>
              </w:rPr>
              <w:t>8</w:t>
            </w:r>
          </w:p>
        </w:tc>
        <w:tc>
          <w:tcPr>
            <w:tcW w:w="3129" w:type="dxa"/>
          </w:tcPr>
          <w:p w14:paraId="4A14F341" w14:textId="1B42C092" w:rsidR="00B9781F" w:rsidRPr="00B9781F" w:rsidRDefault="00B9781F" w:rsidP="00B9781F">
            <w:pPr>
              <w:tabs>
                <w:tab w:val="left" w:pos="5400"/>
              </w:tabs>
              <w:rPr>
                <w:sz w:val="20"/>
                <w:lang w:eastAsia="ja-JP"/>
              </w:rPr>
            </w:pPr>
            <w:r w:rsidRPr="00B9781F">
              <w:rPr>
                <w:sz w:val="20"/>
                <w:lang w:eastAsia="ja-JP"/>
              </w:rPr>
              <w:t xml:space="preserve">Figure 8 depicts the correlation </w:t>
            </w:r>
            <w:r w:rsidR="00B15314" w:rsidRPr="00B15314">
              <w:rPr>
                <w:sz w:val="20"/>
                <w:lang w:eastAsia="ja-JP"/>
              </w:rPr>
              <w:t xml:space="preserve">and simple linear regression </w:t>
            </w:r>
            <w:r w:rsidRPr="00B9781F">
              <w:rPr>
                <w:sz w:val="20"/>
                <w:lang w:eastAsia="ja-JP"/>
              </w:rPr>
              <w:t xml:space="preserve">between the GBG and FTBG levels in the subgroups with a PPD of ≥4 mm at the GBG sampling sites (n=17). The correlation coefficient and the </w:t>
            </w:r>
            <w:r w:rsidR="00937255" w:rsidRPr="00937255">
              <w:rPr>
                <w:sz w:val="20"/>
                <w:lang w:eastAsia="ja-JP"/>
              </w:rPr>
              <w:t xml:space="preserve">simple linear </w:t>
            </w:r>
            <w:r w:rsidRPr="00B9781F">
              <w:rPr>
                <w:sz w:val="20"/>
                <w:lang w:eastAsia="ja-JP"/>
              </w:rPr>
              <w:t xml:space="preserve">regression equation were r=0.838 (p&lt;0.001) and FTBG value=43.750+0.838×GBG value (95% CI for </w:t>
            </w:r>
            <w:r w:rsidR="00940A09">
              <w:rPr>
                <w:rFonts w:hint="eastAsia"/>
                <w:sz w:val="20"/>
                <w:lang w:eastAsia="ja-JP"/>
              </w:rPr>
              <w:t>R</w:t>
            </w:r>
            <w:r w:rsidRPr="00B9781F">
              <w:rPr>
                <w:sz w:val="20"/>
                <w:lang w:eastAsia="ja-JP"/>
              </w:rPr>
              <w:t>=0.499 to 1.055, p&lt;0.001), R²=0.572, respectively, which is significant (Fig. 8).</w:t>
            </w:r>
          </w:p>
          <w:p w14:paraId="20C4E426" w14:textId="08FE7CE2" w:rsidR="00B9781F" w:rsidRPr="00B9781F" w:rsidRDefault="00B9781F" w:rsidP="00B9781F">
            <w:pPr>
              <w:tabs>
                <w:tab w:val="left" w:pos="5400"/>
              </w:tabs>
              <w:rPr>
                <w:sz w:val="20"/>
                <w:lang w:eastAsia="ja-JP"/>
              </w:rPr>
            </w:pPr>
            <w:r w:rsidRPr="00B9781F">
              <w:rPr>
                <w:sz w:val="20"/>
                <w:lang w:eastAsia="ja-JP"/>
              </w:rPr>
              <w:t xml:space="preserve">The Bland–Altman analysis of the </w:t>
            </w:r>
            <w:r w:rsidR="00BF0728" w:rsidRPr="00BF0728">
              <w:rPr>
                <w:sz w:val="20"/>
                <w:lang w:eastAsia="ja-JP"/>
              </w:rPr>
              <w:t>PPD ≥4 mm</w:t>
            </w:r>
            <w:r w:rsidR="00BF0728" w:rsidRPr="00BF0728">
              <w:rPr>
                <w:sz w:val="20"/>
                <w:lang w:eastAsia="ja-JP"/>
              </w:rPr>
              <w:t xml:space="preserve"> </w:t>
            </w:r>
            <w:r w:rsidRPr="00B9781F">
              <w:rPr>
                <w:sz w:val="20"/>
                <w:lang w:eastAsia="ja-JP"/>
              </w:rPr>
              <w:t>subgroup revealed no significant differences in fixed bias (MD±SD=-15.2±30.4 mg/dL, 95% CI for MD=-30.8 to 0.43 mg/dL, p=0.056; Fig. 9 and Table 4). LOA ranged from -74.7 to 44.3 mg/dL. Proportional bias was considered nil, as no significant difference was observed (</w:t>
            </w:r>
            <w:r w:rsidR="00C96B34">
              <w:rPr>
                <w:rFonts w:hint="eastAsia"/>
                <w:sz w:val="20"/>
                <w:lang w:eastAsia="ja-JP"/>
              </w:rPr>
              <w:t>R</w:t>
            </w:r>
            <w:r w:rsidRPr="00B9781F">
              <w:rPr>
                <w:sz w:val="20"/>
                <w:lang w:eastAsia="ja-JP"/>
              </w:rPr>
              <w:t xml:space="preserve">=-0.082, 95% CI for </w:t>
            </w:r>
            <w:r w:rsidR="00C96B34">
              <w:rPr>
                <w:rFonts w:hint="eastAsia"/>
                <w:sz w:val="20"/>
                <w:lang w:eastAsia="ja-JP"/>
              </w:rPr>
              <w:t>R</w:t>
            </w:r>
            <w:r w:rsidRPr="00B9781F">
              <w:rPr>
                <w:sz w:val="20"/>
                <w:lang w:eastAsia="ja-JP"/>
              </w:rPr>
              <w:t>=-0.244 to 0.408, p=0.599).</w:t>
            </w:r>
          </w:p>
          <w:p w14:paraId="3C714FFC" w14:textId="2F9AA4A2" w:rsidR="00B9781F" w:rsidRPr="00B9781F" w:rsidRDefault="00B9781F" w:rsidP="00B9781F">
            <w:pPr>
              <w:tabs>
                <w:tab w:val="left" w:pos="5400"/>
              </w:tabs>
              <w:rPr>
                <w:sz w:val="20"/>
                <w:lang w:eastAsia="ja-JP"/>
              </w:rPr>
            </w:pPr>
            <w:r w:rsidRPr="00B9781F">
              <w:rPr>
                <w:sz w:val="20"/>
                <w:lang w:eastAsia="ja-JP"/>
              </w:rPr>
              <w:t xml:space="preserve">Figure 10 depicts the correlation </w:t>
            </w:r>
            <w:r w:rsidR="002537E5" w:rsidRPr="002537E5">
              <w:rPr>
                <w:sz w:val="20"/>
                <w:lang w:eastAsia="ja-JP"/>
              </w:rPr>
              <w:t xml:space="preserve">and simple linear regression </w:t>
            </w:r>
            <w:r w:rsidRPr="00B9781F">
              <w:rPr>
                <w:sz w:val="20"/>
                <w:lang w:eastAsia="ja-JP"/>
              </w:rPr>
              <w:t xml:space="preserve">between the GBG and FTBG levels in the PPD ≤3 mm subgroup (n=13). The correlation coefficient and the </w:t>
            </w:r>
            <w:r w:rsidR="005465E4" w:rsidRPr="005465E4">
              <w:rPr>
                <w:sz w:val="20"/>
                <w:lang w:eastAsia="ja-JP"/>
              </w:rPr>
              <w:t xml:space="preserve">simple linear </w:t>
            </w:r>
            <w:r w:rsidRPr="00B9781F">
              <w:rPr>
                <w:sz w:val="20"/>
                <w:lang w:eastAsia="ja-JP"/>
              </w:rPr>
              <w:t xml:space="preserve">regression equation were r=0.823 (p&lt;0.001) and FTBG value = -2.804 + 0.823×GBG value (95% CI for </w:t>
            </w:r>
            <w:r w:rsidR="00B84375">
              <w:rPr>
                <w:rFonts w:hint="eastAsia"/>
                <w:sz w:val="20"/>
                <w:lang w:eastAsia="ja-JP"/>
              </w:rPr>
              <w:lastRenderedPageBreak/>
              <w:t>R</w:t>
            </w:r>
            <w:r w:rsidRPr="00B9781F">
              <w:rPr>
                <w:sz w:val="20"/>
                <w:lang w:eastAsia="ja-JP"/>
              </w:rPr>
              <w:t>=0.650 to 1.748, p=0.001), R²=0.677, respectively (Fig. 10).</w:t>
            </w:r>
          </w:p>
          <w:p w14:paraId="621649A4" w14:textId="322CFAB4" w:rsidR="00B9781F" w:rsidRPr="00B9781F" w:rsidRDefault="00B9781F" w:rsidP="00B9781F">
            <w:pPr>
              <w:tabs>
                <w:tab w:val="left" w:pos="5400"/>
              </w:tabs>
              <w:rPr>
                <w:sz w:val="20"/>
                <w:lang w:eastAsia="ja-JP"/>
              </w:rPr>
            </w:pPr>
            <w:r w:rsidRPr="00B9781F">
              <w:rPr>
                <w:sz w:val="20"/>
                <w:lang w:eastAsia="ja-JP"/>
              </w:rPr>
              <w:t>The Bland–Altman analysis of the PPD ≤3 mm subgroup revealed a significant difference in fixed bias (MD±SD=-18.9±21.2 mg/dL, 95% CI for MD=-31.7 to -6.11 mg/dL, p=0.007; Fig. 11 and Table 4). Proportional bias was considered significant (</w:t>
            </w:r>
            <w:r w:rsidR="00013F64">
              <w:rPr>
                <w:rFonts w:hint="eastAsia"/>
                <w:sz w:val="20"/>
                <w:lang w:eastAsia="ja-JP"/>
              </w:rPr>
              <w:t>R</w:t>
            </w:r>
            <w:r w:rsidRPr="00B9781F">
              <w:rPr>
                <w:sz w:val="20"/>
                <w:lang w:eastAsia="ja-JP"/>
              </w:rPr>
              <w:t xml:space="preserve">=-0.774, 95% CI for </w:t>
            </w:r>
            <w:r w:rsidR="00013F64">
              <w:rPr>
                <w:rFonts w:hint="eastAsia"/>
                <w:sz w:val="20"/>
                <w:lang w:eastAsia="ja-JP"/>
              </w:rPr>
              <w:t>R</w:t>
            </w:r>
            <w:r w:rsidRPr="00B9781F">
              <w:rPr>
                <w:sz w:val="20"/>
                <w:lang w:eastAsia="ja-JP"/>
              </w:rPr>
              <w:t>=-1.533 to -0.016, p=0.046).</w:t>
            </w:r>
          </w:p>
          <w:p w14:paraId="12149616" w14:textId="0C140348" w:rsidR="00191A23" w:rsidRPr="00B97F00" w:rsidRDefault="00B9781F" w:rsidP="00B9781F">
            <w:pPr>
              <w:tabs>
                <w:tab w:val="left" w:pos="5400"/>
              </w:tabs>
              <w:rPr>
                <w:sz w:val="20"/>
                <w:lang w:eastAsia="ja-JP"/>
              </w:rPr>
            </w:pPr>
            <w:r w:rsidRPr="00B9781F">
              <w:rPr>
                <w:sz w:val="20"/>
                <w:lang w:eastAsia="ja-JP"/>
              </w:rPr>
              <w:t xml:space="preserve">The AUC of the GBG value was 0.880 (95% CI=0.752 to 1.000, p&lt;0.001; Fig. 12). The AUC of the FTBG values was 0.802 (95% CI=0.641 to 0.963, p=0.005). The sensitivity, specificity, and cutoff values were obtained, as both AUC values were significant. The sensitivity, specificity, and cutoff values of the GBG values were 0.800, 0.933, and 123.5 mg/dL, respectively (Table 5). The sensitivity, specificity, and cutoff values of the FTBG values were 0.733, 0.867, and 134.0 mg/dL, respectively (Table 6). The significant difference in AUCs between the GBG and FTBG levels was tested. The difference between the AUCs of the GBG and FTBG values was 0.078 (95% CI=-0.006 </w:t>
            </w:r>
            <w:r w:rsidRPr="00B9781F">
              <w:rPr>
                <w:sz w:val="20"/>
                <w:lang w:eastAsia="ja-JP"/>
              </w:rPr>
              <w:lastRenderedPageBreak/>
              <w:t>to 0.161, p=0.068), which was not significant (Fig. 12).</w:t>
            </w:r>
          </w:p>
        </w:tc>
      </w:tr>
      <w:tr w:rsidR="00976EE1" w:rsidRPr="0022554A" w14:paraId="1E2C4D51" w14:textId="77777777" w:rsidTr="00191A23">
        <w:tc>
          <w:tcPr>
            <w:tcW w:w="14992" w:type="dxa"/>
            <w:gridSpan w:val="5"/>
          </w:tcPr>
          <w:p w14:paraId="1F626E40"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lastRenderedPageBreak/>
              <w:t>Discussion</w:t>
            </w:r>
            <w:bookmarkEnd w:id="82"/>
            <w:bookmarkEnd w:id="83"/>
          </w:p>
        </w:tc>
      </w:tr>
      <w:tr w:rsidR="00191A23" w:rsidRPr="0022554A" w14:paraId="30FC945C" w14:textId="77777777" w:rsidTr="00517788">
        <w:tc>
          <w:tcPr>
            <w:tcW w:w="0" w:type="auto"/>
          </w:tcPr>
          <w:p w14:paraId="249EDB84"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D582E8A" w14:textId="77777777" w:rsidR="00191A23" w:rsidRPr="0022554A" w:rsidRDefault="00191A23" w:rsidP="00191A23">
            <w:pPr>
              <w:tabs>
                <w:tab w:val="left" w:pos="5400"/>
              </w:tabs>
              <w:jc w:val="center"/>
              <w:rPr>
                <w:sz w:val="20"/>
              </w:rPr>
            </w:pPr>
            <w:r w:rsidRPr="0022554A">
              <w:rPr>
                <w:sz w:val="20"/>
              </w:rPr>
              <w:t>18</w:t>
            </w:r>
          </w:p>
        </w:tc>
        <w:tc>
          <w:tcPr>
            <w:tcW w:w="8687" w:type="dxa"/>
          </w:tcPr>
          <w:p w14:paraId="3AFE714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E4D528A" w14:textId="154868BD" w:rsidR="00191A23" w:rsidRPr="0022554A" w:rsidRDefault="00FB4881" w:rsidP="00191A23">
            <w:pPr>
              <w:tabs>
                <w:tab w:val="left" w:pos="5400"/>
              </w:tabs>
              <w:rPr>
                <w:sz w:val="20"/>
                <w:lang w:eastAsia="ja-JP"/>
              </w:rPr>
            </w:pPr>
            <w:r>
              <w:rPr>
                <w:rFonts w:hint="eastAsia"/>
                <w:sz w:val="20"/>
                <w:lang w:eastAsia="ja-JP"/>
              </w:rPr>
              <w:t>8</w:t>
            </w:r>
            <w:r w:rsidR="00D502E5">
              <w:rPr>
                <w:rFonts w:hint="eastAsia"/>
                <w:sz w:val="20"/>
                <w:lang w:eastAsia="ja-JP"/>
              </w:rPr>
              <w:t>-9</w:t>
            </w:r>
          </w:p>
        </w:tc>
        <w:tc>
          <w:tcPr>
            <w:tcW w:w="3129" w:type="dxa"/>
          </w:tcPr>
          <w:p w14:paraId="145583FD" w14:textId="77777777" w:rsidR="00EF1798" w:rsidRPr="00EF1798" w:rsidRDefault="00EF1798" w:rsidP="00EF1798">
            <w:pPr>
              <w:tabs>
                <w:tab w:val="left" w:pos="5400"/>
              </w:tabs>
              <w:rPr>
                <w:bCs/>
                <w:sz w:val="20"/>
                <w:lang w:eastAsia="ja-JP"/>
              </w:rPr>
            </w:pPr>
            <w:r w:rsidRPr="00EF1798">
              <w:rPr>
                <w:bCs/>
                <w:sz w:val="20"/>
                <w:lang w:eastAsia="ja-JP"/>
              </w:rPr>
              <w:t>The Bland–Altman analysis revealed no significant difference between GBG and FTBG levels in the diabetes or PPD ≥4 mm groups. Similarly, a Bland–Altman analysis revealed no significant difference between the GBG and FTBG levels in a group with PPD ≥4 mm in a previous study (Strauss et al., 2009).</w:t>
            </w:r>
          </w:p>
          <w:p w14:paraId="0764617C" w14:textId="2FB52FAB" w:rsidR="00191A23" w:rsidRPr="00410314" w:rsidRDefault="00EF1798" w:rsidP="00EF1798">
            <w:pPr>
              <w:tabs>
                <w:tab w:val="left" w:pos="5400"/>
              </w:tabs>
              <w:rPr>
                <w:bCs/>
                <w:sz w:val="20"/>
                <w:lang w:eastAsia="ja-JP"/>
              </w:rPr>
            </w:pPr>
            <w:r w:rsidRPr="00EF1798">
              <w:rPr>
                <w:bCs/>
                <w:sz w:val="20"/>
                <w:lang w:eastAsia="ja-JP"/>
              </w:rPr>
              <w:t>The sensitivity, specificity, and cutoff value of the GBG measurements for detecting diabetes were 80%, 93%, and 123.5 mg/dL, respectively. The sensitivity, specificity, and cutoff value of the FTBG measurements for detecting diabetes were 73%, 87%, and 134.0 mg/dL, respectively. No significant differences were observed between the AUCs (0.078, 95% CI [-0.006 to -0.161]).</w:t>
            </w:r>
          </w:p>
        </w:tc>
      </w:tr>
      <w:tr w:rsidR="00191A23" w:rsidRPr="0022554A" w14:paraId="79A670C8" w14:textId="77777777" w:rsidTr="00517788">
        <w:tc>
          <w:tcPr>
            <w:tcW w:w="0" w:type="auto"/>
          </w:tcPr>
          <w:p w14:paraId="64D45DBE"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421D3770" w14:textId="77777777" w:rsidR="00191A23" w:rsidRPr="0022554A" w:rsidRDefault="00191A23" w:rsidP="00191A23">
            <w:pPr>
              <w:tabs>
                <w:tab w:val="left" w:pos="5400"/>
              </w:tabs>
              <w:jc w:val="center"/>
              <w:rPr>
                <w:sz w:val="20"/>
              </w:rPr>
            </w:pPr>
            <w:r w:rsidRPr="0022554A">
              <w:rPr>
                <w:sz w:val="20"/>
              </w:rPr>
              <w:t>19</w:t>
            </w:r>
          </w:p>
        </w:tc>
        <w:tc>
          <w:tcPr>
            <w:tcW w:w="8687" w:type="dxa"/>
          </w:tcPr>
          <w:p w14:paraId="75E48F5D"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C5CCE28" w14:textId="581D993F" w:rsidR="00191A23" w:rsidRPr="0022554A" w:rsidRDefault="009C537C" w:rsidP="00191A23">
            <w:pPr>
              <w:tabs>
                <w:tab w:val="left" w:pos="5400"/>
              </w:tabs>
              <w:rPr>
                <w:sz w:val="20"/>
                <w:lang w:eastAsia="ja-JP"/>
              </w:rPr>
            </w:pPr>
            <w:r>
              <w:rPr>
                <w:rFonts w:hint="eastAsia"/>
                <w:sz w:val="20"/>
                <w:lang w:eastAsia="ja-JP"/>
              </w:rPr>
              <w:t>9</w:t>
            </w:r>
          </w:p>
        </w:tc>
        <w:tc>
          <w:tcPr>
            <w:tcW w:w="3129" w:type="dxa"/>
          </w:tcPr>
          <w:p w14:paraId="6F5DB99B" w14:textId="178F10EE" w:rsidR="00191A23" w:rsidRPr="0022554A" w:rsidRDefault="00C52B04" w:rsidP="00191A23">
            <w:pPr>
              <w:tabs>
                <w:tab w:val="left" w:pos="5400"/>
              </w:tabs>
              <w:rPr>
                <w:sz w:val="20"/>
              </w:rPr>
            </w:pPr>
            <w:r w:rsidRPr="00C52B04">
              <w:rPr>
                <w:sz w:val="20"/>
              </w:rPr>
              <w:t xml:space="preserve">Differences in GBG due to periodontitis status should be explored in future studies. Furthermore, the sample size of 15 participants per group might limit </w:t>
            </w:r>
            <w:r w:rsidRPr="00C52B04">
              <w:rPr>
                <w:sz w:val="20"/>
              </w:rPr>
              <w:lastRenderedPageBreak/>
              <w:t>the generalizability of the findings. Future studies with larger sample sizes are necessary to validate these results.</w:t>
            </w:r>
          </w:p>
        </w:tc>
      </w:tr>
      <w:tr w:rsidR="00191A23" w:rsidRPr="0022554A" w14:paraId="35D4564F" w14:textId="77777777" w:rsidTr="00517788">
        <w:tc>
          <w:tcPr>
            <w:tcW w:w="0" w:type="auto"/>
          </w:tcPr>
          <w:p w14:paraId="0141A411"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14:paraId="4E3FD9F2" w14:textId="77777777" w:rsidR="00191A23" w:rsidRPr="0022554A" w:rsidRDefault="00191A23" w:rsidP="00191A23">
            <w:pPr>
              <w:tabs>
                <w:tab w:val="left" w:pos="5400"/>
              </w:tabs>
              <w:jc w:val="center"/>
              <w:rPr>
                <w:sz w:val="20"/>
              </w:rPr>
            </w:pPr>
            <w:r w:rsidRPr="0022554A">
              <w:rPr>
                <w:sz w:val="20"/>
              </w:rPr>
              <w:t>20</w:t>
            </w:r>
          </w:p>
        </w:tc>
        <w:tc>
          <w:tcPr>
            <w:tcW w:w="8687" w:type="dxa"/>
          </w:tcPr>
          <w:p w14:paraId="0298F47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0E7D046" w14:textId="3624036D" w:rsidR="00191A23" w:rsidRPr="0022554A" w:rsidRDefault="00083827" w:rsidP="00191A23">
            <w:pPr>
              <w:tabs>
                <w:tab w:val="left" w:pos="5400"/>
              </w:tabs>
              <w:rPr>
                <w:sz w:val="20"/>
                <w:lang w:eastAsia="ja-JP"/>
              </w:rPr>
            </w:pPr>
            <w:r>
              <w:rPr>
                <w:rFonts w:hint="eastAsia"/>
                <w:sz w:val="20"/>
                <w:lang w:eastAsia="ja-JP"/>
              </w:rPr>
              <w:t>9</w:t>
            </w:r>
            <w:r w:rsidR="00662990">
              <w:rPr>
                <w:rFonts w:hint="eastAsia"/>
                <w:sz w:val="20"/>
                <w:lang w:eastAsia="ja-JP"/>
              </w:rPr>
              <w:t>-10</w:t>
            </w:r>
          </w:p>
        </w:tc>
        <w:tc>
          <w:tcPr>
            <w:tcW w:w="3129" w:type="dxa"/>
          </w:tcPr>
          <w:p w14:paraId="35AD5F70" w14:textId="77777777" w:rsidR="0015654D" w:rsidRDefault="0015654D" w:rsidP="0015654D">
            <w:pPr>
              <w:tabs>
                <w:tab w:val="left" w:pos="5400"/>
              </w:tabs>
              <w:rPr>
                <w:sz w:val="20"/>
                <w:lang w:eastAsia="ja-JP"/>
              </w:rPr>
            </w:pPr>
            <w:r w:rsidRPr="0015654D">
              <w:rPr>
                <w:sz w:val="20"/>
                <w:lang w:eastAsia="ja-JP"/>
              </w:rPr>
              <w:t>This study hypothesizes that GBG measurements may be an effective screening tool for type 2 diabetes mellitus, as periodontitis tends to be more severe, and BOP tends to be greater in patients with type 2 diabetes mellitus. The GBG and FTBG levels were reliable in the diabetic group and patients with a PPD ≥4 mm. Furthermore, the sensitivity and specificity were as high as those reported in previous studies. Therefore, random blood glucose levels measured from periodontal pockets of patients with diabetes and patients with periodontitis with a PPD of ≥4 mm may be useful for screening for type 2 diabetes mellitus. These findings are expected to contribute to the early detection of type 2 diabetes through the dental setting.</w:t>
            </w:r>
          </w:p>
          <w:p w14:paraId="24E4D992" w14:textId="1DF44DF2" w:rsidR="00052BA8" w:rsidRPr="0015654D" w:rsidRDefault="00052BA8" w:rsidP="0015654D">
            <w:pPr>
              <w:tabs>
                <w:tab w:val="left" w:pos="5400"/>
              </w:tabs>
              <w:rPr>
                <w:sz w:val="20"/>
                <w:lang w:eastAsia="ja-JP"/>
              </w:rPr>
            </w:pPr>
            <w:r w:rsidRPr="00052BA8">
              <w:rPr>
                <w:sz w:val="20"/>
                <w:lang w:eastAsia="ja-JP"/>
              </w:rPr>
              <w:t xml:space="preserve">The limitation of this study is a small sample size that cannot allow us to current data as a standard for the general population. Although measurement using Bland-Altman, correlation, and regression analyses </w:t>
            </w:r>
            <w:r w:rsidRPr="00052BA8">
              <w:rPr>
                <w:sz w:val="20"/>
                <w:lang w:eastAsia="ja-JP"/>
              </w:rPr>
              <w:lastRenderedPageBreak/>
              <w:t>determined the usefulness of the GBG, however, more accurate measurements need to be confirmed using a large number of participants with a variety of clinical conditions.</w:t>
            </w:r>
          </w:p>
          <w:p w14:paraId="182DF31D" w14:textId="573324DA" w:rsidR="007A016D" w:rsidRPr="0073761E" w:rsidRDefault="0015654D" w:rsidP="0015654D">
            <w:pPr>
              <w:tabs>
                <w:tab w:val="left" w:pos="5400"/>
              </w:tabs>
              <w:rPr>
                <w:sz w:val="20"/>
                <w:lang w:eastAsia="ja-JP"/>
              </w:rPr>
            </w:pPr>
            <w:r w:rsidRPr="0015654D">
              <w:rPr>
                <w:sz w:val="20"/>
                <w:lang w:eastAsia="ja-JP"/>
              </w:rPr>
              <w:t>This study suggests that GBG may be useful for screening for diabetes in dentistry. In contrast, there may be limitations regarding the degree of concordance with FTBG. Local factors such as inflammatory cytokines in periodontal tissues may influence GBG, and further investigation of these factors may allow GBG to be applied in diagnosing and treating diabetes-related periodontitis.</w:t>
            </w:r>
          </w:p>
        </w:tc>
      </w:tr>
      <w:tr w:rsidR="00191A23" w:rsidRPr="0022554A" w14:paraId="1D219A56" w14:textId="77777777" w:rsidTr="00517788">
        <w:tc>
          <w:tcPr>
            <w:tcW w:w="0" w:type="auto"/>
          </w:tcPr>
          <w:p w14:paraId="2DFFE613"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lastRenderedPageBreak/>
              <w:t>Generalisability</w:t>
            </w:r>
          </w:p>
        </w:tc>
        <w:tc>
          <w:tcPr>
            <w:tcW w:w="0" w:type="auto"/>
          </w:tcPr>
          <w:p w14:paraId="4D2A246B" w14:textId="77777777" w:rsidR="00191A23" w:rsidRPr="0022554A" w:rsidRDefault="00191A23" w:rsidP="00191A23">
            <w:pPr>
              <w:tabs>
                <w:tab w:val="left" w:pos="5400"/>
              </w:tabs>
              <w:jc w:val="center"/>
              <w:rPr>
                <w:sz w:val="20"/>
              </w:rPr>
            </w:pPr>
            <w:r w:rsidRPr="0022554A">
              <w:rPr>
                <w:sz w:val="20"/>
              </w:rPr>
              <w:t>21</w:t>
            </w:r>
          </w:p>
        </w:tc>
        <w:tc>
          <w:tcPr>
            <w:tcW w:w="8687" w:type="dxa"/>
          </w:tcPr>
          <w:p w14:paraId="64C3FB94"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4D974D62" w14:textId="5065DCF1" w:rsidR="00191A23" w:rsidRPr="0022554A" w:rsidRDefault="002D57B9" w:rsidP="00191A23">
            <w:pPr>
              <w:tabs>
                <w:tab w:val="left" w:pos="5400"/>
              </w:tabs>
              <w:rPr>
                <w:sz w:val="20"/>
                <w:lang w:eastAsia="ja-JP"/>
              </w:rPr>
            </w:pPr>
            <w:r>
              <w:rPr>
                <w:rFonts w:hint="eastAsia"/>
                <w:sz w:val="20"/>
                <w:lang w:eastAsia="ja-JP"/>
              </w:rPr>
              <w:t>9</w:t>
            </w:r>
            <w:r w:rsidR="00EA2071">
              <w:rPr>
                <w:rFonts w:hint="eastAsia"/>
                <w:sz w:val="20"/>
                <w:lang w:eastAsia="ja-JP"/>
              </w:rPr>
              <w:t>-10</w:t>
            </w:r>
          </w:p>
        </w:tc>
        <w:tc>
          <w:tcPr>
            <w:tcW w:w="3129" w:type="dxa"/>
          </w:tcPr>
          <w:p w14:paraId="62ED7750" w14:textId="77777777" w:rsidR="007E0CF4" w:rsidRDefault="007E0CF4" w:rsidP="007E0CF4">
            <w:pPr>
              <w:tabs>
                <w:tab w:val="left" w:pos="5400"/>
              </w:tabs>
              <w:rPr>
                <w:bCs/>
                <w:sz w:val="20"/>
                <w:lang w:eastAsia="ja-JP"/>
              </w:rPr>
            </w:pPr>
            <w:r w:rsidRPr="007E0CF4">
              <w:rPr>
                <w:bCs/>
                <w:sz w:val="20"/>
                <w:lang w:eastAsia="ja-JP"/>
              </w:rPr>
              <w:t xml:space="preserve">This study hypothesizes that GBG measurements may be an effective screening tool for type 2 diabetes mellitus, as periodontitis tends to be more severe, and BOP tends to be greater in patients with type 2 diabetes mellitus. The GBG and FTBG levels were reliable in the diabetic group and patients with a PPD ≥4 mm. Furthermore, the sensitivity and specificity were as high as those reported in previous studies. Therefore, random blood glucose levels measured from periodontal pockets of patients with </w:t>
            </w:r>
            <w:r w:rsidRPr="007E0CF4">
              <w:rPr>
                <w:bCs/>
                <w:sz w:val="20"/>
                <w:lang w:eastAsia="ja-JP"/>
              </w:rPr>
              <w:lastRenderedPageBreak/>
              <w:t>diabetes and patients with periodontitis with a PPD of ≥4 mm may be useful for screening for type 2 diabetes mellitus. These findings are expected to contribute to the early detection of type 2 diabetes through the dental setting.</w:t>
            </w:r>
          </w:p>
          <w:p w14:paraId="11234D84" w14:textId="380F3EB2" w:rsidR="00EC418B" w:rsidRPr="007E0CF4" w:rsidRDefault="00EC418B" w:rsidP="007E0CF4">
            <w:pPr>
              <w:tabs>
                <w:tab w:val="left" w:pos="5400"/>
              </w:tabs>
              <w:rPr>
                <w:bCs/>
                <w:sz w:val="20"/>
                <w:lang w:eastAsia="ja-JP"/>
              </w:rPr>
            </w:pPr>
            <w:r w:rsidRPr="00EC418B">
              <w:rPr>
                <w:bCs/>
                <w:sz w:val="20"/>
                <w:lang w:eastAsia="ja-JP"/>
              </w:rPr>
              <w:t>The limitation of this study is a small sample size that cannot allow us to current data as a standard for the general population. Although measurement using Bland-Altman, correlation, and regression analyses determined the usefulness of the GBG, however, more accurate measurements need to be confirmed using a large number of participants with a variety of clinical conditions.</w:t>
            </w:r>
          </w:p>
          <w:p w14:paraId="408082AA" w14:textId="4B072C0D" w:rsidR="00191A23" w:rsidRPr="001D405C" w:rsidRDefault="007E0CF4" w:rsidP="007E0CF4">
            <w:pPr>
              <w:tabs>
                <w:tab w:val="left" w:pos="5400"/>
              </w:tabs>
              <w:rPr>
                <w:bCs/>
                <w:sz w:val="20"/>
                <w:lang w:eastAsia="ja-JP"/>
              </w:rPr>
            </w:pPr>
            <w:r w:rsidRPr="007E0CF4">
              <w:rPr>
                <w:bCs/>
                <w:sz w:val="20"/>
                <w:lang w:eastAsia="ja-JP"/>
              </w:rPr>
              <w:t>This study suggests that GBG may be useful for screening for diabetes in dentistry. In contrast, there may be limitations regarding the degree of concordance with FTBG. Local factors such as inflammatory cytokines in periodontal tissues may influence GBG, and further investigation of these factors may allow GBG to be applied in diagnosing and treating diabetes-related periodontitis.</w:t>
            </w:r>
          </w:p>
        </w:tc>
      </w:tr>
      <w:tr w:rsidR="00191A23" w:rsidRPr="0022554A" w14:paraId="303CCA0F" w14:textId="77777777" w:rsidTr="00517788">
        <w:tc>
          <w:tcPr>
            <w:tcW w:w="1911" w:type="dxa"/>
            <w:gridSpan w:val="2"/>
          </w:tcPr>
          <w:p w14:paraId="2D2AA245"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3081" w:type="dxa"/>
            <w:gridSpan w:val="3"/>
          </w:tcPr>
          <w:p w14:paraId="57A0006A" w14:textId="77777777" w:rsidR="00191A23" w:rsidRPr="0022554A" w:rsidRDefault="00191A23" w:rsidP="00191A23">
            <w:pPr>
              <w:pStyle w:val="TableSubHead"/>
              <w:tabs>
                <w:tab w:val="left" w:pos="5400"/>
              </w:tabs>
              <w:rPr>
                <w:sz w:val="20"/>
              </w:rPr>
            </w:pPr>
          </w:p>
        </w:tc>
      </w:tr>
      <w:tr w:rsidR="00191A23" w:rsidRPr="0022554A" w14:paraId="7CE1D8F1" w14:textId="77777777" w:rsidTr="00517788">
        <w:tc>
          <w:tcPr>
            <w:tcW w:w="0" w:type="auto"/>
          </w:tcPr>
          <w:p w14:paraId="27207C57"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lastRenderedPageBreak/>
              <w:t>Funding</w:t>
            </w:r>
          </w:p>
        </w:tc>
        <w:tc>
          <w:tcPr>
            <w:tcW w:w="0" w:type="auto"/>
          </w:tcPr>
          <w:p w14:paraId="244ED5BF" w14:textId="77777777" w:rsidR="00191A23" w:rsidRPr="0022554A" w:rsidRDefault="00191A23" w:rsidP="00191A23">
            <w:pPr>
              <w:tabs>
                <w:tab w:val="left" w:pos="5400"/>
              </w:tabs>
              <w:jc w:val="center"/>
              <w:rPr>
                <w:sz w:val="20"/>
              </w:rPr>
            </w:pPr>
            <w:r w:rsidRPr="0022554A">
              <w:rPr>
                <w:sz w:val="20"/>
              </w:rPr>
              <w:t>22</w:t>
            </w:r>
          </w:p>
        </w:tc>
        <w:tc>
          <w:tcPr>
            <w:tcW w:w="8687" w:type="dxa"/>
          </w:tcPr>
          <w:p w14:paraId="7F6AC671"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3E4BD6E2" w14:textId="240463E2" w:rsidR="00191A23" w:rsidRPr="0022554A" w:rsidRDefault="009D2226" w:rsidP="00191A23">
            <w:pPr>
              <w:tabs>
                <w:tab w:val="left" w:pos="5400"/>
              </w:tabs>
              <w:rPr>
                <w:sz w:val="20"/>
                <w:lang w:eastAsia="ja-JP"/>
              </w:rPr>
            </w:pPr>
            <w:r>
              <w:rPr>
                <w:rFonts w:hint="eastAsia"/>
                <w:sz w:val="20"/>
                <w:lang w:eastAsia="ja-JP"/>
              </w:rPr>
              <w:t>1</w:t>
            </w:r>
          </w:p>
        </w:tc>
        <w:tc>
          <w:tcPr>
            <w:tcW w:w="3129" w:type="dxa"/>
          </w:tcPr>
          <w:p w14:paraId="7562B8AE" w14:textId="77777777" w:rsidR="005A4FDE" w:rsidRPr="005A4FDE" w:rsidRDefault="005A4FDE" w:rsidP="005A4FDE">
            <w:pPr>
              <w:tabs>
                <w:tab w:val="left" w:pos="5400"/>
              </w:tabs>
              <w:rPr>
                <w:sz w:val="20"/>
              </w:rPr>
            </w:pPr>
            <w:r w:rsidRPr="005A4FDE">
              <w:rPr>
                <w:sz w:val="20"/>
              </w:rPr>
              <w:t xml:space="preserve">This study was partially supported by the Northern Advancement </w:t>
            </w:r>
            <w:proofErr w:type="spellStart"/>
            <w:r w:rsidRPr="005A4FDE">
              <w:rPr>
                <w:sz w:val="20"/>
              </w:rPr>
              <w:t>Center</w:t>
            </w:r>
            <w:proofErr w:type="spellEnd"/>
            <w:r w:rsidRPr="005A4FDE">
              <w:rPr>
                <w:sz w:val="20"/>
              </w:rPr>
              <w:t xml:space="preserve"> for Science and Technology</w:t>
            </w:r>
          </w:p>
          <w:p w14:paraId="6753D4B5" w14:textId="77777777" w:rsidR="005A4FDE" w:rsidRPr="005A4FDE" w:rsidRDefault="005A4FDE" w:rsidP="005A4FDE">
            <w:pPr>
              <w:tabs>
                <w:tab w:val="left" w:pos="5400"/>
              </w:tabs>
              <w:rPr>
                <w:sz w:val="20"/>
              </w:rPr>
            </w:pPr>
            <w:r w:rsidRPr="005A4FDE">
              <w:rPr>
                <w:sz w:val="20"/>
              </w:rPr>
              <w:t>(NOASTEC) Foundation (Sapporo, Hokkaido, Japan). The funders had no role in study design, data</w:t>
            </w:r>
          </w:p>
          <w:p w14:paraId="7E7F836D" w14:textId="5F4F0CA5" w:rsidR="00191A23" w:rsidRPr="0022554A" w:rsidRDefault="005A4FDE" w:rsidP="005A4FDE">
            <w:pPr>
              <w:tabs>
                <w:tab w:val="left" w:pos="5400"/>
              </w:tabs>
              <w:rPr>
                <w:sz w:val="20"/>
              </w:rPr>
            </w:pPr>
            <w:r w:rsidRPr="005A4FDE">
              <w:rPr>
                <w:sz w:val="20"/>
              </w:rPr>
              <w:t>collection and analysis, decision to publish, or preparation of the manuscript. There was no additional</w:t>
            </w:r>
            <w:r w:rsidR="00714ACF">
              <w:rPr>
                <w:rFonts w:hint="eastAsia"/>
                <w:sz w:val="20"/>
                <w:lang w:eastAsia="ja-JP"/>
              </w:rPr>
              <w:t xml:space="preserve"> </w:t>
            </w:r>
            <w:r w:rsidRPr="005A4FDE">
              <w:rPr>
                <w:sz w:val="20"/>
              </w:rPr>
              <w:t>external funding received for this study. The following grant information was disclosed by the authors:</w:t>
            </w:r>
            <w:r w:rsidR="00714ACF">
              <w:rPr>
                <w:rFonts w:hint="eastAsia"/>
                <w:sz w:val="20"/>
                <w:lang w:eastAsia="ja-JP"/>
              </w:rPr>
              <w:t xml:space="preserve"> </w:t>
            </w:r>
            <w:r w:rsidRPr="005A4FDE">
              <w:rPr>
                <w:sz w:val="20"/>
              </w:rPr>
              <w:t>The Development Grants for Medical Institution Needs.</w:t>
            </w:r>
          </w:p>
        </w:tc>
      </w:tr>
      <w:bookmarkEnd w:id="94"/>
      <w:bookmarkEnd w:id="95"/>
    </w:tbl>
    <w:p w14:paraId="7F4C8890" w14:textId="77777777" w:rsidR="002602FB" w:rsidRDefault="002602FB" w:rsidP="0022554A">
      <w:pPr>
        <w:pStyle w:val="TableNote"/>
        <w:tabs>
          <w:tab w:val="left" w:pos="5400"/>
        </w:tabs>
        <w:rPr>
          <w:bCs/>
          <w:sz w:val="20"/>
        </w:rPr>
      </w:pPr>
    </w:p>
    <w:p w14:paraId="361FF59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31EB19A" w14:textId="77777777" w:rsidR="00AE2C57" w:rsidRDefault="00AE2C57" w:rsidP="0022554A">
      <w:pPr>
        <w:pStyle w:val="TableNote"/>
        <w:tabs>
          <w:tab w:val="left" w:pos="5400"/>
        </w:tabs>
        <w:rPr>
          <w:sz w:val="20"/>
        </w:rPr>
      </w:pPr>
    </w:p>
    <w:p w14:paraId="4B90167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FC180C">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249C6" w14:textId="77777777" w:rsidR="00E924BD" w:rsidRDefault="00E924BD">
      <w:r>
        <w:separator/>
      </w:r>
    </w:p>
  </w:endnote>
  <w:endnote w:type="continuationSeparator" w:id="0">
    <w:p w14:paraId="52780490" w14:textId="77777777" w:rsidR="00E924BD" w:rsidRDefault="00E9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C110"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365C5B"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EF6F"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00134221"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B7E5" w14:textId="77777777" w:rsidR="00E924BD" w:rsidRDefault="00E924BD">
      <w:r>
        <w:separator/>
      </w:r>
    </w:p>
  </w:footnote>
  <w:footnote w:type="continuationSeparator" w:id="0">
    <w:p w14:paraId="4A7D8FAD" w14:textId="77777777" w:rsidR="00E924BD" w:rsidRDefault="00E92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454442774">
    <w:abstractNumId w:val="20"/>
  </w:num>
  <w:num w:numId="2" w16cid:durableId="795951233">
    <w:abstractNumId w:val="11"/>
  </w:num>
  <w:num w:numId="3" w16cid:durableId="1799103605">
    <w:abstractNumId w:val="18"/>
  </w:num>
  <w:num w:numId="4" w16cid:durableId="1496604729">
    <w:abstractNumId w:val="16"/>
  </w:num>
  <w:num w:numId="5" w16cid:durableId="1715276456">
    <w:abstractNumId w:val="15"/>
  </w:num>
  <w:num w:numId="6" w16cid:durableId="1548831583">
    <w:abstractNumId w:val="19"/>
  </w:num>
  <w:num w:numId="7" w16cid:durableId="1015884808">
    <w:abstractNumId w:val="10"/>
  </w:num>
  <w:num w:numId="8" w16cid:durableId="1183056876">
    <w:abstractNumId w:val="13"/>
  </w:num>
  <w:num w:numId="9" w16cid:durableId="303044498">
    <w:abstractNumId w:val="9"/>
  </w:num>
  <w:num w:numId="10" w16cid:durableId="1749843207">
    <w:abstractNumId w:val="14"/>
  </w:num>
  <w:num w:numId="11" w16cid:durableId="1218392439">
    <w:abstractNumId w:val="7"/>
  </w:num>
  <w:num w:numId="12" w16cid:durableId="1728262284">
    <w:abstractNumId w:val="6"/>
  </w:num>
  <w:num w:numId="13" w16cid:durableId="1112673445">
    <w:abstractNumId w:val="5"/>
  </w:num>
  <w:num w:numId="14" w16cid:durableId="1743795064">
    <w:abstractNumId w:val="4"/>
  </w:num>
  <w:num w:numId="15" w16cid:durableId="2120100368">
    <w:abstractNumId w:val="8"/>
  </w:num>
  <w:num w:numId="16" w16cid:durableId="1085958329">
    <w:abstractNumId w:val="3"/>
  </w:num>
  <w:num w:numId="17" w16cid:durableId="1612130547">
    <w:abstractNumId w:val="2"/>
  </w:num>
  <w:num w:numId="18" w16cid:durableId="1443184346">
    <w:abstractNumId w:val="1"/>
  </w:num>
  <w:num w:numId="19" w16cid:durableId="741484470">
    <w:abstractNumId w:val="0"/>
  </w:num>
  <w:num w:numId="20" w16cid:durableId="829369401">
    <w:abstractNumId w:val="12"/>
  </w:num>
  <w:num w:numId="21" w16cid:durableId="528446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30A"/>
    <w:rsid w:val="00005F0F"/>
    <w:rsid w:val="000109B4"/>
    <w:rsid w:val="00013F64"/>
    <w:rsid w:val="00014FAE"/>
    <w:rsid w:val="0002123C"/>
    <w:rsid w:val="00023515"/>
    <w:rsid w:val="00024D0E"/>
    <w:rsid w:val="00024FD9"/>
    <w:rsid w:val="00052BA8"/>
    <w:rsid w:val="00053875"/>
    <w:rsid w:val="0005447C"/>
    <w:rsid w:val="0005491B"/>
    <w:rsid w:val="0006186F"/>
    <w:rsid w:val="00067D6A"/>
    <w:rsid w:val="0007008E"/>
    <w:rsid w:val="00073CC1"/>
    <w:rsid w:val="000747FE"/>
    <w:rsid w:val="000772FE"/>
    <w:rsid w:val="00083827"/>
    <w:rsid w:val="000908E8"/>
    <w:rsid w:val="00091A54"/>
    <w:rsid w:val="00093E3A"/>
    <w:rsid w:val="00096B07"/>
    <w:rsid w:val="000A282C"/>
    <w:rsid w:val="000A5CF4"/>
    <w:rsid w:val="000A695B"/>
    <w:rsid w:val="000B6FD4"/>
    <w:rsid w:val="000D5789"/>
    <w:rsid w:val="000E3193"/>
    <w:rsid w:val="000E5503"/>
    <w:rsid w:val="000E59C1"/>
    <w:rsid w:val="000E691B"/>
    <w:rsid w:val="000F1CA2"/>
    <w:rsid w:val="000F26ED"/>
    <w:rsid w:val="000F2B2B"/>
    <w:rsid w:val="000F4172"/>
    <w:rsid w:val="000F5A01"/>
    <w:rsid w:val="00101D0E"/>
    <w:rsid w:val="00102D92"/>
    <w:rsid w:val="00107D9F"/>
    <w:rsid w:val="00110BFB"/>
    <w:rsid w:val="001171A2"/>
    <w:rsid w:val="00125DCC"/>
    <w:rsid w:val="00134AAC"/>
    <w:rsid w:val="001445CF"/>
    <w:rsid w:val="00153AF4"/>
    <w:rsid w:val="00155FCA"/>
    <w:rsid w:val="0015654D"/>
    <w:rsid w:val="001703DF"/>
    <w:rsid w:val="001716B9"/>
    <w:rsid w:val="0017613A"/>
    <w:rsid w:val="00180DC4"/>
    <w:rsid w:val="001821E0"/>
    <w:rsid w:val="00182EE4"/>
    <w:rsid w:val="00186533"/>
    <w:rsid w:val="00191A23"/>
    <w:rsid w:val="001A212D"/>
    <w:rsid w:val="001A495C"/>
    <w:rsid w:val="001A75E9"/>
    <w:rsid w:val="001B51C9"/>
    <w:rsid w:val="001B7D9B"/>
    <w:rsid w:val="001C67C4"/>
    <w:rsid w:val="001C6F29"/>
    <w:rsid w:val="001D299F"/>
    <w:rsid w:val="001D405C"/>
    <w:rsid w:val="001E02AD"/>
    <w:rsid w:val="001E1BDC"/>
    <w:rsid w:val="00201A39"/>
    <w:rsid w:val="00201BE9"/>
    <w:rsid w:val="0021265E"/>
    <w:rsid w:val="00215E03"/>
    <w:rsid w:val="00221DD4"/>
    <w:rsid w:val="00222077"/>
    <w:rsid w:val="00224268"/>
    <w:rsid w:val="0022554A"/>
    <w:rsid w:val="00226A29"/>
    <w:rsid w:val="002316F7"/>
    <w:rsid w:val="00235EF4"/>
    <w:rsid w:val="002439F0"/>
    <w:rsid w:val="00247F9F"/>
    <w:rsid w:val="002515E5"/>
    <w:rsid w:val="002537E5"/>
    <w:rsid w:val="002542E1"/>
    <w:rsid w:val="002552FD"/>
    <w:rsid w:val="002602FB"/>
    <w:rsid w:val="00267A03"/>
    <w:rsid w:val="00270797"/>
    <w:rsid w:val="00273C4E"/>
    <w:rsid w:val="00275C9F"/>
    <w:rsid w:val="002770CA"/>
    <w:rsid w:val="00285957"/>
    <w:rsid w:val="00292CE8"/>
    <w:rsid w:val="002A1D7D"/>
    <w:rsid w:val="002A6973"/>
    <w:rsid w:val="002B1755"/>
    <w:rsid w:val="002B2922"/>
    <w:rsid w:val="002B385C"/>
    <w:rsid w:val="002B4DAD"/>
    <w:rsid w:val="002C09BA"/>
    <w:rsid w:val="002C0FAE"/>
    <w:rsid w:val="002C731D"/>
    <w:rsid w:val="002D06D0"/>
    <w:rsid w:val="002D1ABE"/>
    <w:rsid w:val="002D2E3C"/>
    <w:rsid w:val="002D2FC2"/>
    <w:rsid w:val="002D53EE"/>
    <w:rsid w:val="002D57B9"/>
    <w:rsid w:val="002E48D0"/>
    <w:rsid w:val="002F1A87"/>
    <w:rsid w:val="002F228A"/>
    <w:rsid w:val="002F27AB"/>
    <w:rsid w:val="003038AE"/>
    <w:rsid w:val="003141FE"/>
    <w:rsid w:val="00321879"/>
    <w:rsid w:val="003354B7"/>
    <w:rsid w:val="003466AC"/>
    <w:rsid w:val="003508EF"/>
    <w:rsid w:val="0035187D"/>
    <w:rsid w:val="003626A2"/>
    <w:rsid w:val="00365029"/>
    <w:rsid w:val="003653AF"/>
    <w:rsid w:val="00372129"/>
    <w:rsid w:val="00382659"/>
    <w:rsid w:val="00385050"/>
    <w:rsid w:val="0039038C"/>
    <w:rsid w:val="00396860"/>
    <w:rsid w:val="003A3FDD"/>
    <w:rsid w:val="003A5EE1"/>
    <w:rsid w:val="003B2927"/>
    <w:rsid w:val="003B69E6"/>
    <w:rsid w:val="003C5D33"/>
    <w:rsid w:val="003D58B6"/>
    <w:rsid w:val="003E2BC7"/>
    <w:rsid w:val="003E47CA"/>
    <w:rsid w:val="003E52D6"/>
    <w:rsid w:val="003E61CC"/>
    <w:rsid w:val="003E6EEC"/>
    <w:rsid w:val="003F1D9B"/>
    <w:rsid w:val="003F4219"/>
    <w:rsid w:val="00404D2C"/>
    <w:rsid w:val="004060E6"/>
    <w:rsid w:val="00407BEA"/>
    <w:rsid w:val="00410314"/>
    <w:rsid w:val="00412A57"/>
    <w:rsid w:val="00422A22"/>
    <w:rsid w:val="004243C8"/>
    <w:rsid w:val="00426777"/>
    <w:rsid w:val="0045419E"/>
    <w:rsid w:val="004567C2"/>
    <w:rsid w:val="0045734B"/>
    <w:rsid w:val="00465542"/>
    <w:rsid w:val="00470927"/>
    <w:rsid w:val="00472DF5"/>
    <w:rsid w:val="0048610D"/>
    <w:rsid w:val="00495204"/>
    <w:rsid w:val="004A31B3"/>
    <w:rsid w:val="004A32C8"/>
    <w:rsid w:val="004A3BE2"/>
    <w:rsid w:val="004A66A9"/>
    <w:rsid w:val="004B553C"/>
    <w:rsid w:val="004D1952"/>
    <w:rsid w:val="004D57C1"/>
    <w:rsid w:val="004E1263"/>
    <w:rsid w:val="004E1350"/>
    <w:rsid w:val="004E64DE"/>
    <w:rsid w:val="005044A6"/>
    <w:rsid w:val="00507F34"/>
    <w:rsid w:val="005100B5"/>
    <w:rsid w:val="00510C41"/>
    <w:rsid w:val="00516105"/>
    <w:rsid w:val="00516719"/>
    <w:rsid w:val="00517788"/>
    <w:rsid w:val="00517B54"/>
    <w:rsid w:val="00526DB2"/>
    <w:rsid w:val="00527005"/>
    <w:rsid w:val="00536F3B"/>
    <w:rsid w:val="005465E4"/>
    <w:rsid w:val="00547C29"/>
    <w:rsid w:val="00551599"/>
    <w:rsid w:val="00565A77"/>
    <w:rsid w:val="00566384"/>
    <w:rsid w:val="005677D6"/>
    <w:rsid w:val="005714FA"/>
    <w:rsid w:val="00577CFB"/>
    <w:rsid w:val="00590F64"/>
    <w:rsid w:val="005923E5"/>
    <w:rsid w:val="005A4FDE"/>
    <w:rsid w:val="005A53D5"/>
    <w:rsid w:val="005B51AE"/>
    <w:rsid w:val="005B567D"/>
    <w:rsid w:val="005D0CFC"/>
    <w:rsid w:val="005D19F4"/>
    <w:rsid w:val="005E58E2"/>
    <w:rsid w:val="005E649D"/>
    <w:rsid w:val="005F1502"/>
    <w:rsid w:val="005F254A"/>
    <w:rsid w:val="005F7619"/>
    <w:rsid w:val="00600A2C"/>
    <w:rsid w:val="006053C7"/>
    <w:rsid w:val="00606A2A"/>
    <w:rsid w:val="00607A51"/>
    <w:rsid w:val="006149D3"/>
    <w:rsid w:val="00635AB4"/>
    <w:rsid w:val="0065657F"/>
    <w:rsid w:val="00660499"/>
    <w:rsid w:val="00662990"/>
    <w:rsid w:val="00666336"/>
    <w:rsid w:val="00670FD5"/>
    <w:rsid w:val="00672EC2"/>
    <w:rsid w:val="00683E42"/>
    <w:rsid w:val="00687AEA"/>
    <w:rsid w:val="006A2F18"/>
    <w:rsid w:val="006A3D19"/>
    <w:rsid w:val="006A5DD9"/>
    <w:rsid w:val="006A7834"/>
    <w:rsid w:val="006B02EE"/>
    <w:rsid w:val="006B2915"/>
    <w:rsid w:val="006B56D7"/>
    <w:rsid w:val="006B61A6"/>
    <w:rsid w:val="006C0B63"/>
    <w:rsid w:val="006C7601"/>
    <w:rsid w:val="006D16AA"/>
    <w:rsid w:val="006D76EE"/>
    <w:rsid w:val="006F66AC"/>
    <w:rsid w:val="006F7FB3"/>
    <w:rsid w:val="00701AC5"/>
    <w:rsid w:val="00704929"/>
    <w:rsid w:val="00707A23"/>
    <w:rsid w:val="00711D81"/>
    <w:rsid w:val="00714ACF"/>
    <w:rsid w:val="007264C9"/>
    <w:rsid w:val="007353C8"/>
    <w:rsid w:val="007371F6"/>
    <w:rsid w:val="0073761E"/>
    <w:rsid w:val="00745385"/>
    <w:rsid w:val="0074576C"/>
    <w:rsid w:val="00754BA5"/>
    <w:rsid w:val="0075580B"/>
    <w:rsid w:val="0075604D"/>
    <w:rsid w:val="007562C3"/>
    <w:rsid w:val="007738D0"/>
    <w:rsid w:val="00792B87"/>
    <w:rsid w:val="00794A01"/>
    <w:rsid w:val="007A016D"/>
    <w:rsid w:val="007A0A76"/>
    <w:rsid w:val="007A182D"/>
    <w:rsid w:val="007A346A"/>
    <w:rsid w:val="007A7A43"/>
    <w:rsid w:val="007B1802"/>
    <w:rsid w:val="007B5300"/>
    <w:rsid w:val="007B65C2"/>
    <w:rsid w:val="007C72F6"/>
    <w:rsid w:val="007D75E7"/>
    <w:rsid w:val="007E0CF4"/>
    <w:rsid w:val="007E145F"/>
    <w:rsid w:val="007E544C"/>
    <w:rsid w:val="007F402E"/>
    <w:rsid w:val="007F7FA0"/>
    <w:rsid w:val="00803668"/>
    <w:rsid w:val="00804895"/>
    <w:rsid w:val="00806714"/>
    <w:rsid w:val="00816966"/>
    <w:rsid w:val="00817D26"/>
    <w:rsid w:val="00821CD4"/>
    <w:rsid w:val="00821F59"/>
    <w:rsid w:val="008335FA"/>
    <w:rsid w:val="0084120D"/>
    <w:rsid w:val="008423A7"/>
    <w:rsid w:val="008440CC"/>
    <w:rsid w:val="00851D92"/>
    <w:rsid w:val="00853926"/>
    <w:rsid w:val="0088014E"/>
    <w:rsid w:val="00881A5F"/>
    <w:rsid w:val="008846F6"/>
    <w:rsid w:val="0089107E"/>
    <w:rsid w:val="008911C9"/>
    <w:rsid w:val="00891604"/>
    <w:rsid w:val="00894E1A"/>
    <w:rsid w:val="008A6B77"/>
    <w:rsid w:val="008B4827"/>
    <w:rsid w:val="008C296D"/>
    <w:rsid w:val="008C2E1F"/>
    <w:rsid w:val="008C758B"/>
    <w:rsid w:val="008D225B"/>
    <w:rsid w:val="008D67E8"/>
    <w:rsid w:val="008E1E1B"/>
    <w:rsid w:val="008F1671"/>
    <w:rsid w:val="008F29ED"/>
    <w:rsid w:val="008F3E0B"/>
    <w:rsid w:val="008F5CED"/>
    <w:rsid w:val="00901470"/>
    <w:rsid w:val="009123CC"/>
    <w:rsid w:val="009123E2"/>
    <w:rsid w:val="00913E5C"/>
    <w:rsid w:val="0091510F"/>
    <w:rsid w:val="009171D0"/>
    <w:rsid w:val="00921BF8"/>
    <w:rsid w:val="00934F4B"/>
    <w:rsid w:val="009367F9"/>
    <w:rsid w:val="00937255"/>
    <w:rsid w:val="00940A09"/>
    <w:rsid w:val="009443CE"/>
    <w:rsid w:val="00950702"/>
    <w:rsid w:val="00956176"/>
    <w:rsid w:val="00961321"/>
    <w:rsid w:val="009642BE"/>
    <w:rsid w:val="00975DE4"/>
    <w:rsid w:val="00976EE1"/>
    <w:rsid w:val="009817FE"/>
    <w:rsid w:val="009845C5"/>
    <w:rsid w:val="00987130"/>
    <w:rsid w:val="009872CC"/>
    <w:rsid w:val="009958A7"/>
    <w:rsid w:val="00996C14"/>
    <w:rsid w:val="00997707"/>
    <w:rsid w:val="009B10F1"/>
    <w:rsid w:val="009B1FF8"/>
    <w:rsid w:val="009B22E8"/>
    <w:rsid w:val="009B2D5B"/>
    <w:rsid w:val="009B368D"/>
    <w:rsid w:val="009B3805"/>
    <w:rsid w:val="009B5539"/>
    <w:rsid w:val="009C24D4"/>
    <w:rsid w:val="009C537C"/>
    <w:rsid w:val="009C5FE4"/>
    <w:rsid w:val="009D2226"/>
    <w:rsid w:val="009D45BD"/>
    <w:rsid w:val="009E0429"/>
    <w:rsid w:val="009E2633"/>
    <w:rsid w:val="009E5D51"/>
    <w:rsid w:val="009E61DA"/>
    <w:rsid w:val="009F5211"/>
    <w:rsid w:val="009F537C"/>
    <w:rsid w:val="00A11448"/>
    <w:rsid w:val="00A13C96"/>
    <w:rsid w:val="00A15008"/>
    <w:rsid w:val="00A345A5"/>
    <w:rsid w:val="00A42352"/>
    <w:rsid w:val="00A521E8"/>
    <w:rsid w:val="00A527E4"/>
    <w:rsid w:val="00A539AE"/>
    <w:rsid w:val="00A55376"/>
    <w:rsid w:val="00A5640D"/>
    <w:rsid w:val="00A57533"/>
    <w:rsid w:val="00A61270"/>
    <w:rsid w:val="00A64316"/>
    <w:rsid w:val="00A729D6"/>
    <w:rsid w:val="00A7696A"/>
    <w:rsid w:val="00A90886"/>
    <w:rsid w:val="00A9344A"/>
    <w:rsid w:val="00A938BF"/>
    <w:rsid w:val="00AA1208"/>
    <w:rsid w:val="00AA589E"/>
    <w:rsid w:val="00AB3143"/>
    <w:rsid w:val="00AB7BC4"/>
    <w:rsid w:val="00AC2329"/>
    <w:rsid w:val="00AD21B9"/>
    <w:rsid w:val="00AE0EA8"/>
    <w:rsid w:val="00AE23EB"/>
    <w:rsid w:val="00AE2C57"/>
    <w:rsid w:val="00AE7585"/>
    <w:rsid w:val="00AF1A69"/>
    <w:rsid w:val="00AF4615"/>
    <w:rsid w:val="00AF4681"/>
    <w:rsid w:val="00B05A18"/>
    <w:rsid w:val="00B11EA3"/>
    <w:rsid w:val="00B15314"/>
    <w:rsid w:val="00B2377E"/>
    <w:rsid w:val="00B24909"/>
    <w:rsid w:val="00B2571A"/>
    <w:rsid w:val="00B50DF8"/>
    <w:rsid w:val="00B54EA0"/>
    <w:rsid w:val="00B60EFB"/>
    <w:rsid w:val="00B65366"/>
    <w:rsid w:val="00B75763"/>
    <w:rsid w:val="00B75913"/>
    <w:rsid w:val="00B77807"/>
    <w:rsid w:val="00B81F4A"/>
    <w:rsid w:val="00B82D83"/>
    <w:rsid w:val="00B84375"/>
    <w:rsid w:val="00B877B0"/>
    <w:rsid w:val="00B92046"/>
    <w:rsid w:val="00B940E9"/>
    <w:rsid w:val="00B95E81"/>
    <w:rsid w:val="00B9781F"/>
    <w:rsid w:val="00B97F00"/>
    <w:rsid w:val="00BA1206"/>
    <w:rsid w:val="00BA24DA"/>
    <w:rsid w:val="00BA2AD6"/>
    <w:rsid w:val="00BA4006"/>
    <w:rsid w:val="00BB1EAB"/>
    <w:rsid w:val="00BB271B"/>
    <w:rsid w:val="00BC433D"/>
    <w:rsid w:val="00BC7FE6"/>
    <w:rsid w:val="00BE044E"/>
    <w:rsid w:val="00BE1CC3"/>
    <w:rsid w:val="00BE3709"/>
    <w:rsid w:val="00BE48D9"/>
    <w:rsid w:val="00BF0728"/>
    <w:rsid w:val="00BF6546"/>
    <w:rsid w:val="00C0193C"/>
    <w:rsid w:val="00C025EF"/>
    <w:rsid w:val="00C10DD5"/>
    <w:rsid w:val="00C13A45"/>
    <w:rsid w:val="00C15493"/>
    <w:rsid w:val="00C22020"/>
    <w:rsid w:val="00C252B2"/>
    <w:rsid w:val="00C27EFF"/>
    <w:rsid w:val="00C3175F"/>
    <w:rsid w:val="00C3552C"/>
    <w:rsid w:val="00C35A37"/>
    <w:rsid w:val="00C52B04"/>
    <w:rsid w:val="00C72D41"/>
    <w:rsid w:val="00C76919"/>
    <w:rsid w:val="00C817AA"/>
    <w:rsid w:val="00C86820"/>
    <w:rsid w:val="00C96B34"/>
    <w:rsid w:val="00CA489B"/>
    <w:rsid w:val="00CB228B"/>
    <w:rsid w:val="00CB6A79"/>
    <w:rsid w:val="00CB6CC8"/>
    <w:rsid w:val="00CB70AB"/>
    <w:rsid w:val="00CB7BC4"/>
    <w:rsid w:val="00CC17DF"/>
    <w:rsid w:val="00CC4C93"/>
    <w:rsid w:val="00CC5278"/>
    <w:rsid w:val="00CC6F66"/>
    <w:rsid w:val="00CD511E"/>
    <w:rsid w:val="00CD5ABB"/>
    <w:rsid w:val="00CE04C1"/>
    <w:rsid w:val="00CE28E6"/>
    <w:rsid w:val="00CE70F8"/>
    <w:rsid w:val="00CF0985"/>
    <w:rsid w:val="00D120D2"/>
    <w:rsid w:val="00D1738C"/>
    <w:rsid w:val="00D20BD1"/>
    <w:rsid w:val="00D20D7C"/>
    <w:rsid w:val="00D24477"/>
    <w:rsid w:val="00D26FCA"/>
    <w:rsid w:val="00D3592A"/>
    <w:rsid w:val="00D37E9E"/>
    <w:rsid w:val="00D41BB6"/>
    <w:rsid w:val="00D446D6"/>
    <w:rsid w:val="00D502E5"/>
    <w:rsid w:val="00D56512"/>
    <w:rsid w:val="00D60B0A"/>
    <w:rsid w:val="00D621DD"/>
    <w:rsid w:val="00D6407C"/>
    <w:rsid w:val="00D870B9"/>
    <w:rsid w:val="00D87AF7"/>
    <w:rsid w:val="00D92038"/>
    <w:rsid w:val="00DA120C"/>
    <w:rsid w:val="00DA3112"/>
    <w:rsid w:val="00DB0B92"/>
    <w:rsid w:val="00DB2149"/>
    <w:rsid w:val="00DB7EF9"/>
    <w:rsid w:val="00DC4BEF"/>
    <w:rsid w:val="00DC72F5"/>
    <w:rsid w:val="00DD4043"/>
    <w:rsid w:val="00DE20D1"/>
    <w:rsid w:val="00DE76E2"/>
    <w:rsid w:val="00E011C2"/>
    <w:rsid w:val="00E10628"/>
    <w:rsid w:val="00E144CD"/>
    <w:rsid w:val="00E21A38"/>
    <w:rsid w:val="00E2292B"/>
    <w:rsid w:val="00E330AE"/>
    <w:rsid w:val="00E341E9"/>
    <w:rsid w:val="00E40A78"/>
    <w:rsid w:val="00E419E6"/>
    <w:rsid w:val="00E548ED"/>
    <w:rsid w:val="00E551E3"/>
    <w:rsid w:val="00E5651F"/>
    <w:rsid w:val="00E63874"/>
    <w:rsid w:val="00E67A32"/>
    <w:rsid w:val="00E80C39"/>
    <w:rsid w:val="00E81EB4"/>
    <w:rsid w:val="00E84FFF"/>
    <w:rsid w:val="00E919F9"/>
    <w:rsid w:val="00E924BD"/>
    <w:rsid w:val="00EA08BD"/>
    <w:rsid w:val="00EA2071"/>
    <w:rsid w:val="00EA3388"/>
    <w:rsid w:val="00EA6E28"/>
    <w:rsid w:val="00EB0CAC"/>
    <w:rsid w:val="00EB28D7"/>
    <w:rsid w:val="00EB35CD"/>
    <w:rsid w:val="00EC418B"/>
    <w:rsid w:val="00EC5567"/>
    <w:rsid w:val="00ED1BBC"/>
    <w:rsid w:val="00ED4E3C"/>
    <w:rsid w:val="00ED5DFE"/>
    <w:rsid w:val="00ED7E40"/>
    <w:rsid w:val="00EE16F6"/>
    <w:rsid w:val="00EE2972"/>
    <w:rsid w:val="00EE4A72"/>
    <w:rsid w:val="00EF1798"/>
    <w:rsid w:val="00F0752A"/>
    <w:rsid w:val="00F36E70"/>
    <w:rsid w:val="00F378D0"/>
    <w:rsid w:val="00F523D7"/>
    <w:rsid w:val="00F535AD"/>
    <w:rsid w:val="00F54D30"/>
    <w:rsid w:val="00F609A1"/>
    <w:rsid w:val="00F67E1C"/>
    <w:rsid w:val="00F76A7F"/>
    <w:rsid w:val="00F77392"/>
    <w:rsid w:val="00F838E1"/>
    <w:rsid w:val="00F842DC"/>
    <w:rsid w:val="00F876D8"/>
    <w:rsid w:val="00F876FF"/>
    <w:rsid w:val="00F90DD1"/>
    <w:rsid w:val="00F93A89"/>
    <w:rsid w:val="00F970FA"/>
    <w:rsid w:val="00FA2721"/>
    <w:rsid w:val="00FA3D11"/>
    <w:rsid w:val="00FA4279"/>
    <w:rsid w:val="00FA7106"/>
    <w:rsid w:val="00FB0921"/>
    <w:rsid w:val="00FB16BA"/>
    <w:rsid w:val="00FB203A"/>
    <w:rsid w:val="00FB4460"/>
    <w:rsid w:val="00FB4881"/>
    <w:rsid w:val="00FC180C"/>
    <w:rsid w:val="00FD7F0F"/>
    <w:rsid w:val="00FF0DEF"/>
    <w:rsid w:val="00FF100F"/>
    <w:rsid w:val="00FF293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F4F29"/>
  <w15:docId w15:val="{02C456FC-795D-4603-934D-09958202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Web">
    <w:name w:val="Normal (Web)"/>
    <w:basedOn w:val="a1"/>
    <w:rsid w:val="000B6FD4"/>
    <w:rPr>
      <w:szCs w:val="24"/>
    </w:rPr>
  </w:style>
  <w:style w:type="paragraph" w:styleId="aff7">
    <w:name w:val="Normal Indent"/>
    <w:basedOn w:val="a1"/>
    <w:rsid w:val="000B6FD4"/>
    <w:pPr>
      <w:ind w:left="720"/>
    </w:pPr>
  </w:style>
  <w:style w:type="paragraph" w:styleId="aff8">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9">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a">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b">
    <w:name w:val="annotation subject"/>
    <w:basedOn w:val="ad"/>
    <w:next w:val="ad"/>
    <w:semiHidden/>
    <w:rsid w:val="00F378D0"/>
    <w:pPr>
      <w:spacing w:line="300" w:lineRule="exact"/>
    </w:pPr>
    <w:rPr>
      <w:b/>
      <w:bCs/>
    </w:rPr>
  </w:style>
  <w:style w:type="paragraph" w:customStyle="1" w:styleId="11">
    <w:name w:val="標準1"/>
    <w:rsid w:val="001D299F"/>
    <w:pPr>
      <w:spacing w:line="276" w:lineRule="auto"/>
      <w:contextualSpacing/>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455</TotalTime>
  <Pages>52</Pages>
  <Words>8216</Words>
  <Characters>45438</Characters>
  <Application>Microsoft Office Word</Application>
  <DocSecurity>0</DocSecurity>
  <Lines>1893</Lines>
  <Paragraphs>306</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Yutaka Terada</cp:lastModifiedBy>
  <cp:revision>221</cp:revision>
  <cp:lastPrinted>2014-09-01T08:36:00Z</cp:lastPrinted>
  <dcterms:created xsi:type="dcterms:W3CDTF">2024-05-03T05:51:00Z</dcterms:created>
  <dcterms:modified xsi:type="dcterms:W3CDTF">2024-09-10T11:50:00Z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GrammarlyDocumentId">
    <vt:lpwstr>b9245d4798d32fa6a5b2103975f4d70da8981fe72dbf714c4b63d7cd49bd4e37</vt:lpwstr>
  </property>
</Properties>
</file>