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863C" w14:textId="77777777" w:rsidR="001B532A" w:rsidRDefault="007924C5">
      <w:pPr>
        <w:pStyle w:val="P68B1DB1-a325"/>
        <w:spacing w:line="480" w:lineRule="auto"/>
        <w:ind w:firstLineChars="0" w:firstLine="0"/>
        <w:jc w:val="center"/>
        <w:rPr>
          <w:rFonts w:hint="default"/>
          <w:b/>
          <w:bCs/>
        </w:rPr>
      </w:pPr>
      <w:bookmarkStart w:id="0" w:name="OLE_LINK1"/>
      <w:r>
        <w:rPr>
          <w:rFonts w:hint="default"/>
          <w:b/>
          <w:bCs/>
        </w:rPr>
        <w:t xml:space="preserve">Supplementary Table </w:t>
      </w:r>
      <w:r>
        <w:rPr>
          <w:b/>
          <w:bCs/>
        </w:rPr>
        <w:t>1</w:t>
      </w:r>
      <w:r>
        <w:rPr>
          <w:rFonts w:hint="default"/>
          <w:b/>
          <w:bCs/>
        </w:rPr>
        <w:t xml:space="preserve">: The relationship between serum </w:t>
      </w:r>
      <w:r>
        <w:rPr>
          <w:b/>
          <w:bCs/>
        </w:rPr>
        <w:t>adiponectin</w:t>
      </w:r>
      <w:r>
        <w:rPr>
          <w:rFonts w:hint="default"/>
          <w:b/>
          <w:bCs/>
        </w:rPr>
        <w:t xml:space="preserve"> level and </w:t>
      </w:r>
      <w:proofErr w:type="spellStart"/>
      <w:r>
        <w:rPr>
          <w:rFonts w:hint="default"/>
          <w:b/>
          <w:bCs/>
        </w:rPr>
        <w:t>Metrnl</w:t>
      </w:r>
      <w:proofErr w:type="spellEnd"/>
      <w:r>
        <w:rPr>
          <w:rFonts w:hint="default"/>
          <w:b/>
          <w:bCs/>
        </w:rPr>
        <w:t xml:space="preserve"> (</w:t>
      </w:r>
      <w:r>
        <w:rPr>
          <w:b/>
          <w:bCs/>
        </w:rPr>
        <w:t>Multivariate ordinal logistic regression</w:t>
      </w:r>
      <w:r>
        <w:rPr>
          <w:rFonts w:hint="default"/>
          <w:b/>
          <w:bCs/>
        </w:rPr>
        <w:t>)</w:t>
      </w:r>
    </w:p>
    <w:bookmarkEnd w:id="0"/>
    <w:tbl>
      <w:tblPr>
        <w:tblStyle w:val="a7"/>
        <w:tblpPr w:leftFromText="180" w:rightFromText="180" w:vertAnchor="text" w:horzAnchor="margin" w:tblpXSpec="center" w:tblpY="452"/>
        <w:tblW w:w="8277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4138"/>
        <w:gridCol w:w="2070"/>
      </w:tblGrid>
      <w:tr w:rsidR="001B532A" w14:paraId="2D362621" w14:textId="77777777">
        <w:trPr>
          <w:trHeight w:val="562"/>
        </w:trPr>
        <w:tc>
          <w:tcPr>
            <w:tcW w:w="2069" w:type="dxa"/>
            <w:tcBorders>
              <w:top w:val="single" w:sz="24" w:space="0" w:color="auto"/>
            </w:tcBorders>
            <w:noWrap/>
          </w:tcPr>
          <w:p w14:paraId="3251820A" w14:textId="77777777" w:rsidR="001B532A" w:rsidRDefault="001B532A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8" w:type="dxa"/>
            <w:tcBorders>
              <w:top w:val="single" w:sz="24" w:space="0" w:color="auto"/>
              <w:bottom w:val="single" w:sz="4" w:space="0" w:color="auto"/>
            </w:tcBorders>
          </w:tcPr>
          <w:p w14:paraId="7BF69617" w14:textId="77777777" w:rsidR="001B532A" w:rsidRDefault="007924C5">
            <w:pPr>
              <w:pStyle w:val="P68B1DB1-a22"/>
              <w:widowControl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 (95% CI)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4" w:space="0" w:color="auto"/>
            </w:tcBorders>
            <w:noWrap/>
          </w:tcPr>
          <w:p w14:paraId="3DE8F61A" w14:textId="77777777" w:rsidR="001B532A" w:rsidRDefault="007924C5">
            <w:pPr>
              <w:pStyle w:val="P68B1DB1-a22"/>
              <w:widowControl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</w:tr>
      <w:tr w:rsidR="001B532A" w14:paraId="5E28CDC0" w14:textId="77777777">
        <w:trPr>
          <w:trHeight w:val="392"/>
        </w:trPr>
        <w:tc>
          <w:tcPr>
            <w:tcW w:w="2069" w:type="dxa"/>
            <w:tcBorders>
              <w:top w:val="single" w:sz="4" w:space="0" w:color="auto"/>
            </w:tcBorders>
            <w:noWrap/>
          </w:tcPr>
          <w:p w14:paraId="2C64C69B" w14:textId="77777777" w:rsidR="001B532A" w:rsidRDefault="007924C5">
            <w:pPr>
              <w:pStyle w:val="P68B1DB1-a22"/>
              <w:widowControl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Model1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496E2BC6" w14:textId="77777777" w:rsidR="001B532A" w:rsidRDefault="007924C5">
            <w:pPr>
              <w:pStyle w:val="P68B1DB1-a26"/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1.09</w:t>
            </w: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(0.</w:t>
            </w: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02</w:t>
            </w: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0.15</w:t>
            </w: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229235DB" w14:textId="77777777" w:rsidR="001B532A" w:rsidRDefault="007924C5">
            <w:pPr>
              <w:pStyle w:val="P68B1DB1-a26"/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0 .0</w:t>
            </w: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11</w:t>
            </w:r>
          </w:p>
        </w:tc>
      </w:tr>
      <w:tr w:rsidR="001B532A" w14:paraId="7ECCD2B3" w14:textId="77777777">
        <w:trPr>
          <w:trHeight w:val="392"/>
        </w:trPr>
        <w:tc>
          <w:tcPr>
            <w:tcW w:w="2069" w:type="dxa"/>
            <w:noWrap/>
          </w:tcPr>
          <w:p w14:paraId="5E6A2B9F" w14:textId="77777777" w:rsidR="001B532A" w:rsidRDefault="007924C5">
            <w:pPr>
              <w:pStyle w:val="P68B1DB1-a22"/>
              <w:widowControl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Model2</w:t>
            </w:r>
          </w:p>
        </w:tc>
        <w:tc>
          <w:tcPr>
            <w:tcW w:w="4138" w:type="dxa"/>
          </w:tcPr>
          <w:p w14:paraId="00CF66AA" w14:textId="77777777" w:rsidR="001B532A" w:rsidRDefault="007924C5">
            <w:pPr>
              <w:pStyle w:val="P68B1DB1-a26"/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1.10</w:t>
            </w:r>
            <w:r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 (0.</w:t>
            </w: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02</w:t>
            </w: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1.62</w:t>
            </w: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070" w:type="dxa"/>
            <w:noWrap/>
          </w:tcPr>
          <w:p w14:paraId="2FA2420E" w14:textId="77777777" w:rsidR="001B532A" w:rsidRDefault="007924C5">
            <w:pPr>
              <w:pStyle w:val="P68B1DB1-a26"/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.01</w:t>
            </w: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1B532A" w14:paraId="346F2A67" w14:textId="77777777">
        <w:trPr>
          <w:trHeight w:val="392"/>
        </w:trPr>
        <w:tc>
          <w:tcPr>
            <w:tcW w:w="2069" w:type="dxa"/>
            <w:noWrap/>
          </w:tcPr>
          <w:p w14:paraId="12BC0A8A" w14:textId="77777777" w:rsidR="001B532A" w:rsidRDefault="007924C5">
            <w:pPr>
              <w:pStyle w:val="P68B1DB1-a22"/>
              <w:widowControl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Model3</w:t>
            </w:r>
          </w:p>
        </w:tc>
        <w:tc>
          <w:tcPr>
            <w:tcW w:w="4138" w:type="dxa"/>
          </w:tcPr>
          <w:p w14:paraId="69824B69" w14:textId="77777777" w:rsidR="001B532A" w:rsidRDefault="007924C5">
            <w:pPr>
              <w:pStyle w:val="P68B1DB1-a22"/>
              <w:widowControl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1.10</w:t>
            </w:r>
            <w:r>
              <w:rPr>
                <w:sz w:val="21"/>
                <w:szCs w:val="21"/>
              </w:rPr>
              <w:t xml:space="preserve"> (0.0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0.17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070" w:type="dxa"/>
            <w:noWrap/>
          </w:tcPr>
          <w:p w14:paraId="4693F01C" w14:textId="77777777" w:rsidR="001B532A" w:rsidRDefault="007924C5">
            <w:pPr>
              <w:pStyle w:val="P68B1DB1-a26"/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sz w:val="21"/>
                <w:szCs w:val="21"/>
              </w:rPr>
              <w:t>0 .0</w:t>
            </w:r>
            <w:r>
              <w:rPr>
                <w:rFonts w:ascii="Times New Roman" w:eastAsia="等线" w:hAnsi="Times New Roman" w:cs="Times New Roman" w:hint="eastAsia"/>
                <w:sz w:val="21"/>
                <w:szCs w:val="21"/>
              </w:rPr>
              <w:t>20</w:t>
            </w:r>
          </w:p>
        </w:tc>
      </w:tr>
    </w:tbl>
    <w:p w14:paraId="27BA8F28" w14:textId="77777777" w:rsidR="001B532A" w:rsidRDefault="007924C5">
      <w:pPr>
        <w:pStyle w:val="P68B1DB1-a20"/>
        <w:spacing w:line="480" w:lineRule="auto"/>
        <w:jc w:val="left"/>
      </w:pPr>
      <w:r>
        <w:t>Model1: unadjusted</w:t>
      </w:r>
    </w:p>
    <w:p w14:paraId="3B12ADED" w14:textId="77777777" w:rsidR="001B532A" w:rsidRDefault="007924C5">
      <w:pPr>
        <w:pStyle w:val="P68B1DB1-a20"/>
        <w:spacing w:line="480" w:lineRule="auto"/>
        <w:jc w:val="left"/>
      </w:pPr>
      <w:r>
        <w:t>Model2: adjusted for sex, age</w:t>
      </w:r>
    </w:p>
    <w:p w14:paraId="56A72002" w14:textId="77777777" w:rsidR="001B532A" w:rsidRDefault="007924C5">
      <w:pPr>
        <w:pStyle w:val="P68B1DB1-a20"/>
        <w:spacing w:line="480" w:lineRule="auto"/>
        <w:jc w:val="left"/>
      </w:pPr>
      <w:r>
        <w:t xml:space="preserve">Model3: adjusted for sex, age, </w:t>
      </w:r>
      <w:r>
        <w:rPr>
          <w:rFonts w:hint="eastAsia"/>
        </w:rPr>
        <w:t>HDL-C</w:t>
      </w:r>
    </w:p>
    <w:p w14:paraId="1D00736A" w14:textId="56534A89" w:rsidR="001B532A" w:rsidRDefault="007924C5">
      <w:pPr>
        <w:pStyle w:val="P68B1DB1-a20"/>
        <w:spacing w:line="480" w:lineRule="auto"/>
        <w:jc w:val="left"/>
      </w:pPr>
      <w:r w:rsidRPr="007924C5">
        <w:t>HDL-C : high-density lipoprotein cholesterol</w:t>
      </w:r>
    </w:p>
    <w:p w14:paraId="712BE37F" w14:textId="77777777" w:rsidR="001B532A" w:rsidRDefault="001B532A">
      <w:pPr>
        <w:pStyle w:val="P68B1DB1-a20"/>
        <w:spacing w:line="480" w:lineRule="auto"/>
        <w:jc w:val="left"/>
      </w:pPr>
    </w:p>
    <w:p w14:paraId="6483CE6E" w14:textId="77777777" w:rsidR="001B532A" w:rsidRDefault="001B532A">
      <w:pPr>
        <w:pStyle w:val="P68B1DB1-a14"/>
        <w:spacing w:line="480" w:lineRule="auto"/>
        <w:jc w:val="center"/>
        <w:rPr>
          <w:rFonts w:hint="default"/>
          <w:b/>
          <w:bCs/>
        </w:rPr>
      </w:pPr>
    </w:p>
    <w:p w14:paraId="2F934CC5" w14:textId="77777777" w:rsidR="001B532A" w:rsidRDefault="001B532A"/>
    <w:sectPr w:rsidR="001B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wZjNmN2Q2MTcwMGFiMjYyNjNhZjUzZGI2ZjJjNjMifQ=="/>
  </w:docVars>
  <w:rsids>
    <w:rsidRoot w:val="44F7220F"/>
    <w:rsid w:val="001B532A"/>
    <w:rsid w:val="001F3832"/>
    <w:rsid w:val="00587534"/>
    <w:rsid w:val="005D442D"/>
    <w:rsid w:val="007924C5"/>
    <w:rsid w:val="00851E69"/>
    <w:rsid w:val="009A1B33"/>
    <w:rsid w:val="04114331"/>
    <w:rsid w:val="185A1E28"/>
    <w:rsid w:val="1DCA5203"/>
    <w:rsid w:val="226B1815"/>
    <w:rsid w:val="2BB313F7"/>
    <w:rsid w:val="2F66253C"/>
    <w:rsid w:val="3BF22F7F"/>
    <w:rsid w:val="44F7220F"/>
    <w:rsid w:val="4907159F"/>
    <w:rsid w:val="50C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A4EAF"/>
  <w15:docId w15:val="{AB60CE12-33B4-4916-A89D-FD0DDA25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a35">
    <w:name w:val="P68B1DB1-a35"/>
    <w:basedOn w:val="a8"/>
    <w:qFormat/>
    <w:rPr>
      <w:rFonts w:ascii="Times New Roman" w:hAnsi="Times New Roman" w:cs="Times New Roman" w:hint="eastAsia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P68B1DB1-a36">
    <w:name w:val="P68B1DB1-a36"/>
    <w:basedOn w:val="a8"/>
    <w:qFormat/>
    <w:rPr>
      <w:rFonts w:ascii="Times New Roman" w:hAnsi="Times New Roman" w:cs="Times New Roman"/>
      <w:sz w:val="24"/>
    </w:rPr>
  </w:style>
  <w:style w:type="paragraph" w:customStyle="1" w:styleId="P68B1DB1-a7">
    <w:name w:val="P68B1DB1-a7"/>
    <w:basedOn w:val="a"/>
    <w:qFormat/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P68B1DB1-a8">
    <w:name w:val="P68B1DB1-a8"/>
    <w:basedOn w:val="a"/>
    <w:qFormat/>
    <w:rPr>
      <w:color w:val="000000"/>
      <w:kern w:val="0"/>
      <w:sz w:val="24"/>
    </w:rPr>
  </w:style>
  <w:style w:type="paragraph" w:customStyle="1" w:styleId="P68B1DB1-a9">
    <w:name w:val="P68B1DB1-a9"/>
    <w:basedOn w:val="a"/>
    <w:qFormat/>
    <w:rPr>
      <w:rFonts w:ascii="Times New Roman" w:eastAsia="宋体" w:hAnsi="Times New Roman" w:cs="Times New Roman"/>
      <w:color w:val="FF0000"/>
      <w:kern w:val="0"/>
      <w:sz w:val="24"/>
    </w:rPr>
  </w:style>
  <w:style w:type="paragraph" w:customStyle="1" w:styleId="P68B1DB1-a10">
    <w:name w:val="P68B1DB1-a10"/>
    <w:basedOn w:val="a"/>
    <w:qFormat/>
    <w:rPr>
      <w:color w:val="FF0000"/>
      <w:kern w:val="0"/>
      <w:sz w:val="24"/>
    </w:rPr>
  </w:style>
  <w:style w:type="paragraph" w:customStyle="1" w:styleId="P68B1DB1-a311">
    <w:name w:val="P68B1DB1-a311"/>
    <w:basedOn w:val="a8"/>
    <w:qFormat/>
    <w:rPr>
      <w:color w:val="000000"/>
      <w:kern w:val="0"/>
      <w:sz w:val="24"/>
    </w:rPr>
  </w:style>
  <w:style w:type="paragraph" w:customStyle="1" w:styleId="P68B1DB1-a312">
    <w:name w:val="P68B1DB1-a312"/>
    <w:basedOn w:val="a8"/>
    <w:qFormat/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P68B1DB1-a313">
    <w:name w:val="P68B1DB1-a313"/>
    <w:basedOn w:val="a8"/>
    <w:qFormat/>
    <w:rPr>
      <w:rFonts w:ascii="Times New Roman" w:eastAsia="宋体" w:hAnsi="Times New Roman" w:cs="Times New Roman"/>
      <w:color w:val="FF0000"/>
      <w:kern w:val="0"/>
      <w:sz w:val="24"/>
    </w:rPr>
  </w:style>
  <w:style w:type="paragraph" w:customStyle="1" w:styleId="P68B1DB1-a20">
    <w:name w:val="P68B1DB1-a20"/>
    <w:basedOn w:val="a"/>
    <w:qFormat/>
    <w:rPr>
      <w:rFonts w:ascii="Times New Roman" w:hAnsi="Times New Roman" w:cs="Times New Roman"/>
    </w:rPr>
  </w:style>
  <w:style w:type="paragraph" w:customStyle="1" w:styleId="P68B1DB1-a22">
    <w:name w:val="P68B1DB1-a22"/>
    <w:basedOn w:val="a"/>
    <w:qFormat/>
    <w:rPr>
      <w:rFonts w:ascii="Times New Roman" w:eastAsia="等线" w:hAnsi="Times New Roman" w:cs="Times New Roman"/>
      <w:color w:val="000000"/>
      <w:kern w:val="0"/>
      <w:sz w:val="22"/>
    </w:rPr>
  </w:style>
  <w:style w:type="paragraph" w:customStyle="1" w:styleId="P68B1DB1-a323">
    <w:name w:val="P68B1DB1-a323"/>
    <w:basedOn w:val="a8"/>
    <w:qFormat/>
    <w:rPr>
      <w:rFonts w:ascii="Times New Roman" w:hAnsi="Times New Roman" w:cs="Times New Roman"/>
    </w:rPr>
  </w:style>
  <w:style w:type="paragraph" w:customStyle="1" w:styleId="P68B1DB1-a14">
    <w:name w:val="P68B1DB1-a14"/>
    <w:basedOn w:val="a"/>
    <w:qFormat/>
    <w:rPr>
      <w:rFonts w:ascii="Times New Roman" w:hAnsi="Times New Roman" w:cs="Times New Roman" w:hint="eastAsia"/>
      <w:sz w:val="24"/>
    </w:rPr>
  </w:style>
  <w:style w:type="paragraph" w:customStyle="1" w:styleId="P68B1DB1-a15">
    <w:name w:val="P68B1DB1-a15"/>
    <w:basedOn w:val="a"/>
    <w:qFormat/>
    <w:rPr>
      <w:rFonts w:ascii="Times New Roman" w:eastAsia="等线" w:hAnsi="Times New Roman" w:cs="Times New Roman"/>
      <w:color w:val="000000"/>
      <w:kern w:val="0"/>
      <w:sz w:val="24"/>
    </w:rPr>
  </w:style>
  <w:style w:type="paragraph" w:customStyle="1" w:styleId="P68B1DB1-a16">
    <w:name w:val="P68B1DB1-a16"/>
    <w:basedOn w:val="a"/>
    <w:qFormat/>
    <w:rPr>
      <w:rFonts w:ascii="Times New Roman" w:eastAsia="宋体" w:cs="Times New Roman"/>
      <w:color w:val="000000"/>
      <w:kern w:val="0"/>
      <w:sz w:val="24"/>
    </w:rPr>
  </w:style>
  <w:style w:type="paragraph" w:customStyle="1" w:styleId="P68B1DB1-a17">
    <w:name w:val="P68B1DB1-a17"/>
    <w:basedOn w:val="a"/>
    <w:qFormat/>
    <w:rPr>
      <w:rFonts w:ascii="Times New Roman" w:eastAsia="等线" w:hAnsi="Times New Roman" w:cs="Times New Roman"/>
      <w:color w:val="FF0000"/>
      <w:kern w:val="0"/>
      <w:sz w:val="24"/>
    </w:rPr>
  </w:style>
  <w:style w:type="paragraph" w:customStyle="1" w:styleId="P68B1DB1-a325">
    <w:name w:val="P68B1DB1-a325"/>
    <w:basedOn w:val="a8"/>
    <w:qFormat/>
    <w:rPr>
      <w:rFonts w:ascii="Times New Roman" w:hAnsi="Times New Roman" w:cs="Times New Roman" w:hint="eastAsia"/>
    </w:rPr>
  </w:style>
  <w:style w:type="paragraph" w:customStyle="1" w:styleId="P68B1DB1-a26">
    <w:name w:val="P68B1DB1-a26"/>
    <w:basedOn w:val="a"/>
    <w:qFormat/>
    <w:rPr>
      <w:color w:val="000000"/>
      <w:kern w:val="0"/>
      <w:sz w:val="22"/>
    </w:rPr>
  </w:style>
  <w:style w:type="paragraph" w:customStyle="1" w:styleId="P68B1DB1-a27">
    <w:name w:val="P68B1DB1-a27"/>
    <w:basedOn w:val="a"/>
    <w:qFormat/>
    <w:rPr>
      <w:rFonts w:ascii="Times New Roman" w:eastAsia="等线" w:hAnsi="Times New Roman" w:cs="Times New Roman" w:hint="eastAsia"/>
      <w:color w:val="000000"/>
      <w:kern w:val="0"/>
      <w:sz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midnight1424159189</dc:creator>
  <cp:lastModifiedBy>周 辰霞</cp:lastModifiedBy>
  <cp:revision>5</cp:revision>
  <dcterms:created xsi:type="dcterms:W3CDTF">2023-04-25T10:15:00Z</dcterms:created>
  <dcterms:modified xsi:type="dcterms:W3CDTF">2024-08-26T04:32:00Z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369642A7C8414CD69E5D5032EA42DB02_11</vt:lpwstr>
  </property>
</Properties>
</file>