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hint="eastAsia"/>
          <w:b/>
          <w:bCs/>
          <w:sz w:val="28"/>
          <w:szCs w:val="28"/>
        </w:rPr>
      </w:pPr>
      <w:bookmarkStart w:id="2" w:name="_GoBack"/>
      <w:bookmarkEnd w:id="2"/>
      <w:r>
        <w:rPr>
          <w:rFonts w:hint="eastAsia"/>
          <w:b/>
          <w:bCs/>
          <w:sz w:val="28"/>
          <w:szCs w:val="28"/>
        </w:rPr>
        <w:t>Evaluation of Internet + home care services based on SERVQUAL model</w:t>
      </w:r>
    </w:p>
    <w:p>
      <w:pPr>
        <w:spacing w:line="300" w:lineRule="auto"/>
        <w:jc w:val="center"/>
        <w:rPr>
          <w:rFonts w:hint="eastAsia"/>
          <w:b/>
          <w:bCs/>
          <w:sz w:val="28"/>
          <w:szCs w:val="28"/>
        </w:rPr>
      </w:pPr>
      <w:r>
        <w:rPr>
          <w:rFonts w:hint="eastAsia"/>
          <w:b/>
          <w:bCs/>
          <w:sz w:val="28"/>
          <w:szCs w:val="28"/>
        </w:rPr>
        <w:t>Scale index was constructed by inquiry questionnaire</w:t>
      </w:r>
    </w:p>
    <w:p>
      <w:pPr>
        <w:spacing w:line="300" w:lineRule="auto"/>
        <w:jc w:val="center"/>
        <w:rPr>
          <w:rFonts w:hint="eastAsia"/>
          <w:b/>
          <w:bCs/>
          <w:sz w:val="28"/>
          <w:szCs w:val="28"/>
        </w:rPr>
      </w:pPr>
    </w:p>
    <w:p>
      <w:pPr>
        <w:spacing w:line="300" w:lineRule="auto"/>
        <w:jc w:val="center"/>
        <w:rPr>
          <w:b/>
          <w:bCs/>
          <w:sz w:val="28"/>
          <w:szCs w:val="28"/>
        </w:rPr>
      </w:pPr>
      <w:r>
        <w:rPr>
          <w:rFonts w:hint="eastAsia"/>
          <w:b/>
          <w:bCs/>
          <w:sz w:val="28"/>
          <w:szCs w:val="28"/>
        </w:rPr>
        <w:t>Expert letter inquiry questionnaire (first round)</w:t>
      </w:r>
    </w:p>
    <w:p>
      <w:pPr>
        <w:spacing w:line="360" w:lineRule="auto"/>
        <w:rPr>
          <w:rFonts w:hint="eastAsia"/>
          <w:sz w:val="24"/>
        </w:rPr>
      </w:pPr>
      <w:r>
        <w:rPr>
          <w:rFonts w:hint="eastAsia"/>
          <w:sz w:val="24"/>
        </w:rPr>
        <w:t xml:space="preserve"> Dear experts:</w:t>
      </w:r>
    </w:p>
    <w:p>
      <w:pPr>
        <w:spacing w:line="360" w:lineRule="auto"/>
        <w:ind w:firstLine="480" w:firstLineChars="200"/>
        <w:rPr>
          <w:sz w:val="24"/>
        </w:rPr>
      </w:pPr>
      <w:r>
        <w:rPr>
          <w:rFonts w:hint="eastAsia"/>
          <w:sz w:val="24"/>
        </w:rPr>
        <w:t>shalom! Invite you to attend our letter inquiry, thank you for taking time out of your busy schedule to fill in our letter inquiry form!</w:t>
      </w:r>
    </w:p>
    <w:p>
      <w:pPr>
        <w:spacing w:line="360" w:lineRule="auto"/>
        <w:ind w:firstLine="480" w:firstLineChars="200"/>
        <w:rPr>
          <w:rFonts w:hint="eastAsia"/>
          <w:sz w:val="24"/>
        </w:rPr>
      </w:pPr>
      <w:r>
        <w:rPr>
          <w:rFonts w:hint="eastAsia"/>
          <w:sz w:val="24"/>
        </w:rPr>
        <w:t xml:space="preserve"> What we are studying is the Internet + Home Care Service Quality Evaluation Scale index constructed based on the SERVQUAL model, so as to compile the Internet + Home Care Service Quality Questionnaire to improve the service quality.</w:t>
      </w:r>
    </w:p>
    <w:p>
      <w:pPr>
        <w:spacing w:line="360" w:lineRule="auto"/>
        <w:ind w:firstLine="480" w:firstLineChars="200"/>
        <w:rPr>
          <w:rFonts w:hint="eastAsia"/>
          <w:sz w:val="24"/>
        </w:rPr>
      </w:pPr>
      <w:r>
        <w:rPr>
          <w:rFonts w:hint="eastAsia"/>
          <w:sz w:val="24"/>
        </w:rPr>
        <w:t xml:space="preserve"> Given your academic attainments and management experience, invited you to fill in this questionnaire, please fill in detailed order, your opinion will be as we build Internet + home care service quality assessment scale index of important theoretical basis, the questionnaire content is limited to this study, not for other purposes, we will do the survey content strictly confidential.</w:t>
      </w:r>
    </w:p>
    <w:p>
      <w:pPr>
        <w:spacing w:line="360" w:lineRule="auto"/>
        <w:ind w:firstLine="480" w:firstLineChars="200"/>
        <w:rPr>
          <w:rFonts w:hint="eastAsia"/>
          <w:sz w:val="24"/>
        </w:rPr>
      </w:pPr>
      <w:r>
        <w:rPr>
          <w:rFonts w:hint="eastAsia"/>
          <w:sz w:val="24"/>
        </w:rPr>
        <w:t>This questionnaire is the first round of Delphi expert letter inquiry questionnaire of "Internet + Home Care Service Quality Evaluation Scale based on SERVQUAL model". Complete this expert letter inquiry needs to occupy some of your valuable time. Thank you very much for your understanding, support and cooperation! Due to the time, I sincerely hope that you can return the questionnaire within a week.</w:t>
      </w:r>
      <w:r>
        <w:rPr>
          <w:rFonts w:hint="eastAsia"/>
          <w:b/>
          <w:bCs/>
          <w:sz w:val="24"/>
        </w:rPr>
        <w:fldChar w:fldCharType="begin"/>
      </w:r>
      <w:r>
        <w:rPr>
          <w:rFonts w:hint="eastAsia"/>
          <w:b/>
          <w:bCs/>
          <w:sz w:val="24"/>
        </w:rPr>
        <w:instrText xml:space="preserve"> HYPERLINK "mailto:375857761@qq.com" </w:instrText>
      </w:r>
      <w:r>
        <w:rPr>
          <w:rFonts w:hint="eastAsia"/>
          <w:b/>
          <w:bCs/>
          <w:sz w:val="24"/>
        </w:rPr>
        <w:fldChar w:fldCharType="separate"/>
      </w:r>
      <w:r>
        <w:rPr>
          <w:rFonts w:hint="eastAsia"/>
          <w:b/>
          <w:bCs/>
          <w:sz w:val="24"/>
        </w:rPr>
        <w:fldChar w:fldCharType="end"/>
      </w:r>
      <w:r>
        <w:rPr>
          <w:rFonts w:hint="eastAsia"/>
          <w:sz w:val="24"/>
        </w:rPr>
        <w:t xml:space="preserve"> Tel.: 13606542154, email address: 375857761@qq.com 。We would be very grateful. I wish you good health and a smooth work!</w:t>
      </w:r>
    </w:p>
    <w:tbl>
      <w:tblPr>
        <w:tblStyle w:val="19"/>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5"/>
        <w:gridCol w:w="4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trPr>
        <w:tc>
          <w:tcPr>
            <w:tcW w:w="6035" w:type="dxa"/>
            <w:vAlign w:val="center"/>
          </w:tcPr>
          <w:p>
            <w:pPr>
              <w:spacing w:line="360" w:lineRule="auto"/>
              <w:ind w:firstLine="880" w:firstLineChars="200"/>
              <w:rPr>
                <w:sz w:val="44"/>
                <w:szCs w:val="44"/>
              </w:rPr>
            </w:pPr>
            <w:r>
              <w:rPr>
                <w:rFonts w:hint="eastAsia"/>
                <w:sz w:val="44"/>
                <w:szCs w:val="44"/>
              </w:rPr>
              <w:t>You are welcome to fill out the e-form</w:t>
            </w:r>
          </w:p>
        </w:tc>
        <w:tc>
          <w:tcPr>
            <w:tcW w:w="4563" w:type="dxa"/>
            <w:vAlign w:val="center"/>
          </w:tcPr>
          <w:p>
            <w:pPr>
              <w:spacing w:line="360" w:lineRule="auto"/>
              <w:jc w:val="center"/>
              <w:rPr>
                <w:rFonts w:hint="eastAsia"/>
                <w:sz w:val="44"/>
                <w:szCs w:val="44"/>
              </w:rPr>
            </w:pPr>
            <w:r>
              <w:rPr>
                <w:rFonts w:hint="eastAsia"/>
                <w:sz w:val="44"/>
                <w:szCs w:val="44"/>
              </w:rPr>
              <w:drawing>
                <wp:inline distT="0" distB="0" distL="114300" distR="114300">
                  <wp:extent cx="1160780" cy="1340485"/>
                  <wp:effectExtent l="0" t="0" r="1270" b="12065"/>
                  <wp:docPr id="1" name="图片 1" descr="居家护理德尔菲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居家护理德尔菲二维码"/>
                          <pic:cNvPicPr>
                            <a:picLocks noChangeAspect="1"/>
                          </pic:cNvPicPr>
                        </pic:nvPicPr>
                        <pic:blipFill>
                          <a:blip r:embed="rId8"/>
                          <a:stretch>
                            <a:fillRect/>
                          </a:stretch>
                        </pic:blipFill>
                        <pic:spPr>
                          <a:xfrm>
                            <a:off x="0" y="0"/>
                            <a:ext cx="1160780" cy="1340485"/>
                          </a:xfrm>
                          <a:prstGeom prst="rect">
                            <a:avLst/>
                          </a:prstGeom>
                          <a:noFill/>
                          <a:ln>
                            <a:noFill/>
                          </a:ln>
                        </pic:spPr>
                      </pic:pic>
                    </a:graphicData>
                  </a:graphic>
                </wp:inline>
              </w:drawing>
            </w:r>
          </w:p>
        </w:tc>
      </w:tr>
    </w:tbl>
    <w:p>
      <w:pPr>
        <w:spacing w:line="360" w:lineRule="auto"/>
        <w:rPr>
          <w:rFonts w:hint="eastAsia"/>
          <w:sz w:val="24"/>
        </w:rPr>
      </w:pPr>
    </w:p>
    <w:p>
      <w:pPr>
        <w:spacing w:line="360" w:lineRule="auto"/>
        <w:ind w:firstLine="480" w:firstLineChars="200"/>
        <w:jc w:val="center"/>
        <w:rPr>
          <w:rFonts w:hint="eastAsia"/>
          <w:sz w:val="24"/>
        </w:rPr>
      </w:pPr>
      <w:r>
        <w:rPr>
          <w:rFonts w:hint="eastAsia"/>
          <w:sz w:val="24"/>
        </w:rPr>
        <w:t xml:space="preserve"> Fill in the form:</w:t>
      </w:r>
    </w:p>
    <w:p>
      <w:pPr>
        <w:spacing w:line="360" w:lineRule="auto"/>
        <w:ind w:firstLine="482" w:firstLineChars="200"/>
        <w:rPr>
          <w:rFonts w:hint="eastAsia"/>
          <w:b/>
          <w:bCs/>
          <w:sz w:val="24"/>
        </w:rPr>
      </w:pPr>
      <w:r>
        <w:rPr>
          <w:rFonts w:hint="eastAsia"/>
          <w:b/>
          <w:bCs/>
          <w:sz w:val="24"/>
        </w:rPr>
        <w:t>1. This letter inquiry form is the first round of Delphi expert letter inquiry questionnaire, which is divided into three parts. The first part is a research introduction; the second part is formal letter content; the third part is the basic information sheet of experts.</w:t>
      </w:r>
    </w:p>
    <w:p>
      <w:pPr>
        <w:spacing w:line="360" w:lineRule="auto"/>
        <w:ind w:firstLine="480" w:firstLineChars="200"/>
        <w:rPr>
          <w:rFonts w:hint="eastAsia" w:eastAsia="宋体"/>
          <w:sz w:val="24"/>
          <w:lang w:eastAsia="zh-CN"/>
        </w:rPr>
      </w:pPr>
      <w:r>
        <w:rPr>
          <w:rFonts w:hint="eastAsia"/>
          <w:sz w:val="24"/>
        </w:rPr>
        <w:t>2. In the second part, we divide the indicators into first-level indicators and second-level indicators. When you fill in the form, please judge whether each index item belongs to the corresponding classification, and make a choice according to the order of "5 is very important, 4 important, 3 is generally important, 2 is not very important, 1 is not important". If you have other suggestions, please fill in "Do you need to add or remove an indicator".</w:t>
      </w:r>
    </w:p>
    <w:p>
      <w:pPr>
        <w:spacing w:line="360" w:lineRule="auto"/>
        <w:ind w:firstLine="480" w:firstLineChars="200"/>
        <w:jc w:val="both"/>
        <w:rPr>
          <w:b/>
          <w:sz w:val="28"/>
          <w:szCs w:val="28"/>
        </w:rPr>
      </w:pPr>
      <w:r>
        <w:rPr>
          <w:rFonts w:hint="eastAsia"/>
          <w:sz w:val="24"/>
        </w:rPr>
        <w:t>3. In the third part, you can directly fill in the corresponding column.</w:t>
      </w:r>
      <w:r>
        <w:rPr>
          <w:sz w:val="24"/>
        </w:rPr>
        <w:br w:type="page"/>
      </w:r>
      <w:r>
        <w:rPr>
          <w:rFonts w:hint="eastAsia"/>
          <w:b/>
          <w:sz w:val="24"/>
          <w:szCs w:val="0"/>
        </w:rPr>
        <w:t xml:space="preserve"> Part I, Study Introduction</w:t>
      </w:r>
    </w:p>
    <w:p>
      <w:pPr>
        <w:spacing w:line="360" w:lineRule="auto"/>
        <w:ind w:firstLine="480" w:firstLineChars="200"/>
        <w:rPr>
          <w:rFonts w:hint="eastAsia"/>
          <w:sz w:val="24"/>
        </w:rPr>
      </w:pPr>
      <w:r>
        <w:rPr>
          <w:rFonts w:hint="eastAsia"/>
          <w:sz w:val="24"/>
        </w:rPr>
        <w:t xml:space="preserve"> China has officially entered the aging society, and the demand for elderly care services is also increasing. The increase of the elderly population means that higher requirements for medical services should be set. However, there is still a shortage and imbalance of medical resources in China. The traditional medical service model has failed to meet the demand for mass medical services, and the demand for home care services has increased sharply.</w:t>
      </w:r>
    </w:p>
    <w:p>
      <w:pPr>
        <w:spacing w:line="360" w:lineRule="auto"/>
        <w:ind w:firstLine="240" w:firstLineChars="100"/>
        <w:rPr>
          <w:sz w:val="24"/>
        </w:rPr>
      </w:pPr>
      <w:r>
        <w:rPr>
          <w:rFonts w:hint="eastAsia"/>
          <w:sz w:val="24"/>
        </w:rPr>
        <w:t>"Internet + home care service" as a new medical service model is in the ascendant. The purpose of this study is to develop the scale index suitable for evaluating the Internet + Home Care Service Quality Evaluation, and to compile the Internet + Home Care Service Quality Questionnaire.</w:t>
      </w:r>
    </w:p>
    <w:p>
      <w:pPr>
        <w:spacing w:line="360" w:lineRule="auto"/>
        <w:ind w:firstLine="480" w:firstLineChars="200"/>
        <w:rPr>
          <w:rFonts w:hint="eastAsia"/>
          <w:sz w:val="24"/>
        </w:rPr>
      </w:pPr>
      <w:r>
        <w:rPr>
          <w:rFonts w:hint="eastAsia"/>
          <w:sz w:val="24"/>
        </w:rPr>
        <w:t xml:space="preserve"> SERVQUAL Model is a tool to measure the quality of service, its theoretical core is "service quality gap model", namely the quality of service depends on the difference between the service level (also known as "expectation-perception" model), the user's expectation is the prerequisite for quality service, the key to provide quality service is to exceed the user's expectations. For each index in the evaluation scale, two scores (1-7 points) are given for the service expectation value and service expectation value and service perception value. The "SERVQUAL score = feeling service score" is calculated to evaluate the service quality. A positive SERVQUAL score indicates good service quality; a positive SERVQUAL score of 0 indicates satisfactory general service quality; and a negative SERVQUAL score indicates poor service quality.</w:t>
      </w:r>
    </w:p>
    <w:p>
      <w:pPr>
        <w:spacing w:line="360" w:lineRule="auto"/>
        <w:ind w:firstLine="480" w:firstLineChars="200"/>
        <w:rPr>
          <w:rFonts w:hint="eastAsia"/>
          <w:b/>
          <w:bCs/>
          <w:sz w:val="24"/>
        </w:rPr>
      </w:pPr>
      <w:r>
        <w:rPr>
          <w:rFonts w:hint="eastAsia"/>
          <w:sz w:val="24"/>
        </w:rPr>
        <w:t>Application of this scale is "Internet + home care" users, on the basis of SERVQUAL, from the perspective of the user, the service quality evaluation, through five dimensions (tangible, reliability, responsiveness, guarantee, empathy) study "Internet + home care" service quality, understand the user demand for service, improve service quality, increase the competitiveness of similar services, to provide a better level of home endowment service. The evaluation model, as an important theoretical basis for constructing the index of Internet + home care service quality evaluation scale, will evaluate the service quality. In the early stage of the study, the research group conducted literature search and semi-structure interview, and proposed 5 first-level indicators (five dimensions of SERVQUAL model) and 15 second-level indicators (selected from 22 indicators related to SERVQUAL model).</w:t>
      </w:r>
    </w:p>
    <w:p>
      <w:pPr>
        <w:spacing w:line="360" w:lineRule="auto"/>
        <w:rPr>
          <w:rFonts w:hint="eastAsia"/>
          <w:b/>
          <w:bCs/>
          <w:sz w:val="24"/>
        </w:rPr>
      </w:pPr>
      <w:r>
        <w:rPr>
          <w:rFonts w:hint="eastAsia"/>
          <w:b/>
          <w:bCs/>
          <w:sz w:val="24"/>
        </w:rPr>
        <w:t>Primary indicator 1: Tangibles</w:t>
      </w:r>
    </w:p>
    <w:p>
      <w:pPr>
        <w:spacing w:line="360" w:lineRule="auto"/>
        <w:rPr>
          <w:rFonts w:hint="eastAsia"/>
          <w:b/>
          <w:bCs/>
          <w:sz w:val="24"/>
        </w:rPr>
      </w:pPr>
      <w:r>
        <w:rPr>
          <w:rFonts w:hint="eastAsia"/>
          <w:b/>
          <w:bCs/>
          <w:sz w:val="24"/>
        </w:rPr>
        <w:t>Level 1 indicator 2: Reliability</w:t>
      </w:r>
    </w:p>
    <w:p>
      <w:pPr>
        <w:spacing w:line="360" w:lineRule="auto"/>
        <w:rPr>
          <w:rFonts w:hint="eastAsia"/>
          <w:b/>
          <w:bCs/>
          <w:sz w:val="24"/>
        </w:rPr>
      </w:pPr>
      <w:r>
        <w:rPr>
          <w:rFonts w:hint="eastAsia"/>
          <w:b/>
          <w:bCs/>
          <w:sz w:val="24"/>
        </w:rPr>
        <w:t>Level 1 index 3: Responsiveness</w:t>
      </w:r>
    </w:p>
    <w:p>
      <w:pPr>
        <w:spacing w:line="360" w:lineRule="auto"/>
        <w:rPr>
          <w:rFonts w:hint="eastAsia"/>
          <w:b/>
          <w:bCs/>
          <w:sz w:val="24"/>
        </w:rPr>
      </w:pPr>
      <w:r>
        <w:rPr>
          <w:rFonts w:hint="eastAsia"/>
          <w:b/>
          <w:bCs/>
          <w:sz w:val="24"/>
        </w:rPr>
        <w:t>Level 1 index 4: Assurance</w:t>
      </w:r>
    </w:p>
    <w:p>
      <w:pPr>
        <w:spacing w:line="360" w:lineRule="auto"/>
        <w:rPr>
          <w:rFonts w:hint="eastAsia"/>
          <w:b/>
          <w:bCs/>
          <w:sz w:val="24"/>
        </w:rPr>
      </w:pPr>
      <w:r>
        <w:rPr>
          <w:rFonts w:hint="eastAsia"/>
          <w:b/>
          <w:bCs/>
          <w:sz w:val="24"/>
        </w:rPr>
        <w:t>Level 1 index 5: Empathy</w:t>
      </w:r>
    </w:p>
    <w:p>
      <w:pPr>
        <w:pStyle w:val="25"/>
        <w:spacing w:line="300" w:lineRule="auto"/>
        <w:ind w:firstLine="0" w:firstLineChars="0"/>
        <w:jc w:val="center"/>
        <w:rPr>
          <w:rFonts w:hint="eastAsia"/>
          <w:b/>
          <w:bCs w:val="0"/>
          <w:sz w:val="28"/>
          <w:szCs w:val="28"/>
        </w:rPr>
      </w:pPr>
      <w:r>
        <w:rPr>
          <w:rFonts w:hint="eastAsia"/>
          <w:b/>
          <w:bCs w:val="0"/>
          <w:sz w:val="28"/>
          <w:szCs w:val="28"/>
        </w:rPr>
        <w:t>The second part of the formal letter inquiry content</w:t>
      </w:r>
    </w:p>
    <w:p>
      <w:pPr>
        <w:jc w:val="center"/>
        <w:rPr>
          <w:b/>
          <w:sz w:val="28"/>
          <w:szCs w:val="28"/>
        </w:rPr>
      </w:pPr>
      <w:r>
        <w:rPr>
          <w:rFonts w:hint="eastAsia"/>
          <w:b/>
          <w:bCs/>
          <w:sz w:val="28"/>
          <w:szCs w:val="28"/>
        </w:rPr>
        <w:t xml:space="preserve"> Internet + Home Care Service quality evaluation scale index based on SERVQUAL model</w:t>
      </w:r>
    </w:p>
    <w:p>
      <w:pPr>
        <w:pStyle w:val="11"/>
        <w:spacing w:before="156" w:beforeLines="50" w:after="156" w:afterLines="50" w:line="300" w:lineRule="auto"/>
        <w:ind w:firstLine="480" w:firstLineChars="200"/>
        <w:jc w:val="left"/>
        <w:rPr>
          <w:b w:val="0"/>
          <w:bCs/>
        </w:rPr>
        <w:sectPr>
          <w:headerReference r:id="rId3" w:type="default"/>
          <w:footerReference r:id="rId4" w:type="default"/>
          <w:pgSz w:w="11906" w:h="16838"/>
          <w:pgMar w:top="720" w:right="720" w:bottom="720" w:left="720" w:header="737" w:footer="737" w:gutter="0"/>
          <w:cols w:space="720" w:num="1"/>
          <w:docGrid w:type="lines" w:linePitch="312" w:charSpace="0"/>
        </w:sectPr>
      </w:pPr>
      <w:r>
        <w:rPr>
          <w:rFonts w:hint="eastAsia"/>
          <w:b w:val="0"/>
          <w:bCs/>
        </w:rPr>
        <w:t>The contents of the letter inquiry include two tables, namely Table 1 letter inquiry scores and opinions on first level indicators, and Table 2 letter inquiry scores and opinions on second level indicators.</w:t>
      </w:r>
    </w:p>
    <w:p>
      <w:pPr>
        <w:pStyle w:val="11"/>
        <w:spacing w:before="158" w:beforeLines="50" w:after="158" w:afterLines="50" w:line="300" w:lineRule="auto"/>
        <w:rPr>
          <w:sz w:val="32"/>
          <w:szCs w:val="32"/>
        </w:rPr>
      </w:pPr>
      <w:r>
        <w:rPr>
          <w:sz w:val="28"/>
          <w:szCs w:val="28"/>
        </w:rPr>
        <w:fldChar w:fldCharType="begin"/>
      </w:r>
      <w:r>
        <w:rPr>
          <w:sz w:val="28"/>
          <w:szCs w:val="28"/>
        </w:rPr>
        <w:instrText xml:space="preserve"> SEQ 表 \* ARABIC </w:instrText>
      </w:r>
      <w:r>
        <w:rPr>
          <w:sz w:val="28"/>
          <w:szCs w:val="28"/>
        </w:rPr>
        <w:fldChar w:fldCharType="separate"/>
      </w:r>
      <w:r>
        <w:rPr>
          <w:sz w:val="28"/>
          <w:szCs w:val="28"/>
        </w:rPr>
        <w:fldChar w:fldCharType="end"/>
      </w:r>
      <w:r>
        <w:rPr>
          <w:sz w:val="28"/>
          <w:szCs w:val="28"/>
        </w:rPr>
        <w:t xml:space="preserve"> Table 1 Letter inquiry scores and opinions on first-level indicators</w:t>
      </w:r>
    </w:p>
    <w:p>
      <w:pPr>
        <w:pStyle w:val="25"/>
        <w:spacing w:before="158" w:beforeLines="50" w:after="158" w:afterLines="50" w:line="300" w:lineRule="auto"/>
        <w:ind w:firstLine="0" w:firstLineChars="0"/>
      </w:pPr>
      <w:r>
        <w:rPr>
          <w:rFonts w:hint="eastAsia"/>
          <w:szCs w:val="24"/>
        </w:rPr>
        <w:sym w:font="Wingdings 2" w:char="F050"/>
      </w:r>
      <w:r>
        <w:rPr>
          <w:rFonts w:hint="eastAsia"/>
          <w:szCs w:val="24"/>
        </w:rPr>
        <w:t>Fill in the form: Please score the importance of the first-level index items (mark "" in the scoring box or the number); but also hope that you will be able to modify or add comments on the "expression of the first-level index item", "description of the first-level index item" and "whether to add or delete a level index".</w:t>
      </w:r>
    </w:p>
    <w:tbl>
      <w:tblPr>
        <w:tblStyle w:val="19"/>
        <w:tblW w:w="15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4517"/>
        <w:gridCol w:w="1420"/>
        <w:gridCol w:w="1420"/>
        <w:gridCol w:w="1420"/>
        <w:gridCol w:w="1420"/>
        <w:gridCol w:w="1630"/>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264" w:type="dxa"/>
            <w:gridSpan w:val="2"/>
            <w:vAlign w:val="center"/>
          </w:tcPr>
          <w:p>
            <w:pPr>
              <w:jc w:val="center"/>
              <w:rPr>
                <w:rFonts w:hint="eastAsia" w:ascii="宋体" w:hAnsi="宋体" w:cs="宋体"/>
                <w:color w:val="000000"/>
                <w:kern w:val="0"/>
                <w:sz w:val="24"/>
                <w:lang w:bidi="ar"/>
              </w:rPr>
            </w:pPr>
            <w:bookmarkStart w:id="0" w:name="OLE_LINK11" w:colFirst="0" w:colLast="2"/>
            <w:bookmarkStart w:id="1" w:name="OLE_LINK10" w:colFirst="0" w:colLast="8"/>
            <w:r>
              <w:rPr>
                <w:rFonts w:hint="eastAsia"/>
                <w:b/>
                <w:bCs/>
                <w:szCs w:val="21"/>
              </w:rPr>
              <w:t>Level 1 index entry</w:t>
            </w:r>
          </w:p>
        </w:tc>
        <w:tc>
          <w:tcPr>
            <w:tcW w:w="7310" w:type="dxa"/>
            <w:gridSpan w:val="5"/>
            <w:vAlign w:val="center"/>
          </w:tcPr>
          <w:p>
            <w:pPr>
              <w:jc w:val="center"/>
              <w:rPr>
                <w:rFonts w:ascii="宋体" w:hAnsi="宋体" w:cs="宋体"/>
                <w:color w:val="000000"/>
                <w:kern w:val="0"/>
                <w:sz w:val="24"/>
                <w:lang w:bidi="ar"/>
              </w:rPr>
            </w:pPr>
            <w:r>
              <w:rPr>
                <w:rFonts w:hint="eastAsia"/>
                <w:b/>
                <w:bCs/>
                <w:szCs w:val="21"/>
              </w:rPr>
              <w:t>Importance score of the first-level index entry</w:t>
            </w:r>
          </w:p>
        </w:tc>
        <w:tc>
          <w:tcPr>
            <w:tcW w:w="2343" w:type="dxa"/>
            <w:vMerge w:val="restart"/>
            <w:vAlign w:val="center"/>
          </w:tcPr>
          <w:p>
            <w:pPr>
              <w:jc w:val="center"/>
              <w:rPr>
                <w:b/>
                <w:bCs/>
                <w:szCs w:val="21"/>
              </w:rPr>
            </w:pPr>
            <w:r>
              <w:rPr>
                <w:rFonts w:hint="eastAsia"/>
                <w:b/>
                <w:bCs/>
                <w:szCs w:val="21"/>
              </w:rPr>
              <w:t>Modification of the level 1 indicators</w:t>
            </w:r>
          </w:p>
          <w:p>
            <w:pPr>
              <w:jc w:val="center"/>
              <w:rPr>
                <w:rFonts w:hint="eastAsia" w:ascii="宋体" w:hAnsi="宋体" w:cs="宋体"/>
                <w:color w:val="000000"/>
                <w:kern w:val="0"/>
                <w:sz w:val="24"/>
                <w:lang w:bidi="ar"/>
              </w:rPr>
            </w:pPr>
            <w:r>
              <w:rPr>
                <w:rFonts w:hint="eastAsia"/>
                <w:b/>
                <w:bCs/>
                <w:szCs w:val="21"/>
              </w:rPr>
              <w:t>And supplementary opinions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47"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Level 1 index entry</w:t>
            </w:r>
          </w:p>
        </w:tc>
        <w:tc>
          <w:tcPr>
            <w:tcW w:w="4517"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explanation</w:t>
            </w:r>
          </w:p>
        </w:tc>
        <w:tc>
          <w:tcPr>
            <w:tcW w:w="142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5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(very important)</w:t>
            </w:r>
          </w:p>
        </w:tc>
        <w:tc>
          <w:tcPr>
            <w:tcW w:w="142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4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(important)</w:t>
            </w:r>
          </w:p>
        </w:tc>
        <w:tc>
          <w:tcPr>
            <w:tcW w:w="142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Three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(Generally important)</w:t>
            </w:r>
          </w:p>
        </w:tc>
        <w:tc>
          <w:tcPr>
            <w:tcW w:w="142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Two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(Not too important)</w:t>
            </w:r>
          </w:p>
        </w:tc>
        <w:tc>
          <w:tcPr>
            <w:tcW w:w="1630"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1 Points</w:t>
            </w:r>
          </w:p>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(Very unimportant)</w:t>
            </w:r>
          </w:p>
        </w:tc>
        <w:tc>
          <w:tcPr>
            <w:tcW w:w="2343" w:type="dxa"/>
            <w:vMerge w:val="continue"/>
            <w:vAlign w:val="center"/>
          </w:tcPr>
          <w:p>
            <w:pPr>
              <w:ind w:firstLine="480" w:firstLineChars="200"/>
              <w:jc w:val="center"/>
              <w:rPr>
                <w:rFonts w:hint="eastAsia" w:ascii="宋体" w:hAnsi="宋体" w:cs="宋体"/>
                <w:color w:val="000000"/>
                <w:kern w:val="0"/>
                <w:sz w:val="24"/>
                <w:lang w:bidi="ar"/>
              </w:rPr>
            </w:pPr>
          </w:p>
        </w:tc>
      </w:tr>
      <w:bookmarkEnd w:id="0"/>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blHeader/>
          <w:jc w:val="center"/>
        </w:trPr>
        <w:tc>
          <w:tcPr>
            <w:tcW w:w="1747" w:type="dxa"/>
            <w:vAlign w:val="center"/>
          </w:tcPr>
          <w:p>
            <w:pPr>
              <w:pStyle w:val="25"/>
              <w:spacing w:line="240" w:lineRule="auto"/>
              <w:ind w:firstLine="0" w:firstLineChars="0"/>
              <w:jc w:val="center"/>
              <w:rPr>
                <w:rFonts w:hint="eastAsia"/>
                <w:b/>
                <w:bCs w:val="0"/>
                <w:szCs w:val="21"/>
              </w:rPr>
            </w:pPr>
            <w:r>
              <w:rPr>
                <w:rFonts w:hint="eastAsia"/>
                <w:b/>
                <w:szCs w:val="24"/>
              </w:rPr>
              <w:t>1 Tangibles</w:t>
            </w:r>
          </w:p>
        </w:tc>
        <w:tc>
          <w:tcPr>
            <w:tcW w:w="4517" w:type="dxa"/>
            <w:vAlign w:val="center"/>
          </w:tcPr>
          <w:p>
            <w:pPr>
              <w:jc w:val="left"/>
              <w:rPr>
                <w:sz w:val="24"/>
              </w:rPr>
            </w:pPr>
            <w:r>
              <w:rPr>
                <w:rFonts w:hint="eastAsia" w:ascii="微软雅黑" w:hAnsi="微软雅黑" w:eastAsia="微软雅黑" w:cs="微软雅黑"/>
                <w:sz w:val="18"/>
                <w:szCs w:val="18"/>
              </w:rPr>
              <w:t>Service-related facilities and circumstances are directly perceived by service users; for example, the information platform, service provider’s personal image, and performance.</w:t>
            </w:r>
          </w:p>
        </w:tc>
        <w:tc>
          <w:tcPr>
            <w:tcW w:w="1420" w:type="dxa"/>
            <w:vAlign w:val="center"/>
          </w:tcPr>
          <w:p>
            <w:pPr>
              <w:jc w:val="center"/>
              <w:rPr>
                <w:szCs w:val="21"/>
              </w:rPr>
            </w:pPr>
          </w:p>
        </w:tc>
        <w:tc>
          <w:tcPr>
            <w:tcW w:w="1420" w:type="dxa"/>
            <w:vAlign w:val="center"/>
          </w:tcPr>
          <w:p>
            <w:pPr>
              <w:jc w:val="center"/>
              <w:rPr>
                <w:szCs w:val="21"/>
              </w:rPr>
            </w:pPr>
          </w:p>
        </w:tc>
        <w:tc>
          <w:tcPr>
            <w:tcW w:w="1420" w:type="dxa"/>
            <w:vAlign w:val="center"/>
          </w:tcPr>
          <w:p>
            <w:pPr>
              <w:jc w:val="center"/>
              <w:rPr>
                <w:rFonts w:hint="eastAsia"/>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747" w:type="dxa"/>
            <w:vAlign w:val="center"/>
          </w:tcPr>
          <w:p>
            <w:pPr>
              <w:pStyle w:val="25"/>
              <w:spacing w:line="240" w:lineRule="auto"/>
              <w:ind w:firstLine="0" w:firstLineChars="0"/>
              <w:jc w:val="center"/>
              <w:rPr>
                <w:rFonts w:hint="eastAsia"/>
                <w:b/>
                <w:bCs w:val="0"/>
                <w:szCs w:val="21"/>
              </w:rPr>
            </w:pPr>
            <w:r>
              <w:rPr>
                <w:rFonts w:hint="eastAsia"/>
                <w:b/>
                <w:szCs w:val="24"/>
              </w:rPr>
              <w:t>2 Reliability</w:t>
            </w:r>
          </w:p>
        </w:tc>
        <w:tc>
          <w:tcPr>
            <w:tcW w:w="4517" w:type="dxa"/>
            <w:vAlign w:val="center"/>
          </w:tcPr>
          <w:p>
            <w:pPr>
              <w:jc w:val="left"/>
              <w:rPr>
                <w:sz w:val="24"/>
              </w:rPr>
            </w:pPr>
            <w:r>
              <w:rPr>
                <w:rFonts w:hint="eastAsia" w:ascii="微软雅黑" w:hAnsi="微软雅黑" w:eastAsia="微软雅黑" w:cs="微软雅黑"/>
                <w:sz w:val="18"/>
                <w:szCs w:val="18"/>
              </w:rPr>
              <w:t>The ability of the Internet+ HCN service to provide reliable services, which accurately meet user’s service demand, and the ability to guarantee service execution.</w:t>
            </w:r>
          </w:p>
        </w:tc>
        <w:tc>
          <w:tcPr>
            <w:tcW w:w="1420" w:type="dxa"/>
            <w:vAlign w:val="center"/>
          </w:tcPr>
          <w:p>
            <w:pPr>
              <w:jc w:val="center"/>
              <w:rPr>
                <w:szCs w:val="21"/>
              </w:rPr>
            </w:pPr>
          </w:p>
        </w:tc>
        <w:tc>
          <w:tcPr>
            <w:tcW w:w="1420" w:type="dxa"/>
            <w:vAlign w:val="center"/>
          </w:tcPr>
          <w:p>
            <w:pPr>
              <w:jc w:val="center"/>
              <w:rPr>
                <w:rFonts w:hint="eastAsia"/>
                <w:szCs w:val="21"/>
              </w:rPr>
            </w:pPr>
          </w:p>
        </w:tc>
        <w:tc>
          <w:tcPr>
            <w:tcW w:w="1420" w:type="dxa"/>
            <w:vAlign w:val="center"/>
          </w:tcPr>
          <w:p>
            <w:pPr>
              <w:jc w:val="center"/>
              <w:rPr>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747" w:type="dxa"/>
            <w:vAlign w:val="center"/>
          </w:tcPr>
          <w:p>
            <w:pPr>
              <w:pStyle w:val="25"/>
              <w:spacing w:line="240" w:lineRule="auto"/>
              <w:ind w:firstLine="0" w:firstLineChars="0"/>
              <w:jc w:val="center"/>
              <w:rPr>
                <w:b/>
                <w:bCs w:val="0"/>
                <w:szCs w:val="21"/>
              </w:rPr>
            </w:pPr>
            <w:r>
              <w:rPr>
                <w:rFonts w:hint="eastAsia"/>
                <w:b/>
                <w:szCs w:val="24"/>
              </w:rPr>
              <w:t>3 Responsiveness</w:t>
            </w:r>
          </w:p>
        </w:tc>
        <w:tc>
          <w:tcPr>
            <w:tcW w:w="4517" w:type="dxa"/>
            <w:vAlign w:val="center"/>
          </w:tcPr>
          <w:p>
            <w:pPr>
              <w:jc w:val="left"/>
              <w:rPr>
                <w:rFonts w:hint="eastAsia"/>
                <w:sz w:val="24"/>
              </w:rPr>
            </w:pPr>
            <w:r>
              <w:rPr>
                <w:rFonts w:hint="eastAsia" w:ascii="微软雅黑" w:hAnsi="微软雅黑" w:eastAsia="微软雅黑" w:cs="微软雅黑"/>
                <w:sz w:val="18"/>
                <w:szCs w:val="18"/>
              </w:rPr>
              <w:t>The ability of responding to users’ service demands.</w:t>
            </w:r>
          </w:p>
        </w:tc>
        <w:tc>
          <w:tcPr>
            <w:tcW w:w="1420" w:type="dxa"/>
            <w:vAlign w:val="center"/>
          </w:tcPr>
          <w:p>
            <w:pPr>
              <w:jc w:val="center"/>
              <w:rPr>
                <w:rFonts w:cs="Calibri"/>
                <w:kern w:val="0"/>
                <w:sz w:val="22"/>
                <w:szCs w:val="22"/>
              </w:rPr>
            </w:pPr>
          </w:p>
        </w:tc>
        <w:tc>
          <w:tcPr>
            <w:tcW w:w="1420" w:type="dxa"/>
            <w:vAlign w:val="center"/>
          </w:tcPr>
          <w:p>
            <w:pPr>
              <w:jc w:val="center"/>
              <w:rPr>
                <w:szCs w:val="21"/>
              </w:rPr>
            </w:pPr>
          </w:p>
        </w:tc>
        <w:tc>
          <w:tcPr>
            <w:tcW w:w="1420" w:type="dxa"/>
            <w:vAlign w:val="center"/>
          </w:tcPr>
          <w:p>
            <w:pPr>
              <w:jc w:val="center"/>
              <w:rPr>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747" w:type="dxa"/>
            <w:vAlign w:val="center"/>
          </w:tcPr>
          <w:p>
            <w:pPr>
              <w:pStyle w:val="25"/>
              <w:spacing w:line="240" w:lineRule="auto"/>
              <w:ind w:firstLine="0" w:firstLineChars="0"/>
              <w:jc w:val="center"/>
              <w:rPr>
                <w:rFonts w:hint="eastAsia"/>
                <w:b/>
                <w:bCs w:val="0"/>
                <w:szCs w:val="21"/>
              </w:rPr>
            </w:pPr>
            <w:r>
              <w:rPr>
                <w:rFonts w:hint="eastAsia"/>
                <w:b/>
                <w:szCs w:val="24"/>
              </w:rPr>
              <w:t>4 Assurance</w:t>
            </w:r>
          </w:p>
        </w:tc>
        <w:tc>
          <w:tcPr>
            <w:tcW w:w="4517" w:type="dxa"/>
            <w:vAlign w:val="center"/>
          </w:tcPr>
          <w:p>
            <w:pPr>
              <w:jc w:val="left"/>
              <w:rPr>
                <w:rFonts w:hint="eastAsia" w:eastAsia="微软雅黑"/>
                <w:sz w:val="24"/>
                <w:lang w:val="en-US" w:eastAsia="zh-CN"/>
              </w:rPr>
            </w:pPr>
            <w:r>
              <w:rPr>
                <w:rFonts w:hint="eastAsia" w:ascii="微软雅黑" w:hAnsi="微软雅黑" w:eastAsia="微软雅黑" w:cs="微软雅黑"/>
                <w:sz w:val="18"/>
                <w:szCs w:val="18"/>
              </w:rPr>
              <w:t>The relevant ability of the platform, agent, and provider to gain trust from the service user; for example, provider’s knowledge, skill, and attitude</w:t>
            </w:r>
            <w:r>
              <w:rPr>
                <w:rFonts w:hint="eastAsia" w:ascii="微软雅黑" w:hAnsi="微软雅黑" w:eastAsia="微软雅黑" w:cs="微软雅黑"/>
                <w:sz w:val="18"/>
                <w:szCs w:val="18"/>
                <w:lang w:val="en-US" w:eastAsia="zh-CN"/>
              </w:rPr>
              <w:t>.</w:t>
            </w:r>
          </w:p>
        </w:tc>
        <w:tc>
          <w:tcPr>
            <w:tcW w:w="1420" w:type="dxa"/>
            <w:vAlign w:val="center"/>
          </w:tcPr>
          <w:p>
            <w:pPr>
              <w:jc w:val="center"/>
              <w:rPr>
                <w:rFonts w:cs="Calibri"/>
                <w:kern w:val="0"/>
                <w:sz w:val="22"/>
                <w:szCs w:val="22"/>
              </w:rPr>
            </w:pPr>
          </w:p>
        </w:tc>
        <w:tc>
          <w:tcPr>
            <w:tcW w:w="1420" w:type="dxa"/>
            <w:vAlign w:val="center"/>
          </w:tcPr>
          <w:p>
            <w:pPr>
              <w:jc w:val="center"/>
              <w:rPr>
                <w:szCs w:val="21"/>
              </w:rPr>
            </w:pPr>
          </w:p>
        </w:tc>
        <w:tc>
          <w:tcPr>
            <w:tcW w:w="1420" w:type="dxa"/>
            <w:vAlign w:val="center"/>
          </w:tcPr>
          <w:p>
            <w:pPr>
              <w:jc w:val="center"/>
              <w:rPr>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747" w:type="dxa"/>
            <w:vAlign w:val="center"/>
          </w:tcPr>
          <w:p>
            <w:pPr>
              <w:jc w:val="center"/>
              <w:rPr>
                <w:b/>
                <w:bCs/>
                <w:szCs w:val="21"/>
              </w:rPr>
            </w:pPr>
            <w:r>
              <w:rPr>
                <w:rFonts w:hint="eastAsia"/>
                <w:b/>
                <w:bCs/>
                <w:sz w:val="24"/>
              </w:rPr>
              <w:t>5 Empathy</w:t>
            </w:r>
          </w:p>
        </w:tc>
        <w:tc>
          <w:tcPr>
            <w:tcW w:w="4517" w:type="dxa"/>
            <w:vAlign w:val="center"/>
          </w:tcPr>
          <w:p>
            <w:pPr>
              <w:jc w:val="left"/>
              <w:rPr>
                <w:rFonts w:hint="eastAsia"/>
                <w:sz w:val="24"/>
              </w:rPr>
            </w:pPr>
            <w:r>
              <w:rPr>
                <w:rFonts w:hint="eastAsia" w:ascii="微软雅黑" w:hAnsi="微软雅黑" w:eastAsia="微软雅黑" w:cs="微软雅黑"/>
                <w:sz w:val="18"/>
                <w:szCs w:val="18"/>
              </w:rPr>
              <w:t>The ability of the platform, agent, and provider to attract the adhesiveness of the users.</w:t>
            </w:r>
          </w:p>
        </w:tc>
        <w:tc>
          <w:tcPr>
            <w:tcW w:w="1420" w:type="dxa"/>
            <w:vAlign w:val="center"/>
          </w:tcPr>
          <w:p>
            <w:pPr>
              <w:jc w:val="center"/>
              <w:rPr>
                <w:rFonts w:cs="Calibri"/>
                <w:kern w:val="0"/>
                <w:sz w:val="22"/>
                <w:szCs w:val="22"/>
              </w:rPr>
            </w:pPr>
          </w:p>
        </w:tc>
        <w:tc>
          <w:tcPr>
            <w:tcW w:w="1420" w:type="dxa"/>
            <w:vAlign w:val="center"/>
          </w:tcPr>
          <w:p>
            <w:pPr>
              <w:jc w:val="center"/>
              <w:rPr>
                <w:szCs w:val="21"/>
              </w:rPr>
            </w:pPr>
          </w:p>
        </w:tc>
        <w:tc>
          <w:tcPr>
            <w:tcW w:w="1420" w:type="dxa"/>
            <w:vAlign w:val="center"/>
          </w:tcPr>
          <w:p>
            <w:pPr>
              <w:jc w:val="center"/>
              <w:rPr>
                <w:szCs w:val="21"/>
              </w:rPr>
            </w:pPr>
          </w:p>
        </w:tc>
        <w:tc>
          <w:tcPr>
            <w:tcW w:w="1420" w:type="dxa"/>
            <w:vAlign w:val="center"/>
          </w:tcPr>
          <w:p>
            <w:pPr>
              <w:jc w:val="center"/>
              <w:rPr>
                <w:szCs w:val="21"/>
              </w:rPr>
            </w:pPr>
          </w:p>
        </w:tc>
        <w:tc>
          <w:tcPr>
            <w:tcW w:w="1630" w:type="dxa"/>
            <w:vAlign w:val="center"/>
          </w:tcPr>
          <w:p>
            <w:pPr>
              <w:jc w:val="center"/>
              <w:rPr>
                <w:szCs w:val="21"/>
              </w:rPr>
            </w:pPr>
          </w:p>
        </w:tc>
        <w:tc>
          <w:tcPr>
            <w:tcW w:w="2343" w:type="dxa"/>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47" w:type="dxa"/>
            <w:vAlign w:val="center"/>
          </w:tcPr>
          <w:p>
            <w:pPr>
              <w:jc w:val="center"/>
              <w:rPr>
                <w:rFonts w:hint="eastAsia"/>
                <w:szCs w:val="21"/>
              </w:rPr>
            </w:pPr>
            <w:r>
              <w:rPr>
                <w:rFonts w:hint="eastAsia"/>
                <w:szCs w:val="21"/>
              </w:rPr>
              <w:t>You suggest</w:t>
            </w:r>
          </w:p>
          <w:p>
            <w:pPr>
              <w:jc w:val="center"/>
              <w:rPr>
                <w:rFonts w:hint="eastAsia"/>
                <w:szCs w:val="21"/>
              </w:rPr>
            </w:pPr>
            <w:r>
              <w:rPr>
                <w:rFonts w:hint="eastAsia"/>
                <w:szCs w:val="21"/>
              </w:rPr>
              <w:t>Add or remove</w:t>
            </w:r>
          </w:p>
          <w:p>
            <w:pPr>
              <w:jc w:val="center"/>
              <w:rPr>
                <w:szCs w:val="21"/>
              </w:rPr>
            </w:pPr>
            <w:r>
              <w:rPr>
                <w:rFonts w:hint="eastAsia"/>
                <w:szCs w:val="21"/>
              </w:rPr>
              <w:t>Level I entries</w:t>
            </w:r>
          </w:p>
        </w:tc>
        <w:tc>
          <w:tcPr>
            <w:tcW w:w="14170" w:type="dxa"/>
            <w:gridSpan w:val="7"/>
            <w:vAlign w:val="center"/>
          </w:tcPr>
          <w:p>
            <w:pPr>
              <w:jc w:val="center"/>
              <w:rPr>
                <w:szCs w:val="21"/>
              </w:rPr>
            </w:pPr>
          </w:p>
          <w:p>
            <w:pPr>
              <w:jc w:val="center"/>
              <w:rPr>
                <w:szCs w:val="21"/>
              </w:rPr>
            </w:pPr>
          </w:p>
          <w:p>
            <w:pPr>
              <w:jc w:val="center"/>
              <w:rPr>
                <w:szCs w:val="21"/>
              </w:rPr>
            </w:pPr>
          </w:p>
          <w:p>
            <w:pPr>
              <w:rPr>
                <w:szCs w:val="21"/>
              </w:rPr>
            </w:pPr>
          </w:p>
        </w:tc>
      </w:tr>
    </w:tbl>
    <w:p>
      <w:pPr>
        <w:pStyle w:val="11"/>
        <w:spacing w:line="300" w:lineRule="auto"/>
        <w:rPr>
          <w:sz w:val="28"/>
          <w:szCs w:val="28"/>
        </w:rPr>
      </w:pPr>
      <w:r>
        <w:rPr>
          <w:sz w:val="28"/>
          <w:szCs w:val="28"/>
        </w:rPr>
        <w:br w:type="page"/>
      </w:r>
      <w:r>
        <w:rPr>
          <w:sz w:val="28"/>
          <w:szCs w:val="28"/>
        </w:rPr>
        <w:t xml:space="preserve"> Table 2 Inquiry scores and opinions on secondary indicators</w:t>
      </w:r>
    </w:p>
    <w:p>
      <w:pPr>
        <w:pStyle w:val="25"/>
        <w:spacing w:before="158" w:beforeLines="50" w:after="158" w:afterLines="50" w:line="300" w:lineRule="auto"/>
        <w:ind w:firstLine="0" w:firstLineChars="0"/>
        <w:jc w:val="both"/>
        <w:rPr>
          <w:rFonts w:hint="eastAsia"/>
          <w:szCs w:val="24"/>
        </w:rPr>
      </w:pPr>
      <w:r>
        <w:rPr>
          <w:rFonts w:hint="eastAsia"/>
          <w:szCs w:val="24"/>
        </w:rPr>
        <w:sym w:font="Wingdings 2" w:char="F050"/>
      </w:r>
      <w:r>
        <w:rPr>
          <w:rFonts w:hint="eastAsia"/>
          <w:szCs w:val="24"/>
        </w:rPr>
        <w:t>Fill in the form: Please score the appropriateness of the secondary index entry under each primary index item (mark "" in the corresponding scoring box or fill in the number); and also hope that you can modify or add comments on the "expression of the secondary index entry" and "whether to delete or add a secondary index entry".</w:t>
      </w:r>
    </w:p>
    <w:tbl>
      <w:tblPr>
        <w:tblStyle w:val="19"/>
        <w:tblW w:w="15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777"/>
        <w:gridCol w:w="3267"/>
        <w:gridCol w:w="1252"/>
        <w:gridCol w:w="1251"/>
        <w:gridCol w:w="1251"/>
        <w:gridCol w:w="1251"/>
        <w:gridCol w:w="1493"/>
        <w:gridCol w:w="3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82" w:type="dxa"/>
            <w:vMerge w:val="restart"/>
            <w:vAlign w:val="center"/>
          </w:tcPr>
          <w:p>
            <w:pPr>
              <w:jc w:val="center"/>
              <w:rPr>
                <w:rFonts w:hint="eastAsia" w:ascii="宋体" w:hAnsi="宋体" w:cs="宋体"/>
                <w:b/>
                <w:bCs/>
                <w:color w:val="000000"/>
                <w:kern w:val="0"/>
                <w:sz w:val="24"/>
                <w:lang w:bidi="ar"/>
              </w:rPr>
            </w:pPr>
            <w:r>
              <w:rPr>
                <w:rFonts w:hint="eastAsia" w:ascii="宋体" w:hAnsi="宋体" w:cs="宋体"/>
                <w:b/>
                <w:bCs/>
                <w:color w:val="000000"/>
                <w:kern w:val="0"/>
                <w:sz w:val="24"/>
                <w:lang w:bidi="ar"/>
              </w:rPr>
              <w:t>Level 1 index entry</w:t>
            </w:r>
          </w:p>
        </w:tc>
        <w:tc>
          <w:tcPr>
            <w:tcW w:w="1777" w:type="dxa"/>
            <w:vMerge w:val="restart"/>
            <w:vAlign w:val="center"/>
          </w:tcPr>
          <w:p>
            <w:pPr>
              <w:jc w:val="center"/>
              <w:rPr>
                <w:rFonts w:hint="eastAsia" w:ascii="宋体" w:hAnsi="宋体" w:cs="宋体"/>
                <w:b/>
                <w:bCs/>
                <w:color w:val="000000"/>
                <w:kern w:val="0"/>
                <w:sz w:val="24"/>
                <w:lang w:bidi="ar"/>
              </w:rPr>
            </w:pPr>
            <w:r>
              <w:rPr>
                <w:rFonts w:hint="eastAsia"/>
                <w:b/>
                <w:bCs/>
                <w:szCs w:val="21"/>
              </w:rPr>
              <w:t>Secondary index entry</w:t>
            </w:r>
          </w:p>
        </w:tc>
        <w:tc>
          <w:tcPr>
            <w:tcW w:w="3267" w:type="dxa"/>
            <w:vMerge w:val="restart"/>
            <w:vAlign w:val="center"/>
          </w:tcPr>
          <w:p>
            <w:pPr>
              <w:jc w:val="center"/>
              <w:rPr>
                <w:b/>
                <w:bCs/>
                <w:szCs w:val="21"/>
              </w:rPr>
            </w:pPr>
            <w:r>
              <w:rPr>
                <w:rFonts w:hint="eastAsia"/>
                <w:b/>
                <w:bCs/>
                <w:szCs w:val="21"/>
              </w:rPr>
              <w:t>explanation</w:t>
            </w:r>
          </w:p>
        </w:tc>
        <w:tc>
          <w:tcPr>
            <w:tcW w:w="6498" w:type="dxa"/>
            <w:gridSpan w:val="5"/>
            <w:vAlign w:val="center"/>
          </w:tcPr>
          <w:p>
            <w:pPr>
              <w:jc w:val="center"/>
              <w:rPr>
                <w:rFonts w:ascii="宋体" w:hAnsi="宋体" w:cs="宋体"/>
                <w:b/>
                <w:bCs/>
                <w:color w:val="000000"/>
                <w:kern w:val="0"/>
                <w:sz w:val="24"/>
                <w:lang w:bidi="ar"/>
              </w:rPr>
            </w:pPr>
            <w:r>
              <w:rPr>
                <w:rFonts w:hint="eastAsia"/>
                <w:b/>
                <w:bCs/>
                <w:szCs w:val="21"/>
              </w:rPr>
              <w:t>Importance score of the secondary index entries</w:t>
            </w:r>
          </w:p>
        </w:tc>
        <w:tc>
          <w:tcPr>
            <w:tcW w:w="3193" w:type="dxa"/>
            <w:vMerge w:val="restart"/>
            <w:vAlign w:val="center"/>
          </w:tcPr>
          <w:p>
            <w:pPr>
              <w:jc w:val="center"/>
              <w:rPr>
                <w:rFonts w:hint="eastAsia"/>
                <w:b/>
                <w:bCs/>
                <w:szCs w:val="21"/>
              </w:rPr>
            </w:pPr>
            <w:r>
              <w:rPr>
                <w:rFonts w:hint="eastAsia"/>
                <w:b/>
                <w:bCs/>
                <w:szCs w:val="21"/>
              </w:rPr>
              <w:t>Modification of the secondary index items</w:t>
            </w:r>
          </w:p>
          <w:p>
            <w:pPr>
              <w:jc w:val="center"/>
              <w:rPr>
                <w:rFonts w:hint="eastAsia" w:ascii="宋体" w:hAnsi="宋体" w:cs="宋体"/>
                <w:b/>
                <w:bCs/>
                <w:color w:val="000000"/>
                <w:kern w:val="0"/>
                <w:sz w:val="24"/>
                <w:lang w:bidi="ar"/>
              </w:rPr>
            </w:pPr>
            <w:r>
              <w:rPr>
                <w:rFonts w:hint="eastAsia"/>
                <w:b/>
                <w:bCs/>
                <w:szCs w:val="21"/>
              </w:rPr>
              <w:t>And supplementary opinions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82" w:type="dxa"/>
            <w:vMerge w:val="continue"/>
            <w:vAlign w:val="center"/>
          </w:tcPr>
          <w:p>
            <w:pPr>
              <w:jc w:val="center"/>
              <w:rPr>
                <w:rFonts w:hint="eastAsia" w:ascii="宋体" w:hAnsi="宋体" w:cs="宋体"/>
                <w:color w:val="000000"/>
                <w:kern w:val="0"/>
                <w:sz w:val="24"/>
                <w:lang w:bidi="ar"/>
              </w:rPr>
            </w:pPr>
          </w:p>
        </w:tc>
        <w:tc>
          <w:tcPr>
            <w:tcW w:w="1777" w:type="dxa"/>
            <w:vMerge w:val="continue"/>
            <w:vAlign w:val="center"/>
          </w:tcPr>
          <w:p>
            <w:pPr>
              <w:jc w:val="center"/>
              <w:rPr>
                <w:rFonts w:hint="eastAsia" w:ascii="宋体" w:hAnsi="宋体" w:cs="宋体"/>
                <w:color w:val="000000"/>
                <w:kern w:val="0"/>
                <w:sz w:val="24"/>
                <w:lang w:bidi="ar"/>
              </w:rPr>
            </w:pPr>
          </w:p>
        </w:tc>
        <w:tc>
          <w:tcPr>
            <w:tcW w:w="3267" w:type="dxa"/>
            <w:vMerge w:val="continue"/>
            <w:vAlign w:val="center"/>
          </w:tcPr>
          <w:p>
            <w:pPr>
              <w:jc w:val="center"/>
              <w:rPr>
                <w:rFonts w:hint="eastAsia" w:ascii="宋体" w:hAnsi="宋体" w:cs="宋体"/>
                <w:color w:val="000000"/>
                <w:kern w:val="0"/>
                <w:sz w:val="24"/>
                <w:lang w:bidi="ar"/>
              </w:rPr>
            </w:pPr>
          </w:p>
        </w:tc>
        <w:tc>
          <w:tcPr>
            <w:tcW w:w="1252"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5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(very important)</w:t>
            </w:r>
          </w:p>
        </w:tc>
        <w:tc>
          <w:tcPr>
            <w:tcW w:w="1251"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4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(important)</w:t>
            </w:r>
          </w:p>
        </w:tc>
        <w:tc>
          <w:tcPr>
            <w:tcW w:w="1251"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Three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(Generally important)</w:t>
            </w:r>
          </w:p>
        </w:tc>
        <w:tc>
          <w:tcPr>
            <w:tcW w:w="1251"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Two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(Not too important)</w:t>
            </w:r>
          </w:p>
        </w:tc>
        <w:tc>
          <w:tcPr>
            <w:tcW w:w="1493"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1 Points</w:t>
            </w:r>
          </w:p>
          <w:p>
            <w:pPr>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(Very unimportant)</w:t>
            </w:r>
          </w:p>
        </w:tc>
        <w:tc>
          <w:tcPr>
            <w:tcW w:w="3193" w:type="dxa"/>
            <w:vMerge w:val="continue"/>
            <w:vAlign w:val="center"/>
          </w:tcPr>
          <w:p>
            <w:pPr>
              <w:ind w:firstLine="480" w:firstLineChars="200"/>
              <w:jc w:val="center"/>
              <w:rPr>
                <w:rFonts w:hint="eastAsia" w:ascii="宋体" w:hAnsi="宋体"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restart"/>
            <w:vAlign w:val="center"/>
          </w:tcPr>
          <w:p>
            <w:pPr>
              <w:spacing w:line="360" w:lineRule="auto"/>
              <w:jc w:val="center"/>
              <w:rPr>
                <w:rFonts w:hint="eastAsia"/>
                <w:b/>
                <w:bCs/>
                <w:sz w:val="24"/>
              </w:rPr>
            </w:pPr>
            <w:r>
              <w:rPr>
                <w:rFonts w:hint="eastAsia"/>
                <w:b/>
                <w:bCs/>
                <w:sz w:val="24"/>
              </w:rPr>
              <w:t>1 Tangibles</w:t>
            </w:r>
          </w:p>
          <w:p>
            <w:pPr>
              <w:pStyle w:val="25"/>
              <w:spacing w:line="240" w:lineRule="auto"/>
              <w:ind w:firstLine="0" w:firstLineChars="0"/>
              <w:jc w:val="center"/>
              <w:rPr>
                <w:rFonts w:hint="eastAsia"/>
                <w:b/>
                <w:szCs w:val="21"/>
              </w:rPr>
            </w:pPr>
          </w:p>
        </w:tc>
        <w:tc>
          <w:tcPr>
            <w:tcW w:w="1777"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① Degree of platform support</w:t>
            </w:r>
          </w:p>
        </w:tc>
        <w:tc>
          <w:tcPr>
            <w:tcW w:w="3267"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degree of platform support in view of the user.</w:t>
            </w:r>
          </w:p>
        </w:tc>
        <w:tc>
          <w:tcPr>
            <w:tcW w:w="1252"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continue"/>
            <w:vAlign w:val="center"/>
          </w:tcPr>
          <w:p>
            <w:pPr>
              <w:jc w:val="center"/>
              <w:rPr>
                <w:rFonts w:hint="eastAsia"/>
                <w:b/>
                <w:bCs/>
                <w:szCs w:val="21"/>
              </w:rPr>
            </w:pPr>
          </w:p>
        </w:tc>
        <w:tc>
          <w:tcPr>
            <w:tcW w:w="1777"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 xml:space="preserve">② Intensity of platform attention </w:t>
            </w:r>
          </w:p>
        </w:tc>
        <w:tc>
          <w:tcPr>
            <w:tcW w:w="3267"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intensity of platform attention in view of the user.</w:t>
            </w:r>
          </w:p>
        </w:tc>
        <w:tc>
          <w:tcPr>
            <w:tcW w:w="1252"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continue"/>
            <w:vAlign w:val="center"/>
          </w:tcPr>
          <w:p>
            <w:pPr>
              <w:jc w:val="center"/>
              <w:rPr>
                <w:rFonts w:hint="eastAsia"/>
                <w:b/>
                <w:bCs/>
                <w:szCs w:val="21"/>
              </w:rPr>
            </w:pPr>
          </w:p>
        </w:tc>
        <w:tc>
          <w:tcPr>
            <w:tcW w:w="1777"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 xml:space="preserve">③ Level of homogenization among providers </w:t>
            </w:r>
          </w:p>
        </w:tc>
        <w:tc>
          <w:tcPr>
            <w:tcW w:w="3267" w:type="dxa"/>
            <w:vAlign w:val="center"/>
          </w:tcPr>
          <w:p>
            <w:pPr>
              <w:pStyle w:val="25"/>
              <w:spacing w:line="240" w:lineRule="auto"/>
              <w:ind w:firstLine="0" w:firstLineChars="0"/>
              <w:rPr>
                <w:rFonts w:ascii="微软雅黑" w:hAnsi="微软雅黑" w:eastAsia="微软雅黑" w:cs="微软雅黑"/>
                <w:bCs w:val="0"/>
                <w:sz w:val="18"/>
                <w:szCs w:val="18"/>
              </w:rPr>
            </w:pPr>
            <w:r>
              <w:rPr>
                <w:rFonts w:hint="default" w:ascii="微软雅黑" w:hAnsi="微软雅黑" w:eastAsia="微软雅黑" w:cs="微软雅黑"/>
                <w:bCs w:val="0"/>
                <w:sz w:val="18"/>
                <w:szCs w:val="18"/>
                <w:lang w:eastAsia="zh-CN"/>
              </w:rPr>
              <w:t>The level of h</w:t>
            </w:r>
            <w:r>
              <w:rPr>
                <w:rFonts w:hint="default" w:ascii="微软雅黑" w:hAnsi="微软雅黑" w:eastAsia="微软雅黑" w:cs="微软雅黑"/>
                <w:bCs w:val="0"/>
                <w:sz w:val="18"/>
                <w:szCs w:val="18"/>
              </w:rPr>
              <w:t>omogenization</w:t>
            </w:r>
            <w:r>
              <w:rPr>
                <w:rFonts w:hint="default" w:ascii="微软雅黑" w:hAnsi="微软雅黑" w:eastAsia="微软雅黑" w:cs="微软雅黑"/>
                <w:bCs w:val="0"/>
                <w:sz w:val="18"/>
                <w:szCs w:val="18"/>
                <w:lang w:eastAsia="zh-CN"/>
              </w:rPr>
              <w:t xml:space="preserve"> among providers</w:t>
            </w:r>
            <w:r>
              <w:rPr>
                <w:rFonts w:hint="default" w:ascii="微软雅黑" w:hAnsi="微软雅黑" w:eastAsia="微软雅黑" w:cs="微软雅黑"/>
                <w:bCs w:val="0"/>
                <w:sz w:val="18"/>
                <w:szCs w:val="18"/>
              </w:rPr>
              <w:t xml:space="preserve"> </w:t>
            </w:r>
            <w:r>
              <w:rPr>
                <w:rFonts w:hint="default" w:ascii="微软雅黑" w:hAnsi="微软雅黑" w:eastAsia="微软雅黑" w:cs="微软雅黑"/>
                <w:bCs w:val="0"/>
                <w:sz w:val="18"/>
                <w:szCs w:val="18"/>
                <w:lang w:eastAsia="zh-CN"/>
              </w:rPr>
              <w:t xml:space="preserve">in view of the user, such as wearing </w:t>
            </w:r>
            <w:r>
              <w:rPr>
                <w:rFonts w:ascii="微软雅黑" w:hAnsi="微软雅黑" w:eastAsia="微软雅黑" w:cs="微软雅黑"/>
                <w:bCs w:val="0"/>
                <w:sz w:val="18"/>
                <w:szCs w:val="18"/>
                <w:lang w:eastAsia="zh-CN"/>
              </w:rPr>
              <w:t xml:space="preserve">a </w:t>
            </w:r>
            <w:r>
              <w:rPr>
                <w:rFonts w:hint="default" w:ascii="微软雅黑" w:hAnsi="微软雅黑" w:eastAsia="微软雅黑" w:cs="微软雅黑"/>
                <w:bCs w:val="0"/>
                <w:sz w:val="18"/>
                <w:szCs w:val="18"/>
                <w:lang w:eastAsia="zh-CN"/>
              </w:rPr>
              <w:t xml:space="preserve">unified </w:t>
            </w:r>
            <w:r>
              <w:rPr>
                <w:rFonts w:ascii="微软雅黑" w:hAnsi="微软雅黑" w:eastAsia="微软雅黑" w:cs="微软雅黑"/>
                <w:bCs w:val="0"/>
                <w:sz w:val="18"/>
                <w:szCs w:val="18"/>
              </w:rPr>
              <w:t>professional uniform</w:t>
            </w:r>
            <w:r>
              <w:rPr>
                <w:rFonts w:ascii="微软雅黑" w:hAnsi="微软雅黑" w:eastAsia="微软雅黑" w:cs="微软雅黑"/>
                <w:bCs w:val="0"/>
                <w:sz w:val="18"/>
                <w:szCs w:val="18"/>
                <w:lang w:eastAsia="zh-CN"/>
              </w:rPr>
              <w:t xml:space="preserve"> and</w:t>
            </w:r>
            <w:r>
              <w:rPr>
                <w:rFonts w:hint="default" w:ascii="微软雅黑" w:hAnsi="微软雅黑" w:eastAsia="微软雅黑" w:cs="微软雅黑"/>
                <w:bCs w:val="0"/>
                <w:sz w:val="18"/>
                <w:szCs w:val="18"/>
                <w:lang w:eastAsia="zh-CN"/>
              </w:rPr>
              <w:t xml:space="preserve"> f</w:t>
            </w:r>
            <w:r>
              <w:rPr>
                <w:rFonts w:hint="default" w:ascii="微软雅黑" w:hAnsi="微软雅黑" w:eastAsia="微软雅黑" w:cs="微软雅黑"/>
                <w:bCs w:val="0"/>
                <w:sz w:val="18"/>
                <w:szCs w:val="18"/>
              </w:rPr>
              <w:t>ollow</w:t>
            </w:r>
            <w:r>
              <w:rPr>
                <w:rFonts w:hint="default" w:ascii="微软雅黑" w:hAnsi="微软雅黑" w:eastAsia="微软雅黑" w:cs="微软雅黑"/>
                <w:bCs w:val="0"/>
                <w:sz w:val="18"/>
                <w:szCs w:val="18"/>
                <w:lang w:eastAsia="zh-CN"/>
              </w:rPr>
              <w:t>ing</w:t>
            </w:r>
            <w:r>
              <w:rPr>
                <w:rFonts w:hint="default" w:ascii="微软雅黑" w:hAnsi="微软雅黑" w:eastAsia="微软雅黑" w:cs="微软雅黑"/>
                <w:bCs w:val="0"/>
                <w:sz w:val="18"/>
                <w:szCs w:val="18"/>
              </w:rPr>
              <w:t xml:space="preserve"> the same </w:t>
            </w:r>
            <w:r>
              <w:rPr>
                <w:rFonts w:ascii="微软雅黑" w:hAnsi="微软雅黑" w:eastAsia="微软雅黑" w:cs="微软雅黑"/>
                <w:bCs w:val="0"/>
                <w:sz w:val="18"/>
                <w:szCs w:val="18"/>
              </w:rPr>
              <w:t>operating</w:t>
            </w:r>
            <w:r>
              <w:rPr>
                <w:rFonts w:hint="default" w:ascii="微软雅黑" w:hAnsi="微软雅黑" w:eastAsia="微软雅黑" w:cs="微软雅黑"/>
                <w:bCs w:val="0"/>
                <w:sz w:val="18"/>
                <w:szCs w:val="18"/>
              </w:rPr>
              <w:t xml:space="preserve"> procedures</w:t>
            </w:r>
            <w:r>
              <w:rPr>
                <w:rFonts w:hint="default" w:ascii="微软雅黑" w:hAnsi="微软雅黑" w:eastAsia="微软雅黑" w:cs="微软雅黑"/>
                <w:bCs w:val="0"/>
                <w:sz w:val="18"/>
                <w:szCs w:val="18"/>
                <w:lang w:eastAsia="zh-CN"/>
              </w:rPr>
              <w:t>.</w:t>
            </w:r>
          </w:p>
        </w:tc>
        <w:tc>
          <w:tcPr>
            <w:tcW w:w="1252"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82" w:type="dxa"/>
            <w:vMerge w:val="continue"/>
            <w:vAlign w:val="center"/>
          </w:tcPr>
          <w:p>
            <w:pPr>
              <w:jc w:val="center"/>
              <w:rPr>
                <w:rFonts w:hint="eastAsia"/>
                <w:b/>
                <w:bCs/>
                <w:szCs w:val="21"/>
              </w:rPr>
            </w:pPr>
          </w:p>
        </w:tc>
        <w:tc>
          <w:tcPr>
            <w:tcW w:w="1777"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④ Consistency of service and demand</w:t>
            </w:r>
          </w:p>
        </w:tc>
        <w:tc>
          <w:tcPr>
            <w:tcW w:w="3267" w:type="dxa"/>
            <w:vAlign w:val="center"/>
          </w:tcPr>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The consistency of service and demand in view of the user.</w:t>
            </w:r>
          </w:p>
        </w:tc>
        <w:tc>
          <w:tcPr>
            <w:tcW w:w="1252"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restart"/>
            <w:vAlign w:val="center"/>
          </w:tcPr>
          <w:p>
            <w:pPr>
              <w:spacing w:line="360" w:lineRule="auto"/>
              <w:jc w:val="center"/>
              <w:rPr>
                <w:rFonts w:hint="eastAsia"/>
                <w:b/>
                <w:bCs/>
                <w:sz w:val="24"/>
              </w:rPr>
            </w:pPr>
            <w:r>
              <w:rPr>
                <w:rFonts w:hint="eastAsia"/>
                <w:b/>
                <w:bCs/>
                <w:sz w:val="24"/>
              </w:rPr>
              <w:t>2 Reliability</w:t>
            </w:r>
          </w:p>
          <w:p>
            <w:pPr>
              <w:spacing w:line="360" w:lineRule="auto"/>
              <w:jc w:val="center"/>
              <w:rPr>
                <w:rFonts w:hint="eastAsia"/>
                <w:b/>
                <w:bCs/>
                <w:szCs w:val="21"/>
              </w:rPr>
            </w:pPr>
          </w:p>
        </w:tc>
        <w:tc>
          <w:tcPr>
            <w:tcW w:w="1777"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⑤ Rational of the service plan</w:t>
            </w:r>
          </w:p>
        </w:tc>
        <w:tc>
          <w:tcPr>
            <w:tcW w:w="3267"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Once ordered, a correct service plan is activated. The assigned HCN service provider is qualified with a proper professional certification that is in line with the active service plan.</w:t>
            </w:r>
          </w:p>
        </w:tc>
        <w:tc>
          <w:tcPr>
            <w:tcW w:w="1252"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continue"/>
            <w:vAlign w:val="center"/>
          </w:tcPr>
          <w:p>
            <w:pPr>
              <w:jc w:val="center"/>
              <w:rPr>
                <w:rFonts w:hint="eastAsia"/>
                <w:b/>
                <w:bCs/>
                <w:szCs w:val="21"/>
              </w:rPr>
            </w:pPr>
          </w:p>
        </w:tc>
        <w:tc>
          <w:tcPr>
            <w:tcW w:w="1777"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 xml:space="preserve">⑥ Guaranteed service execution </w:t>
            </w:r>
          </w:p>
        </w:tc>
        <w:tc>
          <w:tcPr>
            <w:tcW w:w="3267" w:type="dxa"/>
            <w:vAlign w:val="center"/>
          </w:tcPr>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The implementation of the HCN service is consistent with its description. In case of emergency, the assigned HCN service provider could offer emergency advice, and perform necessary and prompt rescue or transfer measures.</w:t>
            </w:r>
          </w:p>
        </w:tc>
        <w:tc>
          <w:tcPr>
            <w:tcW w:w="1252"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continue"/>
            <w:vAlign w:val="center"/>
          </w:tcPr>
          <w:p>
            <w:pPr>
              <w:jc w:val="center"/>
              <w:rPr>
                <w:rFonts w:hint="eastAsia"/>
                <w:b/>
                <w:bCs/>
                <w:szCs w:val="21"/>
              </w:rPr>
            </w:pPr>
          </w:p>
        </w:tc>
        <w:tc>
          <w:tcPr>
            <w:tcW w:w="1777"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⑦ Proper presentation of the service records and feedback</w:t>
            </w:r>
          </w:p>
        </w:tc>
        <w:tc>
          <w:tcPr>
            <w:tcW w:w="3267"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Once complete, the service records and feedback are properly presented.</w:t>
            </w:r>
          </w:p>
        </w:tc>
        <w:tc>
          <w:tcPr>
            <w:tcW w:w="1252" w:type="dxa"/>
            <w:vAlign w:val="center"/>
          </w:tcPr>
          <w:p>
            <w:pPr>
              <w:jc w:val="center"/>
              <w:rPr>
                <w:szCs w:val="21"/>
              </w:rPr>
            </w:pPr>
          </w:p>
        </w:tc>
        <w:tc>
          <w:tcPr>
            <w:tcW w:w="1251" w:type="dxa"/>
            <w:vAlign w:val="center"/>
          </w:tcPr>
          <w:p>
            <w:pPr>
              <w:jc w:val="center"/>
              <w:rPr>
                <w:rFonts w:hint="eastAsia"/>
                <w:szCs w:val="21"/>
              </w:rPr>
            </w:pPr>
          </w:p>
        </w:tc>
        <w:tc>
          <w:tcPr>
            <w:tcW w:w="1251" w:type="dxa"/>
            <w:vAlign w:val="center"/>
          </w:tcPr>
          <w:p>
            <w:pPr>
              <w:jc w:val="center"/>
              <w:rPr>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restart"/>
            <w:vAlign w:val="center"/>
          </w:tcPr>
          <w:p>
            <w:pPr>
              <w:spacing w:line="360" w:lineRule="auto"/>
              <w:jc w:val="center"/>
              <w:rPr>
                <w:b/>
                <w:bCs/>
                <w:sz w:val="24"/>
              </w:rPr>
            </w:pPr>
          </w:p>
          <w:p>
            <w:pPr>
              <w:pStyle w:val="25"/>
              <w:spacing w:line="240" w:lineRule="auto"/>
              <w:ind w:firstLine="0" w:firstLineChars="0"/>
              <w:jc w:val="center"/>
              <w:rPr>
                <w:b/>
                <w:szCs w:val="21"/>
              </w:rPr>
            </w:pPr>
            <w:r>
              <w:rPr>
                <w:rFonts w:hint="eastAsia"/>
                <w:b/>
                <w:bCs/>
                <w:sz w:val="24"/>
              </w:rPr>
              <w:t>3 Responsiveness</w:t>
            </w:r>
          </w:p>
        </w:tc>
        <w:tc>
          <w:tcPr>
            <w:tcW w:w="1777" w:type="dxa"/>
            <w:vAlign w:val="center"/>
          </w:tcPr>
          <w:p>
            <w:pPr>
              <w:pStyle w:val="25"/>
              <w:spacing w:line="240" w:lineRule="auto"/>
              <w:ind w:firstLine="0" w:firstLineChars="0"/>
              <w:rPr>
                <w:rFonts w:hint="eastAsia"/>
                <w:bCs w:val="0"/>
                <w:szCs w:val="24"/>
              </w:rPr>
            </w:pPr>
            <w:r>
              <w:rPr>
                <w:rFonts w:hint="eastAsia" w:ascii="微软雅黑" w:hAnsi="微软雅黑" w:eastAsia="微软雅黑" w:cs="微软雅黑"/>
                <w:bCs w:val="0"/>
                <w:sz w:val="18"/>
                <w:szCs w:val="18"/>
              </w:rPr>
              <w:t>⑧ Responsiveness of regular service requirements</w:t>
            </w:r>
          </w:p>
        </w:tc>
        <w:tc>
          <w:tcPr>
            <w:tcW w:w="3267" w:type="dxa"/>
            <w:vAlign w:val="center"/>
          </w:tcPr>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The ability to respond to regular and routine service requirements.</w:t>
            </w:r>
          </w:p>
        </w:tc>
        <w:tc>
          <w:tcPr>
            <w:tcW w:w="1252"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182" w:type="dxa"/>
            <w:vMerge w:val="continue"/>
            <w:vAlign w:val="center"/>
          </w:tcPr>
          <w:p>
            <w:pPr>
              <w:jc w:val="center"/>
              <w:rPr>
                <w:rFonts w:hint="eastAsia"/>
                <w:b/>
                <w:bCs/>
                <w:szCs w:val="21"/>
              </w:rPr>
            </w:pPr>
          </w:p>
        </w:tc>
        <w:tc>
          <w:tcPr>
            <w:tcW w:w="1777"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⑨ Active response to temporary service requirements</w:t>
            </w:r>
          </w:p>
        </w:tc>
        <w:tc>
          <w:tcPr>
            <w:tcW w:w="3267" w:type="dxa"/>
            <w:vAlign w:val="center"/>
          </w:tcPr>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The ability to actively respond to temporary service requirements.</w:t>
            </w:r>
          </w:p>
        </w:tc>
        <w:tc>
          <w:tcPr>
            <w:tcW w:w="1252"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493" w:type="dxa"/>
            <w:vAlign w:val="center"/>
          </w:tcPr>
          <w:p>
            <w:pPr>
              <w:jc w:val="center"/>
              <w:rPr>
                <w:szCs w:val="21"/>
              </w:rPr>
            </w:pPr>
          </w:p>
        </w:tc>
        <w:tc>
          <w:tcPr>
            <w:tcW w:w="3193" w:type="dxa"/>
            <w:vAlign w:val="center"/>
          </w:tcPr>
          <w:p>
            <w:pPr>
              <w:jc w:val="center"/>
              <w:rPr>
                <w:szCs w:val="21"/>
              </w:rPr>
            </w:pPr>
          </w:p>
        </w:tc>
      </w:tr>
    </w:tbl>
    <w:p/>
    <w:p>
      <w:pPr>
        <w:rPr>
          <w:sz w:val="13"/>
          <w:szCs w:val="13"/>
        </w:rPr>
      </w:pPr>
    </w:p>
    <w:p>
      <w:pPr>
        <w:rPr>
          <w:rFonts w:hint="eastAsia"/>
          <w:sz w:val="13"/>
          <w:szCs w:val="13"/>
        </w:rPr>
      </w:pPr>
    </w:p>
    <w:tbl>
      <w:tblPr>
        <w:tblStyle w:val="19"/>
        <w:tblW w:w="15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700"/>
        <w:gridCol w:w="3260"/>
        <w:gridCol w:w="1327"/>
        <w:gridCol w:w="1251"/>
        <w:gridCol w:w="1251"/>
        <w:gridCol w:w="1251"/>
        <w:gridCol w:w="1582"/>
        <w:gridCol w:w="3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242" w:type="dxa"/>
            <w:vMerge w:val="restart"/>
            <w:vAlign w:val="center"/>
          </w:tcPr>
          <w:p>
            <w:pPr>
              <w:jc w:val="center"/>
              <w:rPr>
                <w:rFonts w:hint="eastAsia" w:ascii="宋体" w:hAnsi="宋体" w:cs="宋体"/>
                <w:b/>
                <w:bCs/>
                <w:color w:val="000000"/>
                <w:kern w:val="0"/>
                <w:sz w:val="24"/>
                <w:lang w:bidi="ar"/>
              </w:rPr>
            </w:pPr>
            <w:r>
              <w:rPr>
                <w:rFonts w:hint="eastAsia" w:ascii="宋体" w:hAnsi="宋体" w:cs="宋体"/>
                <w:b/>
                <w:bCs/>
                <w:color w:val="000000"/>
                <w:kern w:val="0"/>
                <w:sz w:val="24"/>
                <w:lang w:bidi="ar"/>
              </w:rPr>
              <w:t>Level 1 index entry</w:t>
            </w:r>
          </w:p>
        </w:tc>
        <w:tc>
          <w:tcPr>
            <w:tcW w:w="1700" w:type="dxa"/>
            <w:vMerge w:val="restart"/>
            <w:vAlign w:val="center"/>
          </w:tcPr>
          <w:p>
            <w:pPr>
              <w:jc w:val="center"/>
              <w:rPr>
                <w:rFonts w:hint="eastAsia" w:ascii="宋体" w:hAnsi="宋体" w:cs="宋体"/>
                <w:b/>
                <w:bCs/>
                <w:color w:val="000000"/>
                <w:kern w:val="0"/>
                <w:sz w:val="24"/>
                <w:lang w:bidi="ar"/>
              </w:rPr>
            </w:pPr>
            <w:r>
              <w:rPr>
                <w:rFonts w:hint="eastAsia"/>
                <w:b/>
                <w:bCs/>
                <w:szCs w:val="21"/>
              </w:rPr>
              <w:t>Secondary index entry</w:t>
            </w:r>
          </w:p>
        </w:tc>
        <w:tc>
          <w:tcPr>
            <w:tcW w:w="3260" w:type="dxa"/>
            <w:vMerge w:val="restart"/>
            <w:vAlign w:val="center"/>
          </w:tcPr>
          <w:p>
            <w:pPr>
              <w:jc w:val="center"/>
              <w:rPr>
                <w:b/>
                <w:bCs/>
                <w:szCs w:val="21"/>
              </w:rPr>
            </w:pPr>
            <w:r>
              <w:rPr>
                <w:rFonts w:hint="eastAsia"/>
                <w:b/>
                <w:bCs/>
                <w:szCs w:val="21"/>
              </w:rPr>
              <w:t>explanation</w:t>
            </w:r>
          </w:p>
        </w:tc>
        <w:tc>
          <w:tcPr>
            <w:tcW w:w="6662" w:type="dxa"/>
            <w:gridSpan w:val="5"/>
            <w:vAlign w:val="center"/>
          </w:tcPr>
          <w:p>
            <w:pPr>
              <w:jc w:val="center"/>
              <w:rPr>
                <w:rFonts w:ascii="宋体" w:hAnsi="宋体" w:cs="宋体"/>
                <w:b/>
                <w:bCs/>
                <w:color w:val="000000"/>
                <w:kern w:val="0"/>
                <w:sz w:val="24"/>
                <w:lang w:bidi="ar"/>
              </w:rPr>
            </w:pPr>
            <w:r>
              <w:rPr>
                <w:rFonts w:hint="eastAsia"/>
                <w:b/>
                <w:bCs/>
                <w:szCs w:val="21"/>
              </w:rPr>
              <w:t>Importance score of the secondary index entries</w:t>
            </w:r>
          </w:p>
        </w:tc>
        <w:tc>
          <w:tcPr>
            <w:tcW w:w="3053" w:type="dxa"/>
            <w:vMerge w:val="restart"/>
            <w:vAlign w:val="center"/>
          </w:tcPr>
          <w:p>
            <w:pPr>
              <w:jc w:val="center"/>
              <w:rPr>
                <w:rFonts w:hint="eastAsia"/>
                <w:b/>
                <w:bCs/>
                <w:szCs w:val="21"/>
              </w:rPr>
            </w:pPr>
            <w:r>
              <w:rPr>
                <w:rFonts w:hint="eastAsia"/>
                <w:b/>
                <w:bCs/>
                <w:szCs w:val="21"/>
              </w:rPr>
              <w:t>Modification of the secondary index items</w:t>
            </w:r>
          </w:p>
          <w:p>
            <w:pPr>
              <w:jc w:val="center"/>
              <w:rPr>
                <w:rFonts w:hint="eastAsia" w:ascii="宋体" w:hAnsi="宋体" w:cs="宋体"/>
                <w:b/>
                <w:bCs/>
                <w:color w:val="000000"/>
                <w:kern w:val="0"/>
                <w:sz w:val="24"/>
                <w:lang w:bidi="ar"/>
              </w:rPr>
            </w:pPr>
            <w:r>
              <w:rPr>
                <w:rFonts w:hint="eastAsia"/>
                <w:b/>
                <w:bCs/>
                <w:szCs w:val="21"/>
              </w:rPr>
              <w:t>And supplementary opinions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242" w:type="dxa"/>
            <w:vMerge w:val="continue"/>
            <w:vAlign w:val="center"/>
          </w:tcPr>
          <w:p>
            <w:pPr>
              <w:jc w:val="center"/>
              <w:rPr>
                <w:rFonts w:hint="eastAsia" w:ascii="宋体" w:hAnsi="宋体" w:cs="宋体"/>
                <w:b/>
                <w:bCs/>
                <w:color w:val="000000"/>
                <w:kern w:val="0"/>
                <w:sz w:val="24"/>
                <w:lang w:bidi="ar"/>
              </w:rPr>
            </w:pPr>
          </w:p>
        </w:tc>
        <w:tc>
          <w:tcPr>
            <w:tcW w:w="1700" w:type="dxa"/>
            <w:vMerge w:val="continue"/>
            <w:vAlign w:val="center"/>
          </w:tcPr>
          <w:p>
            <w:pPr>
              <w:jc w:val="center"/>
              <w:rPr>
                <w:rFonts w:hint="eastAsia"/>
                <w:b/>
                <w:bCs/>
                <w:szCs w:val="21"/>
              </w:rPr>
            </w:pPr>
          </w:p>
        </w:tc>
        <w:tc>
          <w:tcPr>
            <w:tcW w:w="3260" w:type="dxa"/>
            <w:vMerge w:val="continue"/>
            <w:vAlign w:val="center"/>
          </w:tcPr>
          <w:p>
            <w:pPr>
              <w:jc w:val="center"/>
              <w:rPr>
                <w:rFonts w:hint="eastAsia"/>
                <w:b/>
                <w:bCs/>
                <w:szCs w:val="21"/>
              </w:rPr>
            </w:pPr>
          </w:p>
        </w:tc>
        <w:tc>
          <w:tcPr>
            <w:tcW w:w="1327"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5 Points</w:t>
            </w:r>
          </w:p>
          <w:p>
            <w:pPr>
              <w:jc w:val="center"/>
              <w:rPr>
                <w:rFonts w:hint="eastAsia"/>
                <w:b/>
                <w:bCs/>
                <w:szCs w:val="21"/>
              </w:rPr>
            </w:pPr>
            <w:r>
              <w:rPr>
                <w:rFonts w:hint="eastAsia" w:ascii="宋体" w:hAnsi="宋体" w:cs="宋体"/>
                <w:color w:val="000000"/>
                <w:kern w:val="0"/>
                <w:sz w:val="18"/>
                <w:szCs w:val="18"/>
                <w:lang w:bidi="ar"/>
              </w:rPr>
              <w:t>(very important)</w:t>
            </w:r>
          </w:p>
        </w:tc>
        <w:tc>
          <w:tcPr>
            <w:tcW w:w="1251"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4 Points</w:t>
            </w:r>
          </w:p>
          <w:p>
            <w:pPr>
              <w:jc w:val="center"/>
              <w:rPr>
                <w:rFonts w:hint="eastAsia"/>
                <w:b/>
                <w:bCs/>
                <w:szCs w:val="21"/>
              </w:rPr>
            </w:pPr>
            <w:r>
              <w:rPr>
                <w:rFonts w:hint="eastAsia" w:ascii="宋体" w:hAnsi="宋体" w:cs="宋体"/>
                <w:color w:val="000000"/>
                <w:kern w:val="0"/>
                <w:sz w:val="18"/>
                <w:szCs w:val="18"/>
                <w:lang w:bidi="ar"/>
              </w:rPr>
              <w:t>(important)</w:t>
            </w:r>
          </w:p>
        </w:tc>
        <w:tc>
          <w:tcPr>
            <w:tcW w:w="1251"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Three points</w:t>
            </w:r>
          </w:p>
          <w:p>
            <w:pPr>
              <w:jc w:val="center"/>
              <w:rPr>
                <w:rFonts w:hint="eastAsia"/>
                <w:b/>
                <w:bCs/>
                <w:szCs w:val="21"/>
              </w:rPr>
            </w:pPr>
            <w:r>
              <w:rPr>
                <w:rFonts w:hint="eastAsia" w:ascii="宋体" w:hAnsi="宋体" w:cs="宋体"/>
                <w:color w:val="000000"/>
                <w:kern w:val="0"/>
                <w:sz w:val="18"/>
                <w:szCs w:val="18"/>
                <w:lang w:bidi="ar"/>
              </w:rPr>
              <w:t>(Generally important)</w:t>
            </w:r>
          </w:p>
        </w:tc>
        <w:tc>
          <w:tcPr>
            <w:tcW w:w="1251"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Two points</w:t>
            </w:r>
          </w:p>
          <w:p>
            <w:pPr>
              <w:jc w:val="center"/>
              <w:rPr>
                <w:rFonts w:hint="eastAsia"/>
                <w:b/>
                <w:bCs/>
                <w:szCs w:val="21"/>
              </w:rPr>
            </w:pPr>
            <w:r>
              <w:rPr>
                <w:rFonts w:hint="eastAsia" w:ascii="宋体" w:hAnsi="宋体" w:cs="宋体"/>
                <w:color w:val="000000"/>
                <w:kern w:val="0"/>
                <w:sz w:val="18"/>
                <w:szCs w:val="18"/>
                <w:lang w:bidi="ar"/>
              </w:rPr>
              <w:t>(Not too important)</w:t>
            </w:r>
          </w:p>
        </w:tc>
        <w:tc>
          <w:tcPr>
            <w:tcW w:w="1582" w:type="dxa"/>
            <w:vAlign w:val="center"/>
          </w:tcPr>
          <w:p>
            <w:pPr>
              <w:jc w:val="center"/>
              <w:rPr>
                <w:rFonts w:hint="eastAsia" w:ascii="宋体" w:hAnsi="宋体" w:cs="宋体"/>
                <w:color w:val="000000"/>
                <w:kern w:val="0"/>
                <w:sz w:val="24"/>
                <w:lang w:bidi="ar"/>
              </w:rPr>
            </w:pPr>
            <w:r>
              <w:rPr>
                <w:rFonts w:hint="eastAsia" w:ascii="宋体" w:hAnsi="宋体" w:cs="宋体"/>
                <w:color w:val="000000"/>
                <w:kern w:val="0"/>
                <w:sz w:val="24"/>
                <w:lang w:bidi="ar"/>
              </w:rPr>
              <w:t>1 Points</w:t>
            </w:r>
          </w:p>
          <w:p>
            <w:pPr>
              <w:jc w:val="center"/>
              <w:rPr>
                <w:rFonts w:hint="eastAsia"/>
                <w:b/>
                <w:bCs/>
                <w:szCs w:val="21"/>
              </w:rPr>
            </w:pPr>
            <w:r>
              <w:rPr>
                <w:rFonts w:hint="eastAsia" w:ascii="宋体" w:hAnsi="宋体" w:cs="宋体"/>
                <w:color w:val="000000"/>
                <w:kern w:val="0"/>
                <w:sz w:val="18"/>
                <w:szCs w:val="18"/>
                <w:lang w:bidi="ar"/>
              </w:rPr>
              <w:t>(Very unimportant)</w:t>
            </w:r>
          </w:p>
        </w:tc>
        <w:tc>
          <w:tcPr>
            <w:tcW w:w="3053" w:type="dxa"/>
            <w:vMerge w:val="continue"/>
            <w:vAlign w:val="center"/>
          </w:tcPr>
          <w:p>
            <w:pPr>
              <w:rPr>
                <w:rFonts w:hint="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242" w:type="dxa"/>
            <w:vMerge w:val="restart"/>
            <w:vAlign w:val="center"/>
          </w:tcPr>
          <w:p>
            <w:pPr>
              <w:spacing w:line="360" w:lineRule="auto"/>
              <w:jc w:val="center"/>
              <w:rPr>
                <w:rFonts w:hint="eastAsia"/>
                <w:b/>
                <w:bCs/>
                <w:sz w:val="24"/>
              </w:rPr>
            </w:pPr>
            <w:r>
              <w:rPr>
                <w:rFonts w:hint="eastAsia"/>
                <w:b/>
                <w:bCs/>
                <w:sz w:val="24"/>
              </w:rPr>
              <w:t>4 Assurance</w:t>
            </w:r>
          </w:p>
          <w:p>
            <w:pPr>
              <w:pStyle w:val="25"/>
              <w:spacing w:line="240" w:lineRule="auto"/>
              <w:ind w:firstLine="0" w:firstLineChars="0"/>
              <w:jc w:val="center"/>
              <w:rPr>
                <w:b/>
                <w:szCs w:val="21"/>
              </w:rPr>
            </w:pPr>
          </w:p>
        </w:tc>
        <w:tc>
          <w:tcPr>
            <w:tcW w:w="1700"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⑩ Qualification of the agent and the service provider</w:t>
            </w:r>
          </w:p>
        </w:tc>
        <w:tc>
          <w:tcPr>
            <w:tcW w:w="3260"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 xml:space="preserve">Qualification of the agent and staffs are indicated in the platform. </w:t>
            </w:r>
          </w:p>
        </w:tc>
        <w:tc>
          <w:tcPr>
            <w:tcW w:w="1327"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582" w:type="dxa"/>
            <w:vAlign w:val="center"/>
          </w:tcPr>
          <w:p>
            <w:pPr>
              <w:jc w:val="center"/>
              <w:rPr>
                <w:szCs w:val="21"/>
              </w:rPr>
            </w:pPr>
          </w:p>
        </w:tc>
        <w:tc>
          <w:tcPr>
            <w:tcW w:w="305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242" w:type="dxa"/>
            <w:vMerge w:val="continue"/>
            <w:vAlign w:val="center"/>
          </w:tcPr>
          <w:p>
            <w:pPr>
              <w:pStyle w:val="25"/>
              <w:spacing w:line="240" w:lineRule="auto"/>
              <w:ind w:firstLine="0" w:firstLineChars="0"/>
              <w:jc w:val="center"/>
              <w:rPr>
                <w:rFonts w:hint="eastAsia"/>
                <w:b/>
                <w:bCs w:val="0"/>
                <w:szCs w:val="21"/>
              </w:rPr>
            </w:pPr>
          </w:p>
        </w:tc>
        <w:tc>
          <w:tcPr>
            <w:tcW w:w="1700"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⑪ Knowledge and skill of the service provider</w:t>
            </w:r>
          </w:p>
        </w:tc>
        <w:tc>
          <w:tcPr>
            <w:tcW w:w="3260"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assigned HCN service provider is proficient in the knowledge and skill required by the service task.</w:t>
            </w:r>
          </w:p>
        </w:tc>
        <w:tc>
          <w:tcPr>
            <w:tcW w:w="1327"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582" w:type="dxa"/>
            <w:vAlign w:val="center"/>
          </w:tcPr>
          <w:p>
            <w:pPr>
              <w:jc w:val="center"/>
              <w:rPr>
                <w:szCs w:val="21"/>
              </w:rPr>
            </w:pPr>
          </w:p>
        </w:tc>
        <w:tc>
          <w:tcPr>
            <w:tcW w:w="305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242" w:type="dxa"/>
            <w:vMerge w:val="continue"/>
            <w:vAlign w:val="center"/>
          </w:tcPr>
          <w:p>
            <w:pPr>
              <w:pStyle w:val="25"/>
              <w:spacing w:line="240" w:lineRule="auto"/>
              <w:ind w:firstLine="0" w:firstLineChars="0"/>
              <w:jc w:val="center"/>
              <w:rPr>
                <w:rFonts w:hint="eastAsia"/>
                <w:b/>
                <w:bCs w:val="0"/>
                <w:szCs w:val="21"/>
              </w:rPr>
            </w:pPr>
          </w:p>
        </w:tc>
        <w:tc>
          <w:tcPr>
            <w:tcW w:w="1700"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⑫ Attitude of the service provider</w:t>
            </w:r>
          </w:p>
        </w:tc>
        <w:tc>
          <w:tcPr>
            <w:tcW w:w="3260"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The assigned HCN service provider performs professional communication.</w:t>
            </w:r>
          </w:p>
        </w:tc>
        <w:tc>
          <w:tcPr>
            <w:tcW w:w="1327"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582" w:type="dxa"/>
            <w:vAlign w:val="center"/>
          </w:tcPr>
          <w:p>
            <w:pPr>
              <w:jc w:val="center"/>
              <w:rPr>
                <w:szCs w:val="21"/>
              </w:rPr>
            </w:pPr>
          </w:p>
        </w:tc>
        <w:tc>
          <w:tcPr>
            <w:tcW w:w="305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242" w:type="dxa"/>
            <w:vMerge w:val="continue"/>
            <w:vAlign w:val="center"/>
          </w:tcPr>
          <w:p>
            <w:pPr>
              <w:pStyle w:val="25"/>
              <w:spacing w:line="240" w:lineRule="auto"/>
              <w:ind w:firstLine="0" w:firstLineChars="0"/>
              <w:jc w:val="center"/>
              <w:rPr>
                <w:rFonts w:hint="eastAsia"/>
                <w:b/>
                <w:bCs w:val="0"/>
                <w:szCs w:val="21"/>
              </w:rPr>
            </w:pPr>
          </w:p>
        </w:tc>
        <w:tc>
          <w:tcPr>
            <w:tcW w:w="1700"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⑬ Ability to provide on-site support</w:t>
            </w:r>
          </w:p>
        </w:tc>
        <w:tc>
          <w:tcPr>
            <w:tcW w:w="3260" w:type="dxa"/>
            <w:vAlign w:val="center"/>
          </w:tcPr>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In case of emergency, the assigned HCN service provider could seek help through the platform.</w:t>
            </w:r>
          </w:p>
        </w:tc>
        <w:tc>
          <w:tcPr>
            <w:tcW w:w="1327"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582" w:type="dxa"/>
            <w:vAlign w:val="center"/>
          </w:tcPr>
          <w:p>
            <w:pPr>
              <w:jc w:val="center"/>
              <w:rPr>
                <w:szCs w:val="21"/>
              </w:rPr>
            </w:pPr>
          </w:p>
        </w:tc>
        <w:tc>
          <w:tcPr>
            <w:tcW w:w="305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242" w:type="dxa"/>
            <w:vMerge w:val="restart"/>
            <w:vAlign w:val="center"/>
          </w:tcPr>
          <w:p>
            <w:pPr>
              <w:spacing w:line="360" w:lineRule="auto"/>
              <w:jc w:val="center"/>
              <w:rPr>
                <w:b/>
                <w:bCs/>
                <w:sz w:val="24"/>
              </w:rPr>
            </w:pPr>
          </w:p>
          <w:p>
            <w:pPr>
              <w:spacing w:line="360" w:lineRule="auto"/>
              <w:jc w:val="center"/>
              <w:rPr>
                <w:rFonts w:hint="eastAsia"/>
                <w:b/>
                <w:bCs/>
                <w:sz w:val="24"/>
              </w:rPr>
            </w:pPr>
            <w:r>
              <w:rPr>
                <w:rFonts w:hint="eastAsia"/>
                <w:b/>
                <w:bCs/>
                <w:sz w:val="24"/>
              </w:rPr>
              <w:t>5 Empathy</w:t>
            </w:r>
          </w:p>
          <w:p>
            <w:pPr>
              <w:jc w:val="center"/>
              <w:rPr>
                <w:b/>
                <w:bCs/>
                <w:szCs w:val="21"/>
              </w:rPr>
            </w:pPr>
          </w:p>
        </w:tc>
        <w:tc>
          <w:tcPr>
            <w:tcW w:w="1700"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⑭ Ability to provide personalized services</w:t>
            </w:r>
          </w:p>
        </w:tc>
        <w:tc>
          <w:tcPr>
            <w:tcW w:w="3260" w:type="dxa"/>
            <w:vAlign w:val="center"/>
          </w:tcPr>
          <w:p>
            <w:pPr>
              <w:pStyle w:val="25"/>
              <w:spacing w:line="240" w:lineRule="auto"/>
              <w:ind w:firstLine="0" w:firstLineChars="0"/>
              <w:rPr>
                <w:rFonts w:hint="eastAsia" w:ascii="微软雅黑" w:hAnsi="微软雅黑" w:eastAsia="微软雅黑" w:cs="微软雅黑"/>
                <w:bCs w:val="0"/>
                <w:sz w:val="18"/>
                <w:szCs w:val="18"/>
              </w:rPr>
            </w:pPr>
            <w:r>
              <w:rPr>
                <w:rFonts w:hint="eastAsia" w:ascii="微软雅黑" w:hAnsi="微软雅黑" w:eastAsia="微软雅黑" w:cs="微软雅黑"/>
                <w:bCs w:val="0"/>
                <w:sz w:val="18"/>
                <w:szCs w:val="18"/>
              </w:rPr>
              <w:t xml:space="preserve">The ability to provide personalized services in view of the user. </w:t>
            </w:r>
          </w:p>
        </w:tc>
        <w:tc>
          <w:tcPr>
            <w:tcW w:w="1327"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582" w:type="dxa"/>
            <w:vAlign w:val="center"/>
          </w:tcPr>
          <w:p>
            <w:pPr>
              <w:jc w:val="center"/>
              <w:rPr>
                <w:szCs w:val="21"/>
              </w:rPr>
            </w:pPr>
          </w:p>
        </w:tc>
        <w:tc>
          <w:tcPr>
            <w:tcW w:w="305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1242" w:type="dxa"/>
            <w:vMerge w:val="continue"/>
            <w:vAlign w:val="center"/>
          </w:tcPr>
          <w:p>
            <w:pPr>
              <w:jc w:val="center"/>
              <w:rPr>
                <w:rFonts w:hint="eastAsia"/>
                <w:b/>
                <w:bCs/>
                <w:szCs w:val="21"/>
              </w:rPr>
            </w:pPr>
          </w:p>
        </w:tc>
        <w:tc>
          <w:tcPr>
            <w:tcW w:w="1700" w:type="dxa"/>
            <w:vAlign w:val="center"/>
          </w:tcPr>
          <w:p>
            <w:pPr>
              <w:pStyle w:val="25"/>
              <w:spacing w:line="240" w:lineRule="auto"/>
              <w:ind w:firstLine="0" w:firstLineChars="0"/>
              <w:rPr>
                <w:bCs w:val="0"/>
                <w:szCs w:val="24"/>
              </w:rPr>
            </w:pPr>
            <w:r>
              <w:rPr>
                <w:rFonts w:hint="eastAsia" w:ascii="微软雅黑" w:hAnsi="微软雅黑" w:eastAsia="微软雅黑" w:cs="微软雅黑"/>
                <w:bCs w:val="0"/>
                <w:sz w:val="18"/>
                <w:szCs w:val="18"/>
              </w:rPr>
              <w:t>⑮ Give priority to the interests of the clients</w:t>
            </w:r>
          </w:p>
        </w:tc>
        <w:tc>
          <w:tcPr>
            <w:tcW w:w="3260" w:type="dxa"/>
            <w:vAlign w:val="center"/>
          </w:tcPr>
          <w:p>
            <w:pPr>
              <w:pStyle w:val="25"/>
              <w:spacing w:line="240" w:lineRule="auto"/>
              <w:ind w:firstLine="0" w:firstLineChars="0"/>
              <w:rPr>
                <w:rFonts w:ascii="微软雅黑" w:hAnsi="微软雅黑" w:eastAsia="微软雅黑" w:cs="微软雅黑"/>
                <w:bCs w:val="0"/>
                <w:sz w:val="18"/>
                <w:szCs w:val="18"/>
              </w:rPr>
            </w:pPr>
            <w:r>
              <w:rPr>
                <w:rFonts w:hint="eastAsia" w:ascii="微软雅黑" w:hAnsi="微软雅黑" w:eastAsia="微软雅黑" w:cs="微软雅黑"/>
                <w:bCs w:val="0"/>
                <w:sz w:val="18"/>
                <w:szCs w:val="18"/>
              </w:rPr>
              <w:t xml:space="preserve">The ability to give priority to the interests of the clients in view of the user. </w:t>
            </w:r>
          </w:p>
        </w:tc>
        <w:tc>
          <w:tcPr>
            <w:tcW w:w="1327" w:type="dxa"/>
            <w:vAlign w:val="center"/>
          </w:tcPr>
          <w:p>
            <w:pPr>
              <w:jc w:val="center"/>
              <w:rPr>
                <w:rFonts w:cs="Calibri"/>
                <w:kern w:val="0"/>
                <w:sz w:val="22"/>
                <w:szCs w:val="22"/>
              </w:rPr>
            </w:pPr>
          </w:p>
        </w:tc>
        <w:tc>
          <w:tcPr>
            <w:tcW w:w="1251" w:type="dxa"/>
            <w:vAlign w:val="center"/>
          </w:tcPr>
          <w:p>
            <w:pPr>
              <w:jc w:val="center"/>
              <w:rPr>
                <w:szCs w:val="21"/>
              </w:rPr>
            </w:pPr>
          </w:p>
        </w:tc>
        <w:tc>
          <w:tcPr>
            <w:tcW w:w="1251" w:type="dxa"/>
            <w:vAlign w:val="center"/>
          </w:tcPr>
          <w:p>
            <w:pPr>
              <w:jc w:val="center"/>
              <w:rPr>
                <w:szCs w:val="21"/>
              </w:rPr>
            </w:pPr>
          </w:p>
        </w:tc>
        <w:tc>
          <w:tcPr>
            <w:tcW w:w="1251" w:type="dxa"/>
            <w:vAlign w:val="center"/>
          </w:tcPr>
          <w:p>
            <w:pPr>
              <w:jc w:val="center"/>
              <w:rPr>
                <w:szCs w:val="21"/>
              </w:rPr>
            </w:pPr>
          </w:p>
        </w:tc>
        <w:tc>
          <w:tcPr>
            <w:tcW w:w="1582" w:type="dxa"/>
            <w:vAlign w:val="center"/>
          </w:tcPr>
          <w:p>
            <w:pPr>
              <w:jc w:val="center"/>
              <w:rPr>
                <w:szCs w:val="21"/>
              </w:rPr>
            </w:pPr>
          </w:p>
        </w:tc>
        <w:tc>
          <w:tcPr>
            <w:tcW w:w="3053"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blHeader/>
          <w:jc w:val="center"/>
        </w:trPr>
        <w:tc>
          <w:tcPr>
            <w:tcW w:w="1242" w:type="dxa"/>
            <w:vAlign w:val="center"/>
          </w:tcPr>
          <w:p>
            <w:pPr>
              <w:jc w:val="center"/>
              <w:rPr>
                <w:szCs w:val="21"/>
              </w:rPr>
            </w:pPr>
            <w:r>
              <w:rPr>
                <w:rFonts w:hint="eastAsia"/>
                <w:szCs w:val="21"/>
              </w:rPr>
              <w:t>You suggest</w:t>
            </w:r>
          </w:p>
          <w:p>
            <w:pPr>
              <w:jc w:val="center"/>
              <w:rPr>
                <w:rFonts w:hint="eastAsia"/>
                <w:b/>
                <w:bCs/>
                <w:szCs w:val="21"/>
              </w:rPr>
            </w:pPr>
            <w:r>
              <w:rPr>
                <w:rFonts w:hint="eastAsia"/>
                <w:szCs w:val="21"/>
              </w:rPr>
              <w:t>Additional or deleted secondary entries</w:t>
            </w:r>
          </w:p>
        </w:tc>
        <w:tc>
          <w:tcPr>
            <w:tcW w:w="14675" w:type="dxa"/>
            <w:gridSpan w:val="8"/>
            <w:vAlign w:val="center"/>
          </w:tcPr>
          <w:p>
            <w:pPr>
              <w:jc w:val="center"/>
              <w:rPr>
                <w:szCs w:val="21"/>
              </w:rPr>
            </w:pPr>
          </w:p>
        </w:tc>
      </w:tr>
    </w:tbl>
    <w:p>
      <w:pPr>
        <w:spacing w:line="300" w:lineRule="auto"/>
        <w:sectPr>
          <w:headerReference r:id="rId5" w:type="default"/>
          <w:pgSz w:w="16838" w:h="11905" w:orient="landscape"/>
          <w:pgMar w:top="567" w:right="567" w:bottom="567" w:left="567" w:header="737" w:footer="737" w:gutter="0"/>
          <w:cols w:space="720" w:num="1"/>
          <w:docGrid w:type="lines" w:linePitch="316" w:charSpace="0"/>
        </w:sectPr>
      </w:pPr>
    </w:p>
    <w:p>
      <w:pPr>
        <w:pStyle w:val="25"/>
        <w:spacing w:line="300" w:lineRule="auto"/>
        <w:ind w:firstLine="0" w:firstLineChars="0"/>
        <w:jc w:val="center"/>
        <w:rPr>
          <w:rFonts w:hint="eastAsia"/>
          <w:b/>
          <w:sz w:val="28"/>
          <w:szCs w:val="36"/>
        </w:rPr>
      </w:pPr>
      <w:r>
        <w:rPr>
          <w:rFonts w:hint="eastAsia"/>
          <w:b/>
          <w:sz w:val="28"/>
          <w:szCs w:val="36"/>
        </w:rPr>
        <w:t xml:space="preserve"> The third part of the expert basic situation investigation and self-evaluation form</w:t>
      </w:r>
    </w:p>
    <w:p>
      <w:pPr>
        <w:pStyle w:val="25"/>
        <w:spacing w:line="300" w:lineRule="auto"/>
        <w:ind w:firstLine="0" w:firstLineChars="0"/>
        <w:rPr>
          <w:bCs w:val="0"/>
          <w:szCs w:val="24"/>
        </w:rPr>
      </w:pPr>
      <w:r>
        <w:rPr>
          <w:rFonts w:hint="eastAsia"/>
          <w:bCs w:val="0"/>
          <w:szCs w:val="24"/>
        </w:rPr>
        <w:t>Fill in the form description: please fill in or check the corresponding items according to the actual situation (all your information will be kept strictly confidential).</w:t>
      </w:r>
    </w:p>
    <w:p>
      <w:pPr>
        <w:pStyle w:val="11"/>
        <w:spacing w:before="156" w:beforeLines="50" w:after="156" w:afterLines="50" w:line="300" w:lineRule="auto"/>
        <w:rPr>
          <w:sz w:val="28"/>
          <w:szCs w:val="28"/>
        </w:rPr>
      </w:pPr>
      <w:r>
        <w:rPr>
          <w:rFonts w:hint="eastAsia"/>
          <w:sz w:val="28"/>
          <w:szCs w:val="28"/>
        </w:rPr>
        <w:t>Table 4. Basic information of the experts</w:t>
      </w:r>
    </w:p>
    <w:tbl>
      <w:tblPr>
        <w:tblStyle w:val="19"/>
        <w:tblW w:w="9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1"/>
        <w:gridCol w:w="4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surname and personal name</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rFonts w:hint="eastAsia"/>
                <w:b/>
                <w:sz w:val="22"/>
                <w:szCs w:val="22"/>
              </w:rPr>
            </w:pPr>
            <w:r>
              <w:rPr>
                <w:b/>
                <w:sz w:val="22"/>
                <w:szCs w:val="22"/>
              </w:rPr>
              <w:t>sex</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age</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work unit</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rFonts w:hint="eastAsia"/>
                <w:b/>
                <w:sz w:val="22"/>
                <w:szCs w:val="22"/>
              </w:rPr>
            </w:pPr>
            <w:r>
              <w:rPr>
                <w:rFonts w:hint="eastAsia"/>
                <w:b/>
                <w:sz w:val="22"/>
                <w:szCs w:val="22"/>
              </w:rPr>
              <w:t>administrative or technical offices</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post</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professional ranks and titles</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Align w:val="center"/>
          </w:tcPr>
          <w:p>
            <w:pPr>
              <w:pStyle w:val="25"/>
              <w:spacing w:line="300" w:lineRule="auto"/>
              <w:ind w:firstLine="0" w:firstLineChars="0"/>
              <w:jc w:val="center"/>
              <w:rPr>
                <w:rFonts w:hint="eastAsia"/>
                <w:b/>
                <w:sz w:val="22"/>
                <w:szCs w:val="22"/>
              </w:rPr>
            </w:pPr>
            <w:r>
              <w:rPr>
                <w:rFonts w:hint="eastAsia"/>
                <w:b/>
                <w:sz w:val="22"/>
                <w:szCs w:val="22"/>
              </w:rPr>
              <w:t>record of formal schooling</w:t>
            </w:r>
          </w:p>
        </w:tc>
        <w:tc>
          <w:tcPr>
            <w:tcW w:w="4651" w:type="dxa"/>
            <w:vAlign w:val="top"/>
          </w:tcPr>
          <w:p>
            <w:pPr>
              <w:pStyle w:val="25"/>
              <w:spacing w:line="300" w:lineRule="auto"/>
              <w:ind w:firstLine="0" w:firstLineChars="0"/>
              <w:jc w:val="center"/>
              <w:rPr>
                <w:rFonts w:hint="eastAsia"/>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Work field</w:t>
            </w:r>
          </w:p>
        </w:tc>
        <w:tc>
          <w:tcPr>
            <w:tcW w:w="4651" w:type="dxa"/>
            <w:vAlign w:val="top"/>
          </w:tcPr>
          <w:p>
            <w:pPr>
              <w:pStyle w:val="25"/>
              <w:spacing w:line="300" w:lineRule="auto"/>
              <w:ind w:firstLine="0" w:firstLineChars="0"/>
              <w:jc w:val="center"/>
              <w:rPr>
                <w:rFonts w:hint="eastAsia"/>
                <w:bCs w:val="0"/>
                <w:sz w:val="22"/>
                <w:szCs w:val="22"/>
              </w:rPr>
            </w:pPr>
            <w:r>
              <w:rPr>
                <w:rFonts w:hint="eastAsia"/>
                <w:bCs w:val="0"/>
                <w:sz w:val="22"/>
                <w:szCs w:val="22"/>
              </w:rPr>
              <w:t>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651" w:type="dxa"/>
            <w:vAlign w:val="center"/>
          </w:tcPr>
          <w:p>
            <w:pPr>
              <w:pStyle w:val="25"/>
              <w:spacing w:line="300" w:lineRule="auto"/>
              <w:ind w:firstLine="0" w:firstLineChars="0"/>
              <w:jc w:val="center"/>
              <w:rPr>
                <w:b/>
                <w:sz w:val="22"/>
                <w:szCs w:val="22"/>
              </w:rPr>
            </w:pPr>
            <w:r>
              <w:rPr>
                <w:rFonts w:hint="eastAsia"/>
                <w:b/>
                <w:sz w:val="22"/>
                <w:szCs w:val="22"/>
              </w:rPr>
              <w:t>working life</w:t>
            </w:r>
          </w:p>
        </w:tc>
        <w:tc>
          <w:tcPr>
            <w:tcW w:w="4651" w:type="dxa"/>
            <w:vAlign w:val="top"/>
          </w:tcPr>
          <w:p>
            <w:pPr>
              <w:pStyle w:val="25"/>
              <w:spacing w:line="300" w:lineRule="auto"/>
              <w:ind w:right="880" w:firstLine="440"/>
              <w:jc w:val="center"/>
              <w:rPr>
                <w:rFonts w:hint="eastAsia"/>
                <w:bCs w:val="0"/>
                <w:sz w:val="22"/>
                <w:szCs w:val="22"/>
              </w:rPr>
            </w:pPr>
            <w:r>
              <w:rPr>
                <w:rFonts w:hint="eastAsia"/>
                <w:bCs w:val="0"/>
                <w:sz w:val="22"/>
                <w:szCs w:val="22"/>
              </w:rPr>
              <w:t>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Merge w:val="restart"/>
            <w:vAlign w:val="center"/>
          </w:tcPr>
          <w:p>
            <w:pPr>
              <w:pStyle w:val="25"/>
              <w:spacing w:line="300" w:lineRule="auto"/>
              <w:ind w:firstLine="0" w:firstLineChars="0"/>
              <w:jc w:val="center"/>
              <w:rPr>
                <w:b/>
                <w:sz w:val="22"/>
                <w:szCs w:val="22"/>
              </w:rPr>
            </w:pPr>
            <w:r>
              <w:rPr>
                <w:rFonts w:hint="eastAsia"/>
                <w:b/>
                <w:sz w:val="22"/>
                <w:szCs w:val="22"/>
              </w:rPr>
              <w:t>Study / field of familiarity and years</w:t>
            </w:r>
          </w:p>
        </w:tc>
        <w:tc>
          <w:tcPr>
            <w:tcW w:w="4651" w:type="dxa"/>
            <w:vAlign w:val="top"/>
          </w:tcPr>
          <w:p>
            <w:pPr>
              <w:pStyle w:val="25"/>
              <w:spacing w:line="300" w:lineRule="auto"/>
              <w:ind w:right="880" w:firstLine="440"/>
              <w:jc w:val="center"/>
              <w:rPr>
                <w:bCs w:val="0"/>
                <w:sz w:val="22"/>
                <w:szCs w:val="22"/>
              </w:rPr>
            </w:pPr>
            <w:r>
              <w:rPr>
                <w:rFonts w:hint="eastAsia"/>
                <w:bCs w:val="0"/>
                <w:sz w:val="22"/>
                <w:szCs w:val="22"/>
              </w:rPr>
              <w:t>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51" w:type="dxa"/>
            <w:vMerge w:val="continue"/>
            <w:vAlign w:val="top"/>
          </w:tcPr>
          <w:p>
            <w:pPr>
              <w:pStyle w:val="25"/>
              <w:spacing w:line="300" w:lineRule="auto"/>
              <w:ind w:firstLine="0" w:firstLineChars="0"/>
              <w:jc w:val="both"/>
              <w:rPr>
                <w:bCs w:val="0"/>
                <w:sz w:val="22"/>
                <w:szCs w:val="22"/>
              </w:rPr>
            </w:pPr>
          </w:p>
        </w:tc>
        <w:tc>
          <w:tcPr>
            <w:tcW w:w="4651" w:type="dxa"/>
            <w:vAlign w:val="top"/>
          </w:tcPr>
          <w:p>
            <w:pPr>
              <w:pStyle w:val="25"/>
              <w:spacing w:line="300" w:lineRule="auto"/>
              <w:ind w:right="880" w:firstLine="440"/>
              <w:jc w:val="center"/>
              <w:rPr>
                <w:rFonts w:hint="eastAsia"/>
                <w:bCs w:val="0"/>
                <w:sz w:val="22"/>
                <w:szCs w:val="22"/>
              </w:rPr>
            </w:pPr>
            <w:r>
              <w:rPr>
                <w:rFonts w:hint="eastAsia"/>
                <w:bCs w:val="0"/>
                <w:sz w:val="22"/>
                <w:szCs w:val="22"/>
              </w:rPr>
              <w:t>year</w:t>
            </w:r>
          </w:p>
        </w:tc>
      </w:tr>
    </w:tbl>
    <w:p>
      <w:pPr>
        <w:pStyle w:val="11"/>
        <w:spacing w:before="156" w:beforeLines="50" w:after="156" w:afterLines="50" w:line="300" w:lineRule="auto"/>
        <w:rPr>
          <w:sz w:val="28"/>
          <w:szCs w:val="28"/>
        </w:rPr>
      </w:pPr>
      <w:r>
        <w:rPr>
          <w:rFonts w:hint="eastAsia"/>
          <w:sz w:val="28"/>
          <w:szCs w:val="28"/>
        </w:rPr>
        <w:t>Table 5. Self-evaluation table of expert authority degree</w:t>
      </w:r>
    </w:p>
    <w:tbl>
      <w:tblPr>
        <w:tblStyle w:val="19"/>
        <w:tblW w:w="9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219"/>
        <w:gridCol w:w="640"/>
        <w:gridCol w:w="1435"/>
        <w:gridCol w:w="421"/>
        <w:gridCol w:w="1655"/>
        <w:gridCol w:w="205"/>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9" w:type="dxa"/>
            <w:gridSpan w:val="8"/>
            <w:vAlign w:val="center"/>
          </w:tcPr>
          <w:p>
            <w:pPr>
              <w:autoSpaceDE w:val="0"/>
              <w:spacing w:line="300" w:lineRule="auto"/>
              <w:jc w:val="center"/>
              <w:rPr>
                <w:rFonts w:cs="Calibri"/>
                <w:kern w:val="0"/>
                <w:sz w:val="22"/>
                <w:szCs w:val="22"/>
              </w:rPr>
            </w:pPr>
            <w:r>
              <w:rPr>
                <w:rFonts w:hint="eastAsia" w:cs="Calibri"/>
                <w:kern w:val="0"/>
                <w:sz w:val="22"/>
                <w:szCs w:val="22"/>
              </w:rPr>
              <w:t>In the letter inquiry, the following four judgments are based on the degree of influence on you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75" w:type="dxa"/>
            <w:gridSpan w:val="2"/>
            <w:tcBorders>
              <w:tl2br w:val="single" w:color="auto" w:sz="4" w:space="0"/>
            </w:tcBorders>
            <w:vAlign w:val="center"/>
          </w:tcPr>
          <w:p>
            <w:pPr>
              <w:autoSpaceDE w:val="0"/>
              <w:snapToGrid w:val="0"/>
              <w:spacing w:line="300" w:lineRule="auto"/>
              <w:ind w:firstLine="1320" w:firstLineChars="600"/>
              <w:jc w:val="right"/>
              <w:rPr>
                <w:rFonts w:hint="eastAsia" w:cs="Calibri"/>
                <w:kern w:val="0"/>
                <w:sz w:val="22"/>
                <w:szCs w:val="22"/>
              </w:rPr>
            </w:pPr>
            <w:r>
              <w:rPr>
                <w:rFonts w:hint="eastAsia" w:cs="Calibri"/>
                <w:kern w:val="0"/>
                <w:sz w:val="22"/>
                <w:szCs w:val="22"/>
              </w:rPr>
              <w:t>Influence degree</w:t>
            </w:r>
          </w:p>
          <w:p>
            <w:pPr>
              <w:autoSpaceDE w:val="0"/>
              <w:snapToGrid w:val="0"/>
              <w:spacing w:line="300" w:lineRule="auto"/>
              <w:jc w:val="left"/>
              <w:rPr>
                <w:rFonts w:hint="eastAsia" w:cs="Calibri"/>
                <w:kern w:val="0"/>
                <w:sz w:val="22"/>
                <w:szCs w:val="22"/>
              </w:rPr>
            </w:pPr>
            <w:r>
              <w:rPr>
                <w:rFonts w:hint="eastAsia" w:cs="Calibri"/>
                <w:kern w:val="0"/>
                <w:sz w:val="22"/>
                <w:szCs w:val="22"/>
              </w:rPr>
              <w:t>Judgment basis</w:t>
            </w:r>
          </w:p>
        </w:tc>
        <w:tc>
          <w:tcPr>
            <w:tcW w:w="2075" w:type="dxa"/>
            <w:gridSpan w:val="2"/>
            <w:vAlign w:val="center"/>
          </w:tcPr>
          <w:p>
            <w:pPr>
              <w:autoSpaceDE w:val="0"/>
              <w:spacing w:line="300" w:lineRule="auto"/>
              <w:jc w:val="center"/>
              <w:rPr>
                <w:rFonts w:cs="Calibri"/>
                <w:kern w:val="0"/>
                <w:sz w:val="24"/>
              </w:rPr>
            </w:pPr>
            <w:r>
              <w:rPr>
                <w:rFonts w:hint="eastAsia" w:cs="Calibri"/>
                <w:kern w:val="0"/>
                <w:sz w:val="24"/>
              </w:rPr>
              <w:t>big</w:t>
            </w:r>
          </w:p>
        </w:tc>
        <w:tc>
          <w:tcPr>
            <w:tcW w:w="2076" w:type="dxa"/>
            <w:gridSpan w:val="2"/>
            <w:vAlign w:val="center"/>
          </w:tcPr>
          <w:p>
            <w:pPr>
              <w:autoSpaceDE w:val="0"/>
              <w:spacing w:line="300" w:lineRule="auto"/>
              <w:jc w:val="center"/>
              <w:rPr>
                <w:rFonts w:hint="eastAsia" w:cs="Calibri"/>
                <w:kern w:val="0"/>
                <w:sz w:val="24"/>
              </w:rPr>
            </w:pPr>
            <w:r>
              <w:rPr>
                <w:rFonts w:hint="eastAsia" w:cs="Calibri"/>
                <w:kern w:val="0"/>
                <w:sz w:val="24"/>
              </w:rPr>
              <w:t>centre</w:t>
            </w:r>
          </w:p>
        </w:tc>
        <w:tc>
          <w:tcPr>
            <w:tcW w:w="2083" w:type="dxa"/>
            <w:gridSpan w:val="2"/>
            <w:vAlign w:val="center"/>
          </w:tcPr>
          <w:p>
            <w:pPr>
              <w:autoSpaceDE w:val="0"/>
              <w:spacing w:line="300" w:lineRule="auto"/>
              <w:jc w:val="center"/>
              <w:rPr>
                <w:rFonts w:hint="eastAsia" w:cs="Calibri"/>
                <w:kern w:val="0"/>
                <w:sz w:val="24"/>
              </w:rPr>
            </w:pPr>
            <w:r>
              <w:rPr>
                <w:rFonts w:hint="eastAsia" w:cs="Calibri"/>
                <w:kern w:val="0"/>
                <w:sz w:val="24"/>
              </w:rPr>
              <w:t>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75" w:type="dxa"/>
            <w:gridSpan w:val="2"/>
            <w:vAlign w:val="center"/>
          </w:tcPr>
          <w:p>
            <w:pPr>
              <w:numPr>
                <w:ilvl w:val="0"/>
                <w:numId w:val="2"/>
              </w:numPr>
              <w:autoSpaceDE w:val="0"/>
              <w:spacing w:line="300" w:lineRule="auto"/>
              <w:jc w:val="center"/>
              <w:rPr>
                <w:rFonts w:cs="Calibri"/>
                <w:b/>
                <w:bCs/>
                <w:kern w:val="0"/>
                <w:sz w:val="22"/>
                <w:szCs w:val="22"/>
              </w:rPr>
            </w:pPr>
            <w:r>
              <w:rPr>
                <w:rFonts w:cs="Calibri"/>
                <w:b/>
                <w:bCs/>
                <w:kern w:val="0"/>
                <w:sz w:val="22"/>
                <w:szCs w:val="22"/>
              </w:rPr>
              <w:t>hands-on</w:t>
            </w:r>
          </w:p>
        </w:tc>
        <w:tc>
          <w:tcPr>
            <w:tcW w:w="2075" w:type="dxa"/>
            <w:gridSpan w:val="2"/>
            <w:vAlign w:val="center"/>
          </w:tcPr>
          <w:p>
            <w:pPr>
              <w:autoSpaceDE w:val="0"/>
              <w:spacing w:line="300" w:lineRule="auto"/>
              <w:jc w:val="center"/>
              <w:rPr>
                <w:rFonts w:cs="Calibri"/>
                <w:kern w:val="0"/>
                <w:sz w:val="22"/>
                <w:szCs w:val="22"/>
              </w:rPr>
            </w:pPr>
          </w:p>
        </w:tc>
        <w:tc>
          <w:tcPr>
            <w:tcW w:w="2076" w:type="dxa"/>
            <w:gridSpan w:val="2"/>
            <w:vAlign w:val="center"/>
          </w:tcPr>
          <w:p>
            <w:pPr>
              <w:autoSpaceDE w:val="0"/>
              <w:spacing w:line="300" w:lineRule="auto"/>
              <w:jc w:val="center"/>
              <w:rPr>
                <w:rFonts w:cs="Calibri"/>
                <w:kern w:val="0"/>
                <w:sz w:val="22"/>
                <w:szCs w:val="22"/>
              </w:rPr>
            </w:pPr>
          </w:p>
        </w:tc>
        <w:tc>
          <w:tcPr>
            <w:tcW w:w="2083" w:type="dxa"/>
            <w:gridSpan w:val="2"/>
            <w:vAlign w:val="center"/>
          </w:tcPr>
          <w:p>
            <w:pPr>
              <w:autoSpaceDE w:val="0"/>
              <w:spacing w:line="300" w:lineRule="auto"/>
              <w:jc w:val="center"/>
              <w:rPr>
                <w:rFonts w:cs="Calibri"/>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75" w:type="dxa"/>
            <w:gridSpan w:val="2"/>
            <w:vAlign w:val="center"/>
          </w:tcPr>
          <w:p>
            <w:pPr>
              <w:numPr>
                <w:ilvl w:val="0"/>
                <w:numId w:val="3"/>
              </w:numPr>
              <w:autoSpaceDE w:val="0"/>
              <w:spacing w:line="300" w:lineRule="auto"/>
              <w:jc w:val="center"/>
              <w:rPr>
                <w:rFonts w:cs="Calibri"/>
                <w:b/>
                <w:bCs/>
                <w:kern w:val="0"/>
                <w:sz w:val="22"/>
                <w:szCs w:val="22"/>
              </w:rPr>
            </w:pPr>
            <w:r>
              <w:rPr>
                <w:rFonts w:cs="Calibri"/>
                <w:b/>
                <w:bCs/>
                <w:kern w:val="0"/>
                <w:sz w:val="22"/>
                <w:szCs w:val="22"/>
              </w:rPr>
              <w:t>theoretical analysis</w:t>
            </w:r>
          </w:p>
        </w:tc>
        <w:tc>
          <w:tcPr>
            <w:tcW w:w="2075" w:type="dxa"/>
            <w:gridSpan w:val="2"/>
            <w:vAlign w:val="center"/>
          </w:tcPr>
          <w:p>
            <w:pPr>
              <w:autoSpaceDE w:val="0"/>
              <w:spacing w:line="300" w:lineRule="auto"/>
              <w:jc w:val="center"/>
              <w:rPr>
                <w:rFonts w:cs="Calibri"/>
                <w:kern w:val="0"/>
                <w:sz w:val="22"/>
                <w:szCs w:val="22"/>
              </w:rPr>
            </w:pPr>
          </w:p>
        </w:tc>
        <w:tc>
          <w:tcPr>
            <w:tcW w:w="2076" w:type="dxa"/>
            <w:gridSpan w:val="2"/>
            <w:vAlign w:val="center"/>
          </w:tcPr>
          <w:p>
            <w:pPr>
              <w:autoSpaceDE w:val="0"/>
              <w:spacing w:line="300" w:lineRule="auto"/>
              <w:jc w:val="center"/>
              <w:rPr>
                <w:rFonts w:cs="Calibri"/>
                <w:kern w:val="0"/>
                <w:sz w:val="22"/>
                <w:szCs w:val="22"/>
              </w:rPr>
            </w:pPr>
          </w:p>
        </w:tc>
        <w:tc>
          <w:tcPr>
            <w:tcW w:w="2083" w:type="dxa"/>
            <w:gridSpan w:val="2"/>
            <w:vAlign w:val="center"/>
          </w:tcPr>
          <w:p>
            <w:pPr>
              <w:autoSpaceDE w:val="0"/>
              <w:spacing w:line="300" w:lineRule="auto"/>
              <w:jc w:val="center"/>
              <w:rPr>
                <w:rFonts w:cs="Calibri"/>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75" w:type="dxa"/>
            <w:gridSpan w:val="2"/>
            <w:vAlign w:val="center"/>
          </w:tcPr>
          <w:p>
            <w:pPr>
              <w:numPr>
                <w:ilvl w:val="0"/>
                <w:numId w:val="3"/>
              </w:numPr>
              <w:autoSpaceDE w:val="0"/>
              <w:spacing w:line="300" w:lineRule="auto"/>
              <w:jc w:val="center"/>
              <w:rPr>
                <w:rFonts w:cs="Calibri"/>
                <w:b/>
                <w:bCs/>
                <w:kern w:val="0"/>
                <w:sz w:val="22"/>
                <w:szCs w:val="22"/>
              </w:rPr>
            </w:pPr>
            <w:r>
              <w:rPr>
                <w:rFonts w:hint="eastAsia" w:cs="Calibri"/>
                <w:b/>
                <w:bCs/>
                <w:kern w:val="0"/>
                <w:sz w:val="22"/>
                <w:szCs w:val="22"/>
              </w:rPr>
              <w:t>The peer understand</w:t>
            </w:r>
          </w:p>
          <w:p>
            <w:pPr>
              <w:autoSpaceDE w:val="0"/>
              <w:spacing w:line="300" w:lineRule="auto"/>
              <w:rPr>
                <w:rFonts w:hint="eastAsia" w:cs="Calibri"/>
                <w:b/>
                <w:bCs/>
                <w:kern w:val="0"/>
                <w:sz w:val="22"/>
                <w:szCs w:val="22"/>
              </w:rPr>
            </w:pPr>
            <w:r>
              <w:rPr>
                <w:rFonts w:hint="eastAsia" w:cs="Calibri"/>
                <w:kern w:val="0"/>
                <w:sz w:val="22"/>
                <w:szCs w:val="22"/>
              </w:rPr>
              <w:t>(For example, refer to relevant domestic information)</w:t>
            </w:r>
          </w:p>
        </w:tc>
        <w:tc>
          <w:tcPr>
            <w:tcW w:w="2075" w:type="dxa"/>
            <w:gridSpan w:val="2"/>
            <w:vAlign w:val="center"/>
          </w:tcPr>
          <w:p>
            <w:pPr>
              <w:autoSpaceDE w:val="0"/>
              <w:spacing w:line="300" w:lineRule="auto"/>
              <w:jc w:val="center"/>
              <w:rPr>
                <w:rFonts w:cs="Calibri"/>
                <w:kern w:val="0"/>
                <w:sz w:val="22"/>
                <w:szCs w:val="22"/>
              </w:rPr>
            </w:pPr>
          </w:p>
        </w:tc>
        <w:tc>
          <w:tcPr>
            <w:tcW w:w="2076" w:type="dxa"/>
            <w:gridSpan w:val="2"/>
            <w:vAlign w:val="center"/>
          </w:tcPr>
          <w:p>
            <w:pPr>
              <w:autoSpaceDE w:val="0"/>
              <w:spacing w:line="300" w:lineRule="auto"/>
              <w:jc w:val="center"/>
              <w:rPr>
                <w:rFonts w:cs="Calibri"/>
                <w:kern w:val="0"/>
                <w:sz w:val="22"/>
                <w:szCs w:val="22"/>
              </w:rPr>
            </w:pPr>
          </w:p>
        </w:tc>
        <w:tc>
          <w:tcPr>
            <w:tcW w:w="2083" w:type="dxa"/>
            <w:gridSpan w:val="2"/>
            <w:vAlign w:val="center"/>
          </w:tcPr>
          <w:p>
            <w:pPr>
              <w:autoSpaceDE w:val="0"/>
              <w:spacing w:line="300" w:lineRule="auto"/>
              <w:jc w:val="center"/>
              <w:rPr>
                <w:rFonts w:cs="Calibri"/>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075" w:type="dxa"/>
            <w:gridSpan w:val="2"/>
            <w:vAlign w:val="center"/>
          </w:tcPr>
          <w:p>
            <w:pPr>
              <w:numPr>
                <w:ilvl w:val="0"/>
                <w:numId w:val="3"/>
              </w:numPr>
              <w:autoSpaceDE w:val="0"/>
              <w:spacing w:line="300" w:lineRule="auto"/>
              <w:jc w:val="center"/>
              <w:rPr>
                <w:rFonts w:cs="Calibri"/>
                <w:b/>
                <w:bCs/>
                <w:kern w:val="0"/>
                <w:sz w:val="22"/>
                <w:szCs w:val="22"/>
              </w:rPr>
            </w:pPr>
            <w:r>
              <w:rPr>
                <w:rFonts w:cs="Calibri"/>
                <w:b/>
                <w:bCs/>
                <w:kern w:val="0"/>
                <w:sz w:val="22"/>
                <w:szCs w:val="22"/>
              </w:rPr>
              <w:t>Intuitive choice</w:t>
            </w:r>
          </w:p>
        </w:tc>
        <w:tc>
          <w:tcPr>
            <w:tcW w:w="2075" w:type="dxa"/>
            <w:gridSpan w:val="2"/>
            <w:vAlign w:val="center"/>
          </w:tcPr>
          <w:p>
            <w:pPr>
              <w:autoSpaceDE w:val="0"/>
              <w:spacing w:line="300" w:lineRule="auto"/>
              <w:jc w:val="center"/>
              <w:rPr>
                <w:rFonts w:cs="Calibri"/>
                <w:kern w:val="0"/>
                <w:sz w:val="22"/>
                <w:szCs w:val="22"/>
              </w:rPr>
            </w:pPr>
          </w:p>
        </w:tc>
        <w:tc>
          <w:tcPr>
            <w:tcW w:w="2076" w:type="dxa"/>
            <w:gridSpan w:val="2"/>
            <w:vAlign w:val="center"/>
          </w:tcPr>
          <w:p>
            <w:pPr>
              <w:autoSpaceDE w:val="0"/>
              <w:spacing w:line="300" w:lineRule="auto"/>
              <w:jc w:val="center"/>
              <w:rPr>
                <w:rFonts w:cs="Calibri"/>
                <w:kern w:val="0"/>
                <w:sz w:val="22"/>
                <w:szCs w:val="22"/>
              </w:rPr>
            </w:pPr>
          </w:p>
        </w:tc>
        <w:tc>
          <w:tcPr>
            <w:tcW w:w="2083" w:type="dxa"/>
            <w:gridSpan w:val="2"/>
            <w:vAlign w:val="center"/>
          </w:tcPr>
          <w:p>
            <w:pPr>
              <w:autoSpaceDE w:val="0"/>
              <w:spacing w:line="300" w:lineRule="auto"/>
              <w:jc w:val="center"/>
              <w:rPr>
                <w:rFonts w:cs="Calibri"/>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309" w:type="dxa"/>
            <w:gridSpan w:val="8"/>
            <w:vAlign w:val="center"/>
          </w:tcPr>
          <w:p>
            <w:pPr>
              <w:autoSpaceDE w:val="0"/>
              <w:spacing w:line="300" w:lineRule="auto"/>
              <w:jc w:val="center"/>
              <w:rPr>
                <w:rFonts w:cs="Calibri"/>
                <w:kern w:val="0"/>
                <w:sz w:val="22"/>
                <w:szCs w:val="22"/>
              </w:rPr>
            </w:pPr>
            <w:r>
              <w:rPr>
                <w:rFonts w:hint="eastAsia" w:cs="Calibri"/>
                <w:sz w:val="22"/>
                <w:szCs w:val="22"/>
                <w:lang w:val="en-US" w:eastAsia="zh-CN"/>
              </w:rPr>
              <w:t>Your familiarity with Internet + Home care related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6" w:type="dxa"/>
            <w:vAlign w:val="center"/>
          </w:tcPr>
          <w:p>
            <w:pPr>
              <w:autoSpaceDE w:val="0"/>
              <w:spacing w:line="300" w:lineRule="auto"/>
              <w:jc w:val="center"/>
              <w:rPr>
                <w:rFonts w:cs="Calibri"/>
                <w:b/>
                <w:bCs/>
                <w:kern w:val="0"/>
                <w:sz w:val="22"/>
                <w:szCs w:val="22"/>
              </w:rPr>
            </w:pPr>
            <w:r>
              <w:rPr>
                <w:rFonts w:cs="Calibri"/>
                <w:b/>
                <w:bCs/>
                <w:kern w:val="0"/>
                <w:sz w:val="22"/>
                <w:szCs w:val="22"/>
              </w:rPr>
              <w:t>know...well</w:t>
            </w:r>
          </w:p>
        </w:tc>
        <w:tc>
          <w:tcPr>
            <w:tcW w:w="1859" w:type="dxa"/>
            <w:gridSpan w:val="2"/>
            <w:vAlign w:val="center"/>
          </w:tcPr>
          <w:p>
            <w:pPr>
              <w:autoSpaceDE w:val="0"/>
              <w:spacing w:line="300" w:lineRule="auto"/>
              <w:jc w:val="center"/>
              <w:rPr>
                <w:rFonts w:cs="Calibri"/>
                <w:b/>
                <w:bCs/>
                <w:kern w:val="0"/>
                <w:sz w:val="22"/>
                <w:szCs w:val="22"/>
              </w:rPr>
            </w:pPr>
            <w:r>
              <w:rPr>
                <w:rFonts w:cs="Calibri"/>
                <w:b/>
                <w:bCs/>
                <w:kern w:val="0"/>
                <w:sz w:val="22"/>
                <w:szCs w:val="22"/>
              </w:rPr>
              <w:t>More familiar with</w:t>
            </w:r>
          </w:p>
        </w:tc>
        <w:tc>
          <w:tcPr>
            <w:tcW w:w="1856" w:type="dxa"/>
            <w:gridSpan w:val="2"/>
            <w:vAlign w:val="center"/>
          </w:tcPr>
          <w:p>
            <w:pPr>
              <w:autoSpaceDE w:val="0"/>
              <w:spacing w:line="300" w:lineRule="auto"/>
              <w:jc w:val="center"/>
              <w:rPr>
                <w:rFonts w:cs="Calibri"/>
                <w:b/>
                <w:bCs/>
                <w:kern w:val="0"/>
                <w:sz w:val="22"/>
                <w:szCs w:val="22"/>
              </w:rPr>
            </w:pPr>
            <w:r>
              <w:rPr>
                <w:rFonts w:cs="Calibri"/>
                <w:b/>
                <w:bCs/>
                <w:kern w:val="0"/>
                <w:sz w:val="22"/>
                <w:szCs w:val="22"/>
              </w:rPr>
              <w:t>Generally familiar with</w:t>
            </w:r>
          </w:p>
        </w:tc>
        <w:tc>
          <w:tcPr>
            <w:tcW w:w="1860" w:type="dxa"/>
            <w:gridSpan w:val="2"/>
            <w:vAlign w:val="center"/>
          </w:tcPr>
          <w:p>
            <w:pPr>
              <w:autoSpaceDE w:val="0"/>
              <w:spacing w:line="300" w:lineRule="auto"/>
              <w:jc w:val="center"/>
              <w:rPr>
                <w:rFonts w:cs="Calibri"/>
                <w:b/>
                <w:bCs/>
                <w:kern w:val="0"/>
                <w:sz w:val="22"/>
                <w:szCs w:val="22"/>
              </w:rPr>
            </w:pPr>
            <w:r>
              <w:rPr>
                <w:rFonts w:cs="Calibri"/>
                <w:b/>
                <w:bCs/>
                <w:kern w:val="0"/>
                <w:sz w:val="22"/>
                <w:szCs w:val="22"/>
              </w:rPr>
              <w:t>Not familiar with</w:t>
            </w:r>
          </w:p>
        </w:tc>
        <w:tc>
          <w:tcPr>
            <w:tcW w:w="1878" w:type="dxa"/>
            <w:vAlign w:val="center"/>
          </w:tcPr>
          <w:p>
            <w:pPr>
              <w:autoSpaceDE w:val="0"/>
              <w:spacing w:line="300" w:lineRule="auto"/>
              <w:jc w:val="center"/>
              <w:rPr>
                <w:rFonts w:cs="Calibri"/>
                <w:b/>
                <w:bCs/>
                <w:kern w:val="0"/>
                <w:sz w:val="22"/>
                <w:szCs w:val="22"/>
              </w:rPr>
            </w:pPr>
            <w:r>
              <w:rPr>
                <w:rFonts w:cs="Calibri"/>
                <w:b/>
                <w:bCs/>
                <w:kern w:val="0"/>
                <w:sz w:val="22"/>
                <w:szCs w:val="22"/>
              </w:rPr>
              <w:t xml:space="preserve"> Not familiar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6" w:type="dxa"/>
            <w:vAlign w:val="center"/>
          </w:tcPr>
          <w:p>
            <w:pPr>
              <w:autoSpaceDE w:val="0"/>
              <w:spacing w:line="300" w:lineRule="auto"/>
              <w:jc w:val="center"/>
              <w:rPr>
                <w:rFonts w:cs="Calibri"/>
                <w:kern w:val="0"/>
                <w:sz w:val="22"/>
                <w:szCs w:val="22"/>
              </w:rPr>
            </w:pPr>
          </w:p>
        </w:tc>
        <w:tc>
          <w:tcPr>
            <w:tcW w:w="1859" w:type="dxa"/>
            <w:gridSpan w:val="2"/>
            <w:vAlign w:val="center"/>
          </w:tcPr>
          <w:p>
            <w:pPr>
              <w:autoSpaceDE w:val="0"/>
              <w:spacing w:line="300" w:lineRule="auto"/>
              <w:jc w:val="center"/>
              <w:rPr>
                <w:rFonts w:cs="Calibri"/>
                <w:kern w:val="0"/>
                <w:sz w:val="22"/>
                <w:szCs w:val="22"/>
              </w:rPr>
            </w:pPr>
          </w:p>
        </w:tc>
        <w:tc>
          <w:tcPr>
            <w:tcW w:w="1856" w:type="dxa"/>
            <w:gridSpan w:val="2"/>
            <w:vAlign w:val="center"/>
          </w:tcPr>
          <w:p>
            <w:pPr>
              <w:autoSpaceDE w:val="0"/>
              <w:spacing w:line="300" w:lineRule="auto"/>
              <w:jc w:val="center"/>
              <w:rPr>
                <w:rFonts w:cs="Calibri"/>
                <w:kern w:val="0"/>
                <w:sz w:val="22"/>
                <w:szCs w:val="22"/>
              </w:rPr>
            </w:pPr>
          </w:p>
        </w:tc>
        <w:tc>
          <w:tcPr>
            <w:tcW w:w="1860" w:type="dxa"/>
            <w:gridSpan w:val="2"/>
            <w:vAlign w:val="center"/>
          </w:tcPr>
          <w:p>
            <w:pPr>
              <w:autoSpaceDE w:val="0"/>
              <w:spacing w:line="300" w:lineRule="auto"/>
              <w:jc w:val="center"/>
              <w:rPr>
                <w:rFonts w:cs="Calibri"/>
                <w:kern w:val="0"/>
                <w:sz w:val="22"/>
                <w:szCs w:val="22"/>
              </w:rPr>
            </w:pPr>
          </w:p>
        </w:tc>
        <w:tc>
          <w:tcPr>
            <w:tcW w:w="1878" w:type="dxa"/>
            <w:vAlign w:val="center"/>
          </w:tcPr>
          <w:p>
            <w:pPr>
              <w:autoSpaceDE w:val="0"/>
              <w:spacing w:line="300" w:lineRule="auto"/>
              <w:jc w:val="center"/>
              <w:rPr>
                <w:rFonts w:cs="Calibri"/>
                <w:kern w:val="0"/>
                <w:sz w:val="22"/>
                <w:szCs w:val="22"/>
              </w:rPr>
            </w:pPr>
          </w:p>
        </w:tc>
      </w:tr>
    </w:tbl>
    <w:p>
      <w:pPr>
        <w:spacing w:line="300" w:lineRule="auto"/>
        <w:jc w:val="left"/>
        <w:rPr>
          <w:rFonts w:hint="eastAsia"/>
          <w:sz w:val="24"/>
        </w:rPr>
      </w:pPr>
    </w:p>
    <w:p>
      <w:pPr>
        <w:spacing w:line="360" w:lineRule="auto"/>
        <w:jc w:val="center"/>
        <w:rPr>
          <w:sz w:val="24"/>
          <w:szCs w:val="32"/>
        </w:rPr>
      </w:pPr>
      <w:r>
        <w:rPr>
          <w:rFonts w:hint="eastAsia"/>
          <w:sz w:val="24"/>
        </w:rPr>
        <w:t>The above are all the contents of this letter of inquiry. Thank you for your support and cooperation with this study. Wish you a happy life!</w:t>
      </w:r>
    </w:p>
    <w:sectPr>
      <w:headerReference r:id="rId6" w:type="default"/>
      <w:pgSz w:w="11905" w:h="16838"/>
      <w:pgMar w:top="1440" w:right="1406" w:bottom="1440" w:left="1406" w:header="737" w:footer="737" w:gutter="0"/>
      <w:cols w:space="720"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你是我的东西南北">
    <w:altName w:val="微软雅黑"/>
    <w:panose1 w:val="00000000000000000000"/>
    <w:charset w:val="00"/>
    <w:family w:val="auto"/>
    <w:pitch w:val="default"/>
    <w:sig w:usb0="00000000" w:usb1="00000000" w:usb2="00000012" w:usb3="00000000" w:csb0="00040001" w:csb1="00000000"/>
  </w:font>
  <w:font w:name="Wingdings 2">
    <w:altName w:val="Wingdings"/>
    <w:panose1 w:val="05020102010507070707"/>
    <w:charset w:val="00"/>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t>Project leader: Professor Jin Xiaoqing of Zhejiang Hospital Contact Email: zjyyhlb2019@126.com</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HYPERLINK "mailto:zjyyhlb2019@126.com"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fldChar w:fldCharType="end"/>
    </w:r>
  </w:p>
  <w:p>
    <w:pPr>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t>Project Contact person: Yang Shulan, Zhejiang Hospital Tel.: 18106582051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pPr w:leftFromText="180" w:rightFromText="180" w:vertAnchor="page" w:horzAnchor="page" w:tblpXSpec="center" w:tblpY="502"/>
      <w:tblOverlap w:val="never"/>
      <w:tblW w:w="9854" w:type="dxa"/>
      <w:jc w:val="center"/>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rPr>
        <w:jc w:val="center"/>
      </w:trPr>
      <w:tc>
        <w:tcPr>
          <w:tcW w:w="4927" w:type="dxa"/>
          <w:vAlign w:val="top"/>
        </w:tcPr>
        <w:p>
          <w:pPr>
            <w:pStyle w:val="16"/>
            <w:pBdr>
              <w:bottom w:val="none" w:color="auto" w:sz="0" w:space="0"/>
            </w:pBdr>
            <w:tabs>
              <w:tab w:val="left" w:pos="1144"/>
              <w:tab w:val="right" w:pos="8436"/>
            </w:tabs>
            <w:jc w:val="left"/>
            <w:rPr>
              <w:rFonts w:hint="eastAsia" w:ascii="微软雅黑" w:hAnsi="微软雅黑" w:eastAsia="微软雅黑"/>
              <w:b/>
              <w:bCs/>
            </w:rPr>
          </w:pPr>
          <w:r>
            <w:rPr>
              <w:rFonts w:hint="eastAsia" w:ascii="你是我的东西南北" w:hAnsi="你是我的东西南北" w:eastAsia="你是我的东西南北" w:cs="你是我的东西南北"/>
            </w:rPr>
            <w:drawing>
              <wp:inline distT="0" distB="0" distL="114300" distR="114300">
                <wp:extent cx="2030730" cy="391795"/>
                <wp:effectExtent l="0" t="0" r="7620" b="8255"/>
                <wp:docPr id="3" name="图片 2" descr="logozj"/>
                <wp:cNvGraphicFramePr/>
                <a:graphic xmlns:a="http://schemas.openxmlformats.org/drawingml/2006/main">
                  <a:graphicData uri="http://schemas.openxmlformats.org/drawingml/2006/picture">
                    <pic:pic xmlns:pic="http://schemas.openxmlformats.org/drawingml/2006/picture">
                      <pic:nvPicPr>
                        <pic:cNvPr id="3" name="图片 2" descr="logozj"/>
                        <pic:cNvPicPr/>
                      </pic:nvPicPr>
                      <pic:blipFill>
                        <a:blip r:embed="rId1"/>
                        <a:stretch>
                          <a:fillRect/>
                        </a:stretch>
                      </pic:blipFill>
                      <pic:spPr>
                        <a:xfrm>
                          <a:off x="0" y="0"/>
                          <a:ext cx="2030730" cy="391795"/>
                        </a:xfrm>
                        <a:prstGeom prst="rect">
                          <a:avLst/>
                        </a:prstGeom>
                        <a:noFill/>
                        <a:ln>
                          <a:noFill/>
                        </a:ln>
                      </pic:spPr>
                    </pic:pic>
                  </a:graphicData>
                </a:graphic>
              </wp:inline>
            </w:drawing>
          </w:r>
        </w:p>
      </w:tc>
      <w:tc>
        <w:tcPr>
          <w:tcW w:w="4927" w:type="dxa"/>
          <w:vAlign w:val="top"/>
        </w:tcPr>
        <w:p>
          <w:pPr>
            <w:pStyle w:val="16"/>
            <w:pBdr>
              <w:bottom w:val="none" w:color="auto" w:sz="0" w:space="0"/>
            </w:pBdr>
            <w:tabs>
              <w:tab w:val="left" w:pos="1144"/>
              <w:tab w:val="right" w:pos="8436"/>
            </w:tabs>
            <w:jc w:val="right"/>
            <w:rPr>
              <w:rFonts w:hint="eastAsia" w:ascii="微软雅黑" w:hAnsi="微软雅黑" w:eastAsia="微软雅黑"/>
              <w:b/>
              <w:bCs/>
            </w:rPr>
          </w:pPr>
        </w:p>
        <w:p>
          <w:pPr>
            <w:pStyle w:val="16"/>
            <w:pBdr>
              <w:bottom w:val="none" w:color="auto" w:sz="0" w:space="0"/>
            </w:pBdr>
            <w:tabs>
              <w:tab w:val="left" w:pos="1144"/>
              <w:tab w:val="right" w:pos="8436"/>
            </w:tabs>
            <w:jc w:val="right"/>
            <w:rPr>
              <w:rFonts w:hint="eastAsia" w:ascii="微软雅黑" w:hAnsi="微软雅黑" w:eastAsia="微软雅黑"/>
              <w:b/>
              <w:bCs/>
            </w:rPr>
          </w:pPr>
          <w:r>
            <w:rPr>
              <w:rFonts w:ascii="微软雅黑" w:hAnsi="微软雅黑" w:eastAsia="微软雅黑"/>
              <w:b/>
              <w:bCs/>
            </w:rPr>
            <w:t>www .zjhospital.com.cn</w:t>
          </w:r>
        </w:p>
      </w:tc>
    </w:tr>
  </w:tbl>
  <w:p>
    <w:pPr>
      <w:pStyle w:val="16"/>
    </w:pPr>
    <w:r>
      <w:drawing>
        <wp:anchor distT="0" distB="0" distL="114300" distR="114300" simplePos="0" relativeHeight="251659264" behindDoc="1" locked="0" layoutInCell="1" allowOverlap="1">
          <wp:simplePos x="0" y="0"/>
          <wp:positionH relativeFrom="margin">
            <wp:posOffset>250190</wp:posOffset>
          </wp:positionH>
          <wp:positionV relativeFrom="margin">
            <wp:posOffset>1701165</wp:posOffset>
          </wp:positionV>
          <wp:extent cx="5274310" cy="5274310"/>
          <wp:effectExtent l="0" t="0" r="2540" b="2540"/>
          <wp:wrapNone/>
          <wp:docPr id="2" name="WordPictureWatermark42530" descr="logo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42530" descr="logo水印"/>
                  <pic:cNvPicPr>
                    <a:picLocks noChangeAspect="1"/>
                  </pic:cNvPicPr>
                </pic:nvPicPr>
                <pic:blipFill>
                  <a:blip r:embed="rId2"/>
                  <a:stretch>
                    <a:fillRect/>
                  </a:stretch>
                </pic:blipFill>
                <pic:spPr>
                  <a:xfrm>
                    <a:off x="0" y="0"/>
                    <a:ext cx="5274310" cy="527431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pPr w:leftFromText="180" w:rightFromText="180" w:vertAnchor="page" w:horzAnchor="page" w:tblpXSpec="center" w:tblpY="502"/>
      <w:tblOverlap w:val="never"/>
      <w:tblW w:w="15920" w:type="dxa"/>
      <w:jc w:val="center"/>
      <w:tblLayout w:type="fixed"/>
      <w:tblCellMar>
        <w:top w:w="0" w:type="dxa"/>
        <w:left w:w="108" w:type="dxa"/>
        <w:bottom w:w="0" w:type="dxa"/>
        <w:right w:w="108" w:type="dxa"/>
      </w:tblCellMar>
    </w:tblPr>
    <w:tblGrid>
      <w:gridCol w:w="7960"/>
      <w:gridCol w:w="7960"/>
    </w:tblGrid>
    <w:tr>
      <w:tblPrEx>
        <w:tblCellMar>
          <w:top w:w="0" w:type="dxa"/>
          <w:left w:w="108" w:type="dxa"/>
          <w:bottom w:w="0" w:type="dxa"/>
          <w:right w:w="108" w:type="dxa"/>
        </w:tblCellMar>
      </w:tblPrEx>
      <w:trPr>
        <w:jc w:val="center"/>
      </w:trPr>
      <w:tc>
        <w:tcPr>
          <w:tcW w:w="7960" w:type="dxa"/>
          <w:vAlign w:val="top"/>
        </w:tcPr>
        <w:p>
          <w:pPr>
            <w:pStyle w:val="16"/>
            <w:pBdr>
              <w:bottom w:val="none" w:color="auto" w:sz="0" w:space="0"/>
            </w:pBdr>
            <w:tabs>
              <w:tab w:val="left" w:pos="1144"/>
              <w:tab w:val="right" w:pos="8436"/>
            </w:tabs>
            <w:jc w:val="left"/>
            <w:rPr>
              <w:rFonts w:hint="eastAsia" w:ascii="微软雅黑" w:hAnsi="微软雅黑" w:eastAsia="微软雅黑"/>
              <w:b/>
              <w:bCs/>
            </w:rPr>
          </w:pPr>
          <w:r>
            <w:rPr>
              <w:rFonts w:hint="eastAsia" w:ascii="你是我的东西南北" w:hAnsi="你是我的东西南北" w:eastAsia="你是我的东西南北" w:cs="你是我的东西南北"/>
            </w:rPr>
            <w:drawing>
              <wp:inline distT="0" distB="0" distL="114300" distR="114300">
                <wp:extent cx="2030730" cy="391795"/>
                <wp:effectExtent l="0" t="0" r="7620" b="8255"/>
                <wp:docPr id="4" name="图片 3" descr="logozj"/>
                <wp:cNvGraphicFramePr/>
                <a:graphic xmlns:a="http://schemas.openxmlformats.org/drawingml/2006/main">
                  <a:graphicData uri="http://schemas.openxmlformats.org/drawingml/2006/picture">
                    <pic:pic xmlns:pic="http://schemas.openxmlformats.org/drawingml/2006/picture">
                      <pic:nvPicPr>
                        <pic:cNvPr id="4" name="图片 3" descr="logozj"/>
                        <pic:cNvPicPr/>
                      </pic:nvPicPr>
                      <pic:blipFill>
                        <a:blip r:embed="rId1"/>
                        <a:stretch>
                          <a:fillRect/>
                        </a:stretch>
                      </pic:blipFill>
                      <pic:spPr>
                        <a:xfrm>
                          <a:off x="0" y="0"/>
                          <a:ext cx="2030730" cy="391795"/>
                        </a:xfrm>
                        <a:prstGeom prst="rect">
                          <a:avLst/>
                        </a:prstGeom>
                        <a:noFill/>
                        <a:ln>
                          <a:noFill/>
                        </a:ln>
                      </pic:spPr>
                    </pic:pic>
                  </a:graphicData>
                </a:graphic>
              </wp:inline>
            </w:drawing>
          </w:r>
        </w:p>
      </w:tc>
      <w:tc>
        <w:tcPr>
          <w:tcW w:w="7960" w:type="dxa"/>
          <w:vAlign w:val="top"/>
        </w:tcPr>
        <w:p>
          <w:pPr>
            <w:pStyle w:val="16"/>
            <w:pBdr>
              <w:bottom w:val="none" w:color="auto" w:sz="0" w:space="0"/>
            </w:pBdr>
            <w:tabs>
              <w:tab w:val="left" w:pos="1144"/>
              <w:tab w:val="right" w:pos="8436"/>
            </w:tabs>
            <w:jc w:val="right"/>
            <w:rPr>
              <w:rFonts w:hint="eastAsia" w:ascii="微软雅黑" w:hAnsi="微软雅黑" w:eastAsia="微软雅黑"/>
              <w:b/>
              <w:bCs/>
            </w:rPr>
          </w:pPr>
        </w:p>
        <w:p>
          <w:pPr>
            <w:pStyle w:val="16"/>
            <w:pBdr>
              <w:bottom w:val="none" w:color="auto" w:sz="0" w:space="0"/>
            </w:pBdr>
            <w:tabs>
              <w:tab w:val="left" w:pos="1144"/>
              <w:tab w:val="right" w:pos="8436"/>
            </w:tabs>
            <w:jc w:val="right"/>
            <w:rPr>
              <w:rFonts w:hint="eastAsia" w:ascii="微软雅黑" w:hAnsi="微软雅黑" w:eastAsia="微软雅黑"/>
              <w:b/>
              <w:bCs/>
            </w:rPr>
          </w:pPr>
          <w:r>
            <w:rPr>
              <w:rFonts w:ascii="微软雅黑" w:hAnsi="微软雅黑" w:eastAsia="微软雅黑"/>
              <w:b/>
              <w:bCs/>
            </w:rPr>
            <w:t>www .zjhospital.com.cn</w:t>
          </w:r>
        </w:p>
      </w:tc>
    </w:tr>
  </w:tbl>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9"/>
      <w:tblpPr w:leftFromText="180" w:rightFromText="180" w:vertAnchor="page" w:horzAnchor="page" w:tblpXSpec="center" w:tblpY="502"/>
      <w:tblOverlap w:val="never"/>
      <w:tblW w:w="9309" w:type="dxa"/>
      <w:jc w:val="center"/>
      <w:tblLayout w:type="fixed"/>
      <w:tblCellMar>
        <w:top w:w="0" w:type="dxa"/>
        <w:left w:w="108" w:type="dxa"/>
        <w:bottom w:w="0" w:type="dxa"/>
        <w:right w:w="108" w:type="dxa"/>
      </w:tblCellMar>
    </w:tblPr>
    <w:tblGrid>
      <w:gridCol w:w="4654"/>
      <w:gridCol w:w="4655"/>
    </w:tblGrid>
    <w:tr>
      <w:tblPrEx>
        <w:tblCellMar>
          <w:top w:w="0" w:type="dxa"/>
          <w:left w:w="108" w:type="dxa"/>
          <w:bottom w:w="0" w:type="dxa"/>
          <w:right w:w="108" w:type="dxa"/>
        </w:tblCellMar>
      </w:tblPrEx>
      <w:trPr>
        <w:jc w:val="center"/>
      </w:trPr>
      <w:tc>
        <w:tcPr>
          <w:tcW w:w="4654" w:type="dxa"/>
          <w:vAlign w:val="top"/>
        </w:tcPr>
        <w:p>
          <w:pPr>
            <w:pStyle w:val="16"/>
            <w:pBdr>
              <w:bottom w:val="none" w:color="auto" w:sz="0" w:space="0"/>
            </w:pBdr>
            <w:tabs>
              <w:tab w:val="left" w:pos="1144"/>
              <w:tab w:val="right" w:pos="8436"/>
            </w:tabs>
            <w:jc w:val="left"/>
            <w:rPr>
              <w:rFonts w:hint="eastAsia" w:ascii="微软雅黑" w:hAnsi="微软雅黑" w:eastAsia="微软雅黑"/>
              <w:b/>
              <w:bCs/>
            </w:rPr>
          </w:pPr>
          <w:r>
            <w:rPr>
              <w:rFonts w:hint="eastAsia" w:ascii="你是我的东西南北" w:hAnsi="你是我的东西南北" w:eastAsia="你是我的东西南北" w:cs="你是我的东西南北"/>
            </w:rPr>
            <w:drawing>
              <wp:inline distT="0" distB="0" distL="114300" distR="114300">
                <wp:extent cx="2030730" cy="391795"/>
                <wp:effectExtent l="0" t="0" r="7620" b="8255"/>
                <wp:docPr id="5" name="图片 4" descr="logozj"/>
                <wp:cNvGraphicFramePr/>
                <a:graphic xmlns:a="http://schemas.openxmlformats.org/drawingml/2006/main">
                  <a:graphicData uri="http://schemas.openxmlformats.org/drawingml/2006/picture">
                    <pic:pic xmlns:pic="http://schemas.openxmlformats.org/drawingml/2006/picture">
                      <pic:nvPicPr>
                        <pic:cNvPr id="5" name="图片 4" descr="logozj"/>
                        <pic:cNvPicPr/>
                      </pic:nvPicPr>
                      <pic:blipFill>
                        <a:blip r:embed="rId1"/>
                        <a:stretch>
                          <a:fillRect/>
                        </a:stretch>
                      </pic:blipFill>
                      <pic:spPr>
                        <a:xfrm>
                          <a:off x="0" y="0"/>
                          <a:ext cx="2030730" cy="391795"/>
                        </a:xfrm>
                        <a:prstGeom prst="rect">
                          <a:avLst/>
                        </a:prstGeom>
                        <a:noFill/>
                        <a:ln>
                          <a:noFill/>
                        </a:ln>
                      </pic:spPr>
                    </pic:pic>
                  </a:graphicData>
                </a:graphic>
              </wp:inline>
            </w:drawing>
          </w:r>
        </w:p>
      </w:tc>
      <w:tc>
        <w:tcPr>
          <w:tcW w:w="4655" w:type="dxa"/>
          <w:vAlign w:val="top"/>
        </w:tcPr>
        <w:p>
          <w:pPr>
            <w:pStyle w:val="16"/>
            <w:pBdr>
              <w:bottom w:val="none" w:color="auto" w:sz="0" w:space="0"/>
            </w:pBdr>
            <w:tabs>
              <w:tab w:val="left" w:pos="1144"/>
              <w:tab w:val="right" w:pos="8436"/>
            </w:tabs>
            <w:jc w:val="right"/>
            <w:rPr>
              <w:rFonts w:hint="eastAsia" w:ascii="微软雅黑" w:hAnsi="微软雅黑" w:eastAsia="微软雅黑"/>
              <w:b/>
              <w:bCs/>
            </w:rPr>
          </w:pPr>
        </w:p>
        <w:p>
          <w:pPr>
            <w:pStyle w:val="16"/>
            <w:pBdr>
              <w:bottom w:val="none" w:color="auto" w:sz="0" w:space="0"/>
            </w:pBdr>
            <w:tabs>
              <w:tab w:val="left" w:pos="1144"/>
              <w:tab w:val="right" w:pos="8436"/>
            </w:tabs>
            <w:jc w:val="right"/>
            <w:rPr>
              <w:rFonts w:hint="eastAsia" w:ascii="微软雅黑" w:hAnsi="微软雅黑" w:eastAsia="微软雅黑"/>
              <w:b/>
              <w:bCs/>
            </w:rPr>
          </w:pPr>
          <w:r>
            <w:rPr>
              <w:rFonts w:ascii="微软雅黑" w:hAnsi="微软雅黑" w:eastAsia="微软雅黑"/>
              <w:b/>
              <w:bCs/>
            </w:rPr>
            <w:t>www .zjhospital.com.cn</w:t>
          </w:r>
        </w:p>
      </w:tc>
    </w:tr>
  </w:tbl>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387E0"/>
    <w:multiLevelType w:val="singleLevel"/>
    <w:tmpl w:val="8B2387E0"/>
    <w:lvl w:ilvl="0" w:tentative="0">
      <w:start w:val="1"/>
      <w:numFmt w:val="decimal"/>
      <w:suff w:val="space"/>
      <w:lvlText w:val="%1."/>
      <w:lvlJc w:val="left"/>
    </w:lvl>
  </w:abstractNum>
  <w:abstractNum w:abstractNumId="1">
    <w:nsid w:val="C20E2357"/>
    <w:multiLevelType w:val="singleLevel"/>
    <w:tmpl w:val="C20E2357"/>
    <w:lvl w:ilvl="0" w:tentative="0">
      <w:start w:val="2"/>
      <w:numFmt w:val="decimal"/>
      <w:suff w:val="space"/>
      <w:lvlText w:val="%1."/>
      <w:lvlJc w:val="left"/>
    </w:lvl>
  </w:abstractNum>
  <w:abstractNum w:abstractNumId="2">
    <w:nsid w:val="57E5BA59"/>
    <w:multiLevelType w:val="multilevel"/>
    <w:tmpl w:val="57E5BA59"/>
    <w:lvl w:ilvl="0" w:tentative="0">
      <w:start w:val="1"/>
      <w:numFmt w:val="chineseCounting"/>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hyphenationZone w:val="360"/>
  <w:drawingGridHorizontalSpacing w:val="105"/>
  <w:drawingGridVerticalSpacing w:val="313"/>
  <w:displayHorizontalDrawingGridEvery w:val="2"/>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jMzkzOWE0YTI4NWI4NDhiMTA3YWYzNTRkNzdlOGMifQ=="/>
  </w:docVars>
  <w:rsids>
    <w:rsidRoot w:val="007A0F9E"/>
    <w:rsid w:val="00002555"/>
    <w:rsid w:val="000154DF"/>
    <w:rsid w:val="00041913"/>
    <w:rsid w:val="00051A6B"/>
    <w:rsid w:val="000526DE"/>
    <w:rsid w:val="000719B4"/>
    <w:rsid w:val="000733B7"/>
    <w:rsid w:val="00073A93"/>
    <w:rsid w:val="000B19F6"/>
    <w:rsid w:val="0010795E"/>
    <w:rsid w:val="001A57F9"/>
    <w:rsid w:val="001E449F"/>
    <w:rsid w:val="00214013"/>
    <w:rsid w:val="00257E39"/>
    <w:rsid w:val="00267BFD"/>
    <w:rsid w:val="00307187"/>
    <w:rsid w:val="00396E0E"/>
    <w:rsid w:val="003B553A"/>
    <w:rsid w:val="00455E5D"/>
    <w:rsid w:val="004962F0"/>
    <w:rsid w:val="00511607"/>
    <w:rsid w:val="00512FC6"/>
    <w:rsid w:val="0052112C"/>
    <w:rsid w:val="00570A08"/>
    <w:rsid w:val="005B591D"/>
    <w:rsid w:val="005D3863"/>
    <w:rsid w:val="006332F0"/>
    <w:rsid w:val="00650EBB"/>
    <w:rsid w:val="00674236"/>
    <w:rsid w:val="00683F19"/>
    <w:rsid w:val="006D208A"/>
    <w:rsid w:val="00733B93"/>
    <w:rsid w:val="00761444"/>
    <w:rsid w:val="007A0F9E"/>
    <w:rsid w:val="007D485B"/>
    <w:rsid w:val="008259FC"/>
    <w:rsid w:val="00966C36"/>
    <w:rsid w:val="009B4D51"/>
    <w:rsid w:val="009F1C1D"/>
    <w:rsid w:val="00A25CF7"/>
    <w:rsid w:val="00AB469E"/>
    <w:rsid w:val="00AF3742"/>
    <w:rsid w:val="00AF5942"/>
    <w:rsid w:val="00AF699B"/>
    <w:rsid w:val="00B50A99"/>
    <w:rsid w:val="00B74A52"/>
    <w:rsid w:val="00B76CD3"/>
    <w:rsid w:val="00BB2EAC"/>
    <w:rsid w:val="00BE5900"/>
    <w:rsid w:val="00BF27C8"/>
    <w:rsid w:val="00C53F2A"/>
    <w:rsid w:val="00C56CB3"/>
    <w:rsid w:val="00C82F30"/>
    <w:rsid w:val="00CA6F6F"/>
    <w:rsid w:val="00D13587"/>
    <w:rsid w:val="00D34AFB"/>
    <w:rsid w:val="00DA63B5"/>
    <w:rsid w:val="00DB48AC"/>
    <w:rsid w:val="00DB7ABA"/>
    <w:rsid w:val="00DC0600"/>
    <w:rsid w:val="00E079F5"/>
    <w:rsid w:val="00E07E2D"/>
    <w:rsid w:val="00E120D6"/>
    <w:rsid w:val="00E40BE8"/>
    <w:rsid w:val="00E6375C"/>
    <w:rsid w:val="00E942A1"/>
    <w:rsid w:val="00EF290B"/>
    <w:rsid w:val="00F635C9"/>
    <w:rsid w:val="00FB0B92"/>
    <w:rsid w:val="00FD183D"/>
    <w:rsid w:val="02436DAC"/>
    <w:rsid w:val="04706FFB"/>
    <w:rsid w:val="05D273C1"/>
    <w:rsid w:val="06693097"/>
    <w:rsid w:val="0A4E363F"/>
    <w:rsid w:val="0A9220E1"/>
    <w:rsid w:val="0AAA23FB"/>
    <w:rsid w:val="0BAB10D1"/>
    <w:rsid w:val="0C294DFF"/>
    <w:rsid w:val="0CF3378A"/>
    <w:rsid w:val="0D5F19BA"/>
    <w:rsid w:val="0F511733"/>
    <w:rsid w:val="116F0E27"/>
    <w:rsid w:val="12D87860"/>
    <w:rsid w:val="14A66120"/>
    <w:rsid w:val="14C0427E"/>
    <w:rsid w:val="15446DCA"/>
    <w:rsid w:val="161F497F"/>
    <w:rsid w:val="165F6BEB"/>
    <w:rsid w:val="17155DB5"/>
    <w:rsid w:val="18145F5F"/>
    <w:rsid w:val="19302C06"/>
    <w:rsid w:val="1A8153B1"/>
    <w:rsid w:val="1B950867"/>
    <w:rsid w:val="1BE87BBB"/>
    <w:rsid w:val="1BFAA516"/>
    <w:rsid w:val="1C3E4F6C"/>
    <w:rsid w:val="1C611475"/>
    <w:rsid w:val="1CAA7670"/>
    <w:rsid w:val="1CE642C1"/>
    <w:rsid w:val="1DD04289"/>
    <w:rsid w:val="1E6373D1"/>
    <w:rsid w:val="1F607DC9"/>
    <w:rsid w:val="1F7E694A"/>
    <w:rsid w:val="1F9A79B8"/>
    <w:rsid w:val="20A616BD"/>
    <w:rsid w:val="231958A3"/>
    <w:rsid w:val="2338088B"/>
    <w:rsid w:val="23DC4E6B"/>
    <w:rsid w:val="24080FEA"/>
    <w:rsid w:val="24CC0837"/>
    <w:rsid w:val="25AB6523"/>
    <w:rsid w:val="26710FB7"/>
    <w:rsid w:val="28194C76"/>
    <w:rsid w:val="283B1931"/>
    <w:rsid w:val="28717640"/>
    <w:rsid w:val="2A222B94"/>
    <w:rsid w:val="2A4A6002"/>
    <w:rsid w:val="2B2038C0"/>
    <w:rsid w:val="2B4234E6"/>
    <w:rsid w:val="2C23754B"/>
    <w:rsid w:val="2C4E07E2"/>
    <w:rsid w:val="2D002261"/>
    <w:rsid w:val="2D967222"/>
    <w:rsid w:val="2DCD1FB4"/>
    <w:rsid w:val="2DDC1350"/>
    <w:rsid w:val="2E840E29"/>
    <w:rsid w:val="2E963224"/>
    <w:rsid w:val="2F8D7FE1"/>
    <w:rsid w:val="2FB34537"/>
    <w:rsid w:val="31175F84"/>
    <w:rsid w:val="311A3756"/>
    <w:rsid w:val="3152099C"/>
    <w:rsid w:val="32E74D16"/>
    <w:rsid w:val="33E432BE"/>
    <w:rsid w:val="342436D1"/>
    <w:rsid w:val="34C27187"/>
    <w:rsid w:val="35253A53"/>
    <w:rsid w:val="35AF651B"/>
    <w:rsid w:val="35AF70D3"/>
    <w:rsid w:val="366C6D48"/>
    <w:rsid w:val="379C4FE6"/>
    <w:rsid w:val="389F575C"/>
    <w:rsid w:val="39106B54"/>
    <w:rsid w:val="3B856E66"/>
    <w:rsid w:val="3CB66710"/>
    <w:rsid w:val="3D7160EE"/>
    <w:rsid w:val="3EC745B5"/>
    <w:rsid w:val="3EE17BD1"/>
    <w:rsid w:val="415B0036"/>
    <w:rsid w:val="415F08CA"/>
    <w:rsid w:val="42DA32B5"/>
    <w:rsid w:val="42E63A08"/>
    <w:rsid w:val="457F65E3"/>
    <w:rsid w:val="4665581E"/>
    <w:rsid w:val="477C1691"/>
    <w:rsid w:val="47DD7E91"/>
    <w:rsid w:val="498D5972"/>
    <w:rsid w:val="4AFC239A"/>
    <w:rsid w:val="4B6D77E3"/>
    <w:rsid w:val="4C2A34E0"/>
    <w:rsid w:val="4C8426BB"/>
    <w:rsid w:val="4CBC18B1"/>
    <w:rsid w:val="4D084E4D"/>
    <w:rsid w:val="4ED7165C"/>
    <w:rsid w:val="4FB79AA5"/>
    <w:rsid w:val="4FB81EC0"/>
    <w:rsid w:val="5058324F"/>
    <w:rsid w:val="50FB5215"/>
    <w:rsid w:val="525D25F7"/>
    <w:rsid w:val="53826C10"/>
    <w:rsid w:val="53EB3B3F"/>
    <w:rsid w:val="558B46F8"/>
    <w:rsid w:val="56027FA5"/>
    <w:rsid w:val="564F5186"/>
    <w:rsid w:val="57012C3D"/>
    <w:rsid w:val="57134BB1"/>
    <w:rsid w:val="589424CE"/>
    <w:rsid w:val="595B3282"/>
    <w:rsid w:val="5BB010B7"/>
    <w:rsid w:val="5C680862"/>
    <w:rsid w:val="5DEEF6EE"/>
    <w:rsid w:val="60AA710E"/>
    <w:rsid w:val="60BB370A"/>
    <w:rsid w:val="62A1065E"/>
    <w:rsid w:val="62A12B6B"/>
    <w:rsid w:val="63D27F97"/>
    <w:rsid w:val="64A721B8"/>
    <w:rsid w:val="66520E3D"/>
    <w:rsid w:val="676F5A2D"/>
    <w:rsid w:val="67A94639"/>
    <w:rsid w:val="69A54A77"/>
    <w:rsid w:val="69E72BAD"/>
    <w:rsid w:val="6BFF169D"/>
    <w:rsid w:val="6CAB6744"/>
    <w:rsid w:val="6CF14F54"/>
    <w:rsid w:val="6D0B248B"/>
    <w:rsid w:val="6F6A77A1"/>
    <w:rsid w:val="6FDFEF93"/>
    <w:rsid w:val="6FFC38DC"/>
    <w:rsid w:val="6FFFBB84"/>
    <w:rsid w:val="70777DE8"/>
    <w:rsid w:val="70B92A4B"/>
    <w:rsid w:val="71666EDE"/>
    <w:rsid w:val="717263D7"/>
    <w:rsid w:val="74EBE1D2"/>
    <w:rsid w:val="74F76CCC"/>
    <w:rsid w:val="75380F17"/>
    <w:rsid w:val="760F45E2"/>
    <w:rsid w:val="768153E8"/>
    <w:rsid w:val="76AE24B4"/>
    <w:rsid w:val="7841453C"/>
    <w:rsid w:val="785218D4"/>
    <w:rsid w:val="78F033FA"/>
    <w:rsid w:val="7BD81D81"/>
    <w:rsid w:val="7C783ED6"/>
    <w:rsid w:val="7D6B7777"/>
    <w:rsid w:val="7D7BEC4F"/>
    <w:rsid w:val="7E0C3B30"/>
    <w:rsid w:val="7E77418B"/>
    <w:rsid w:val="7E77AD8B"/>
    <w:rsid w:val="7FBF832D"/>
    <w:rsid w:val="A3F7F152"/>
    <w:rsid w:val="B1D6552A"/>
    <w:rsid w:val="D4AF61A0"/>
    <w:rsid w:val="DBFB000E"/>
    <w:rsid w:val="DFFF30E2"/>
    <w:rsid w:val="E3FCBFD1"/>
    <w:rsid w:val="EFCF3C83"/>
    <w:rsid w:val="EFDE2CDD"/>
    <w:rsid w:val="F6F5EECB"/>
    <w:rsid w:val="FE54E83C"/>
    <w:rsid w:val="FEB75BBE"/>
    <w:rsid w:val="FECDC278"/>
    <w:rsid w:val="FFF887E9"/>
    <w:rsid w:val="FFFF007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qFormat/>
    <w:uiPriority w:val="0"/>
    <w:pPr>
      <w:keepNext/>
      <w:keepLines/>
      <w:numPr>
        <w:ilvl w:val="3"/>
        <w:numId w:val="1"/>
      </w:numPr>
      <w:spacing w:line="360" w:lineRule="auto"/>
      <w:ind w:firstLine="964" w:firstLineChars="200"/>
      <w:jc w:val="left"/>
      <w:outlineLvl w:val="3"/>
    </w:pPr>
    <w:rPr>
      <w:rFonts w:ascii="Arial" w:hAnsi="Arial" w:eastAsia="宋体"/>
      <w:sz w:val="24"/>
    </w:rPr>
  </w:style>
  <w:style w:type="paragraph" w:styleId="6">
    <w:name w:val="heading 5"/>
    <w:basedOn w:val="1"/>
    <w:next w:val="1"/>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link w:val="26"/>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1">
    <w:name w:val="Default Paragraph Font"/>
    <w:semiHidden/>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11">
    <w:name w:val="caption"/>
    <w:basedOn w:val="1"/>
    <w:next w:val="1"/>
    <w:qFormat/>
    <w:uiPriority w:val="0"/>
    <w:pPr>
      <w:spacing w:line="360" w:lineRule="auto"/>
      <w:jc w:val="center"/>
    </w:pPr>
    <w:rPr>
      <w:b/>
      <w:sz w:val="24"/>
    </w:rPr>
  </w:style>
  <w:style w:type="paragraph" w:styleId="12">
    <w:name w:val="annotation text"/>
    <w:basedOn w:val="1"/>
    <w:link w:val="28"/>
    <w:qFormat/>
    <w:uiPriority w:val="0"/>
    <w:pPr>
      <w:jc w:val="left"/>
    </w:pPr>
  </w:style>
  <w:style w:type="paragraph" w:styleId="13">
    <w:name w:val="Body Text"/>
    <w:basedOn w:val="1"/>
    <w:qFormat/>
    <w:uiPriority w:val="1"/>
    <w:rPr>
      <w:sz w:val="28"/>
      <w:szCs w:val="28"/>
    </w:rPr>
  </w:style>
  <w:style w:type="paragraph" w:styleId="14">
    <w:name w:val="Balloon Text"/>
    <w:basedOn w:val="1"/>
    <w:link w:val="29"/>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8">
    <w:name w:val="annotation subject"/>
    <w:basedOn w:val="12"/>
    <w:next w:val="12"/>
    <w:link w:val="27"/>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Hyperlink"/>
    <w:qFormat/>
    <w:uiPriority w:val="0"/>
    <w:rPr>
      <w:color w:val="0000FF"/>
      <w:u w:val="single"/>
    </w:rPr>
  </w:style>
  <w:style w:type="character" w:styleId="23">
    <w:name w:val="annotation reference"/>
    <w:basedOn w:val="21"/>
    <w:qFormat/>
    <w:uiPriority w:val="0"/>
    <w:rPr>
      <w:sz w:val="21"/>
      <w:szCs w:val="21"/>
    </w:rPr>
  </w:style>
  <w:style w:type="paragraph" w:customStyle="1" w:styleId="24">
    <w:name w:val="_Style 23"/>
    <w:basedOn w:val="1"/>
    <w:qFormat/>
    <w:uiPriority w:val="99"/>
    <w:pPr>
      <w:ind w:firstLine="420"/>
    </w:pPr>
  </w:style>
  <w:style w:type="paragraph" w:customStyle="1" w:styleId="25">
    <w:name w:val="正文正确"/>
    <w:qFormat/>
    <w:uiPriority w:val="0"/>
    <w:pPr>
      <w:spacing w:line="360" w:lineRule="auto"/>
      <w:ind w:firstLine="200" w:firstLineChars="200"/>
    </w:pPr>
    <w:rPr>
      <w:rFonts w:ascii="Calibri" w:hAnsi="Calibri" w:eastAsia="宋体" w:cs="Times New Roman"/>
      <w:bCs/>
      <w:kern w:val="2"/>
      <w:sz w:val="24"/>
      <w:szCs w:val="32"/>
      <w:lang w:val="en-US" w:eastAsia="zh-CN" w:bidi="ar-SA"/>
    </w:rPr>
  </w:style>
  <w:style w:type="character" w:customStyle="1" w:styleId="26">
    <w:name w:val="标题 8 字符"/>
    <w:link w:val="9"/>
    <w:qFormat/>
    <w:uiPriority w:val="0"/>
    <w:rPr>
      <w:rFonts w:ascii="Arial" w:hAnsi="Arial" w:eastAsia="黑体"/>
      <w:sz w:val="24"/>
    </w:rPr>
  </w:style>
  <w:style w:type="character" w:customStyle="1" w:styleId="27">
    <w:name w:val="批注主题 字符"/>
    <w:link w:val="18"/>
    <w:qFormat/>
    <w:uiPriority w:val="0"/>
    <w:rPr>
      <w:rFonts w:ascii="Calibri" w:hAnsi="Calibri"/>
      <w:b/>
      <w:bCs/>
      <w:kern w:val="2"/>
      <w:sz w:val="21"/>
      <w:szCs w:val="24"/>
    </w:rPr>
  </w:style>
  <w:style w:type="character" w:customStyle="1" w:styleId="28">
    <w:name w:val="批注文字 字符"/>
    <w:link w:val="12"/>
    <w:qFormat/>
    <w:uiPriority w:val="0"/>
    <w:rPr>
      <w:rFonts w:ascii="Calibri" w:hAnsi="Calibri"/>
      <w:kern w:val="2"/>
      <w:sz w:val="21"/>
      <w:szCs w:val="24"/>
    </w:rPr>
  </w:style>
  <w:style w:type="character" w:customStyle="1" w:styleId="29">
    <w:name w:val="批注框文本 字符"/>
    <w:link w:val="14"/>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12</Pages>
  <Words>1734</Words>
  <Characters>9361</Characters>
  <Lines>25</Lines>
  <Paragraphs>7</Paragraphs>
  <TotalTime>0</TotalTime>
  <ScaleCrop>false</ScaleCrop>
  <LinksUpToDate>false</LinksUpToDate>
  <CharactersWithSpaces>10940</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2022-09-28T05:52:00Z</dcterms:created>
  <dc:creator>zxb</dc:creator>
  <cp:lastModifiedBy>杨舒岚</cp:lastModifiedBy>
  <dcterms:modified xsi:type="dcterms:W3CDTF">2023-07-09T15:22:12Z</dcterms:modified>
  <dc:title>基于 SERVQUAL 模型的互联网+居家护理服务质量评价</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012616C1A01E4BBCB1654F034A9548CB_13</vt:lpwstr>
  </property>
  <property fmtid="{D5CDD505-2E9C-101B-9397-08002B2CF9AE}" pid="4" name="commondata">
    <vt:lpwstr>eyJoZGlkIjoiZTQ4ODQwNThiYTg4YTBlNDhkZDRmNGNiNWM5NWE1YzAifQ==</vt:lpwstr>
  </property>
</Properties>
</file>