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MIQE Checklist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  <w:t xml:space="preserve">Plant materials and </w:t>
      </w:r>
      <w:r>
        <w:rPr>
          <w:rFonts w:hint="eastAsia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  <w:lang w:val="en-US" w:eastAsia="zh-CN"/>
        </w:rPr>
        <w:t>treatment</w:t>
      </w:r>
      <w:r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  <w:t xml:space="preserve"> methods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</w:rPr>
        <w:t>Platycodon grandiflorus</w:t>
      </w:r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 xml:space="preserve">, grown in pots and growing normally for </w:t>
      </w:r>
      <w:r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  <w:t>one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 xml:space="preserve"> years, was used as the experimental material.</w:t>
      </w:r>
      <w:r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  <w:t xml:space="preserve"> The roots, stems, leaves, and root beard of </w:t>
      </w:r>
      <w:r>
        <w:rPr>
          <w:rFonts w:hint="default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</w:rPr>
        <w:t>Platycodon grandiflorus</w:t>
      </w:r>
      <w:r>
        <w:rPr>
          <w:rFonts w:hint="eastAsia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  <w:lang w:val="en-US" w:eastAsia="zh-CN"/>
        </w:rPr>
        <w:t xml:space="preserve"> plants </w:t>
      </w:r>
      <w:r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  <w:t xml:space="preserve">were separately collected to analyze the expression levels of the </w:t>
      </w:r>
      <w:r>
        <w:rPr>
          <w:rFonts w:hint="eastAsia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  <w:lang w:val="en-US" w:eastAsia="zh-CN"/>
        </w:rPr>
        <w:t>PgOSC</w:t>
      </w:r>
      <w:r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  <w:t xml:space="preserve"> genes in different tissues.</w:t>
      </w:r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 xml:space="preserve"> To investigate the expression patterns of the </w:t>
      </w:r>
      <w:r>
        <w:rPr>
          <w:rFonts w:hint="default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</w:rPr>
        <w:t>PgOSC</w:t>
      </w:r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 xml:space="preserve"> genes under various stress conditions, one-year-old </w:t>
      </w:r>
      <w:r>
        <w:rPr>
          <w:rFonts w:hint="default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</w:rPr>
        <w:t>Platycodon grandiflorum</w:t>
      </w:r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 xml:space="preserve"> plants were subjected to salt stress (100 mM NaCl), heat stress (37°C for 2 hours), and drought stress (2 weeks). Subsequently, the expression level of the </w:t>
      </w:r>
      <w:r>
        <w:rPr>
          <w:rFonts w:hint="default" w:ascii="Times New Roman" w:hAnsi="Times New Roman" w:eastAsia="微软雅黑" w:cs="Times New Roman"/>
          <w:i/>
          <w:iCs/>
          <w:color w:val="121212"/>
          <w:sz w:val="21"/>
          <w:szCs w:val="21"/>
          <w:shd w:val="clear" w:color="auto" w:fill="FFFFFF"/>
        </w:rPr>
        <w:t xml:space="preserve">PgOSC </w:t>
      </w:r>
      <w:r>
        <w:rPr>
          <w:rFonts w:hint="default" w:ascii="Times New Roman" w:hAnsi="Times New Roman" w:eastAsia="微软雅黑" w:cs="Times New Roman"/>
          <w:color w:val="121212"/>
          <w:sz w:val="21"/>
          <w:szCs w:val="21"/>
          <w:shd w:val="clear" w:color="auto" w:fill="FFFFFF"/>
        </w:rPr>
        <w:t>genes were analyzed to assess its response to these stress environments.</w:t>
      </w:r>
      <w:r>
        <w:rPr>
          <w:rFonts w:hint="eastAsia" w:ascii="Times New Roman" w:hAnsi="Times New Roman" w:eastAsia="微软雅黑" w:cs="Times New Roman"/>
          <w:color w:val="121212"/>
          <w:sz w:val="21"/>
          <w:szCs w:val="21"/>
          <w:shd w:val="clear" w:color="auto" w:fill="FFFFFF"/>
          <w:lang w:val="en-US" w:eastAsia="zh-CN"/>
        </w:rPr>
        <w:t xml:space="preserve"> The sample was quickly frozen in liquid nitrogen and stored at -80 ℃. Each sample consists of three distinct plant tissues, and three experiments were conducted on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  <w:t>2.Nucleic acid extraction and Reverse transcription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hint="default" w:ascii="Times New Roman" w:hAnsi="Times New Roman" w:eastAsia="Palatino Linotype" w:cs="Times New Roman"/>
          <w:b/>
          <w:bCs/>
          <w:sz w:val="21"/>
          <w:szCs w:val="21"/>
          <w:lang w:bidi="ar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The collected plant tissue samples are ground into powder in liquid nitrogen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Total RNA of each sample was extracted by using Trizol reagent (Takara, Beijing, China), RNase is not allowed to exist in the operating environment, reagents, and consumables.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The nucleic acid tester (D3024R, Eppendoef, Germany)were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used to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determine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the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purity and concentration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of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RNA. RNA integrity was verified by 1.2% agarose gel electrophoresis.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T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he first strand of cDNA was obtained by the reverse transcribing of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µg of RNA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according to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First-Strand cDNA Synthesis Kit (Vazyme, Nanjing, China).The reverse transcription product was diluted 20 times and used for expression level analysis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Reaction system and reaction conditions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of </w:t>
      </w:r>
      <w:r>
        <w:rPr>
          <w:rFonts w:hint="default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</w:rPr>
        <w:t>qPCR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The reaction consisted of 10 µL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SYBR Green Master Mix (Vazyme, Nanjing, China), 0.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µmol L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primers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F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and primers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R(primers used for qRT-PCR are listed in Table 1)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.0 µL cDNA, and up to 20 µL with ddH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O.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Bio-Rad CFX96 was used f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or </w:t>
      </w:r>
      <w:r>
        <w:rPr>
          <w:rFonts w:hint="default" w:ascii="Times New Roman" w:hAnsi="Times New Roman" w:eastAsia="微软雅黑" w:cs="Times New Roman"/>
          <w:b w:val="0"/>
          <w:bCs w:val="0"/>
          <w:color w:val="121212"/>
          <w:sz w:val="21"/>
          <w:szCs w:val="21"/>
          <w:shd w:val="clear" w:color="auto" w:fill="FFFFFF"/>
        </w:rPr>
        <w:t>qPCR</w:t>
      </w:r>
      <w:r>
        <w:rPr>
          <w:rFonts w:hint="default" w:ascii="Times New Roman" w:hAnsi="Times New Roman" w:eastAsia="Times New Roman" w:cs="Times New Roman"/>
          <w:b w:val="0"/>
          <w:bCs w:val="0"/>
          <w:sz w:val="21"/>
          <w:szCs w:val="21"/>
        </w:rPr>
        <w:t xml:space="preserve"> and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reaction conditions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were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set as follow: 95 ℃ for 3 min, 40 cycles of 95 ℃ for 10 s, 60 ℃ for 30 s, and 60 ℃ for 30 s. The dissolution curve procedure was set as: starting temperature is 60℃; final temperature is 95℃; holding time is 00:01; temperature increment is 0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2℃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color w:val="121212"/>
          <w:sz w:val="21"/>
          <w:szCs w:val="21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Data analysis</w:t>
      </w:r>
    </w:p>
    <w:p>
      <w:pPr>
        <w:ind w:firstLine="420" w:firstLineChars="200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The Cq value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were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determined using the default threshold method, and the Cq values for each sample are shown in Table 2. Calculate the relative expression level of genes using the 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baseline"/>
        </w:rPr>
        <w:t>2</w:t>
      </w:r>
      <w:r>
        <w:rPr>
          <w:rFonts w:hint="default" w:ascii="Times New Roman" w:hAnsi="Times New Roman" w:eastAsia="Times New Roman" w:cs="Times New Roman"/>
          <w:sz w:val="21"/>
          <w:szCs w:val="21"/>
          <w:vertAlign w:val="superscript"/>
        </w:rPr>
        <w:t>- ∆∆ CT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 xml:space="preserve"> method. Repeat the experiment three times for each sample.</w:t>
      </w:r>
    </w:p>
    <w:p>
      <w:pPr>
        <w:ind w:firstLine="360" w:firstLineChars="20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Table 1. The list of primers used</w:t>
      </w:r>
      <w:r>
        <w:rPr>
          <w:rFonts w:hint="eastAsia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for qRT-PCR</w:t>
      </w:r>
      <w:r>
        <w:rPr>
          <w:rFonts w:hint="default" w:ascii="Palatino Linotype" w:hAnsi="Palatino Linotype" w:eastAsia="Palatino Linotype" w:cs="Palatino Linotype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</w:t>
      </w:r>
    </w:p>
    <w:tbl>
      <w:tblPr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070"/>
        <w:gridCol w:w="2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Gene name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Forward (5'-3')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Reverse (5'-3')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CGTCAGAATTATTCGCAGAC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ATTCCCCAATAGCCGTACCA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GCATGTTGAGGTTACTTCATGT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TCGTTGGGATAAATGTCTGCTT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CTCTACTTCACCTCTCAAAACTAC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CTTCTGTAGCATTTAGAAGCTCG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GTACACACTGCATGGGCCAT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CCTGCCATTGGTAGTCCTGTTG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GACATCGTCATTGAGCATGAGT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GTCCTCGAGGTACCTAGCAGC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GCTATATCCTGGGCATAGAGAG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CCCATCCACCATCTTCCCG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CCTGTCCAAGTTGCGCGAG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CCATCCTCTGCAAGCCATAAG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CGATGGATCATGGTACGGTTGTT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CAGGTAGTTGCCTTGCTAGC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CCGGTGGTTGGGGAGAAAGTT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GGTGCAATGGTGTCGGGTC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PgOSC15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CCACTGCATCGTGCAGC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GATTGAGGTACTCTCCGAG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Palatino Linotype" w:hAnsi="Palatino Linotype" w:eastAsia="Palatino Linotype" w:cs="Palatino Linotype"/>
                <w:i/>
                <w:iCs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Pgactin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CCGTGGAGCCAAGGGTTG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GGAGCACCCAAGCTTGCG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ind w:firstLine="360" w:firstLineChars="20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ind w:firstLine="542" w:firstLineChars="300"/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</w:rPr>
        <w:t xml:space="preserve">able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2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. T</w:t>
      </w:r>
      <w:r>
        <w:rPr>
          <w:rFonts w:hint="default" w:ascii="Times New Roman" w:hAnsi="Times New Roman" w:eastAsia="Times New Roman" w:cs="Times New Roman"/>
          <w:b/>
          <w:bCs/>
          <w:sz w:val="18"/>
          <w:szCs w:val="18"/>
        </w:rPr>
        <w:t>he Cq values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 of qRT-PCR of </w:t>
      </w:r>
      <w:r>
        <w:rPr>
          <w:rFonts w:hint="eastAsia" w:ascii="Times New Roman" w:hAnsi="Times New Roman" w:eastAsia="宋体" w:cs="Times New Roman"/>
          <w:b/>
          <w:bCs/>
          <w:i/>
          <w:iCs/>
          <w:sz w:val="18"/>
          <w:szCs w:val="18"/>
          <w:lang w:val="en-US" w:eastAsia="zh-CN"/>
        </w:rPr>
        <w:t>PgOSC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 genes</w:t>
      </w:r>
    </w:p>
    <w:tbl>
      <w:tblPr>
        <w:tblStyle w:val="4"/>
        <w:tblpPr w:leftFromText="180" w:rightFromText="180" w:vertAnchor="text" w:horzAnchor="page" w:tblpX="1763" w:tblpY="1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45"/>
        <w:gridCol w:w="705"/>
        <w:gridCol w:w="780"/>
        <w:gridCol w:w="645"/>
        <w:gridCol w:w="840"/>
        <w:gridCol w:w="528"/>
        <w:gridCol w:w="763"/>
        <w:gridCol w:w="763"/>
        <w:gridCol w:w="763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Gene name</w:t>
            </w: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replication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Leaf</w:t>
            </w:r>
          </w:p>
        </w:tc>
        <w:tc>
          <w:tcPr>
            <w:tcW w:w="78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Steam</w:t>
            </w:r>
          </w:p>
        </w:tc>
        <w:tc>
          <w:tcPr>
            <w:tcW w:w="64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Root</w: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Root beard</w:t>
            </w:r>
          </w:p>
        </w:tc>
        <w:tc>
          <w:tcPr>
            <w:tcW w:w="52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Control</w:t>
            </w: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Salt</w:t>
            </w: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Heat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Drought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PgOSC2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20.81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21.26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17.68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18.80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22.56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22.29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20.25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20.45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21.05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19.05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21.45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21.60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21.25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19.10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18.90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19.28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20.37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19.65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21.65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PgOSC7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19.81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19.14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19.64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20.95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24.57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20.74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21.98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20.14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PgOSC8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19.25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18.17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18.74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22.82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24.56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22.23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PgOSC9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19.05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16.48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16.93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23.05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22.82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23.80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16.69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22.97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PgOSC11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18.64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18.65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19.96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22.01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23.51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21.83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22.82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21.21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21.78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21.18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PgOSC13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18.52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18.56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19.45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19.30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22.43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20.83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24.11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PgOSC14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21.36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19.16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18.96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19.66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25.71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25.28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23.13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26.17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25.98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23.39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PgOSC15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19.16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18.67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19.06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22.79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28.18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22.48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PgActin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18.95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19.01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22.39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22.76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24.82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ind w:firstLine="360" w:firstLineChars="20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rPr>
          <w:rFonts w:hint="default" w:ascii="Times New Roman" w:hAnsi="Times New Roman" w:eastAsia="微软雅黑" w:cs="Times New Roman"/>
          <w:color w:val="121212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WQxZGQzNGNjYTM4Y2JlNWViYzIzMTQzMmE3MzQifQ=="/>
  </w:docVars>
  <w:rsids>
    <w:rsidRoot w:val="00A030AD"/>
    <w:rsid w:val="003A03B6"/>
    <w:rsid w:val="00A030AD"/>
    <w:rsid w:val="13020801"/>
    <w:rsid w:val="164D3332"/>
    <w:rsid w:val="1828344A"/>
    <w:rsid w:val="1AD70127"/>
    <w:rsid w:val="4DFF0486"/>
    <w:rsid w:val="5E7D69E5"/>
    <w:rsid w:val="63DB0C63"/>
    <w:rsid w:val="6A2451AF"/>
    <w:rsid w:val="737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正文1"/>
    <w:basedOn w:val="1"/>
    <w:autoRedefine/>
    <w:uiPriority w:val="0"/>
    <w:pPr>
      <w:widowControl/>
      <w:spacing w:line="276" w:lineRule="auto"/>
      <w:contextualSpacing/>
      <w:jc w:val="left"/>
    </w:pPr>
    <w:rPr>
      <w:rFonts w:ascii="Arial" w:hAnsi="Arial" w:eastAsia="宋体" w:cs="Times New Roman"/>
      <w:kern w:val="0"/>
      <w:sz w:val="22"/>
      <w:szCs w:val="22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i/>
      <w:iCs/>
      <w:color w:val="000000"/>
      <w:kern w:val="0"/>
      <w:sz w:val="24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i/>
      <w:iCs/>
      <w:color w:val="000000"/>
      <w:kern w:val="0"/>
      <w:sz w:val="24"/>
    </w:rPr>
  </w:style>
  <w:style w:type="paragraph" w:customStyle="1" w:styleId="13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4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5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i/>
      <w:iCs/>
      <w:color w:val="000000"/>
      <w:kern w:val="0"/>
      <w:sz w:val="24"/>
    </w:rPr>
  </w:style>
  <w:style w:type="paragraph" w:customStyle="1" w:styleId="16">
    <w:name w:val="e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7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8">
    <w:name w:val="et8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19">
    <w:name w:val="et1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character" w:customStyle="1" w:styleId="20">
    <w:name w:val="font11"/>
    <w:basedOn w:val="5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1">
    <w:name w:val="font41"/>
    <w:basedOn w:val="5"/>
    <w:qFormat/>
    <w:uiPriority w:val="0"/>
    <w:rPr>
      <w:rFonts w:hint="eastAsia" w:ascii="宋体" w:hAnsi="宋体" w:eastAsia="宋体"/>
      <w:i/>
      <w:i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1726</Words>
  <Characters>9841</Characters>
  <Lines>82</Lines>
  <Paragraphs>23</Paragraphs>
  <TotalTime>36</TotalTime>
  <ScaleCrop>false</ScaleCrop>
  <LinksUpToDate>false</LinksUpToDate>
  <CharactersWithSpaces>11544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2023-08-17T06:49:00Z</dcterms:created>
  <dc:creator>13738</dc:creator>
  <cp:lastModifiedBy>panrong</cp:lastModifiedBy>
  <dcterms:modified xsi:type="dcterms:W3CDTF">2024-05-14T13:29:21Z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36DBC186A2834CDAB40AC8298A782F3F_13</vt:lpwstr>
  </property>
</Properties>
</file>