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1" w:name="_Hlk167369956"/>
      <w:r w:rsidRPr="00491DDD">
        <w:rPr>
          <w:rFonts w:ascii="Times" w:hAnsi="Times"/>
          <w:sz w:val="24"/>
        </w:rPr>
        <w:t>Jaime Manuel Calderón-Patrón</w:t>
      </w:r>
      <w:bookmarkEnd w:id="1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7060ED" w:rsidRPr="007060ED">
        <w:rPr>
          <w:rFonts w:ascii="Times" w:hAnsi="Times"/>
          <w:sz w:val="24"/>
        </w:rPr>
        <w:t xml:space="preserve"> </w:t>
      </w:r>
      <w:r w:rsidR="007060ED">
        <w:rPr>
          <w:rFonts w:ascii="Times" w:hAnsi="Times"/>
          <w:sz w:val="24"/>
        </w:rPr>
        <w:t xml:space="preserve">and </w:t>
      </w:r>
      <w:r w:rsidR="007060ED" w:rsidRPr="00491DDD">
        <w:rPr>
          <w:rFonts w:ascii="Times" w:hAnsi="Times"/>
          <w:sz w:val="24"/>
        </w:rPr>
        <w:t>Karen Elizabeth Peña Joya</w:t>
      </w:r>
      <w:r w:rsidR="007060ED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ind w:right="-2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S6.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higher taxa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Lizards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4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0.5062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0.1304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0.0508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0.0117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0.0055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0.0523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0.3886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0.3757</w:t>
            </w:r>
          </w:p>
        </w:tc>
      </w:tr>
    </w:tbl>
    <w:p w:rsidR="00BA26C1" w:rsidRDefault="00BA26C1" w:rsidP="00FA15EF">
      <w:pPr>
        <w:spacing w:line="480" w:lineRule="auto"/>
        <w:ind w:right="-234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386967"/>
    <w:rsid w:val="005C3068"/>
    <w:rsid w:val="006F5B42"/>
    <w:rsid w:val="00704913"/>
    <w:rsid w:val="007060ED"/>
    <w:rsid w:val="00893A49"/>
    <w:rsid w:val="009144CD"/>
    <w:rsid w:val="00A95E07"/>
    <w:rsid w:val="00B12277"/>
    <w:rsid w:val="00BA26C1"/>
    <w:rsid w:val="00C1016B"/>
    <w:rsid w:val="00CE35E8"/>
    <w:rsid w:val="00D25509"/>
    <w:rsid w:val="00EF1665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148C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2024-08-29T03:44:00Z</dcterms:created>
  <dcterms:modified xsi:type="dcterms:W3CDTF">2024-08-29T03:44:00Z</dcterms:modified>
</cp:coreProperties>
</file>