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11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0D0D0D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bdr w:val="single" w:color="E3E3E3" w:sz="2" w:space="0"/>
          <w:shd w:val="clear" w:fill="FFFFFF"/>
        </w:rPr>
        <w:t>mRNA Expression Data:</w:t>
      </w:r>
    </w:p>
    <w:tbl>
      <w:tblPr>
        <w:tblW w:w="8296" w:type="dxa"/>
        <w:tblCellSpacing w:w="15" w:type="dxa"/>
        <w:tblInd w:w="0" w:type="dxa"/>
        <w:tblBorders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1460"/>
        <w:gridCol w:w="1105"/>
        <w:gridCol w:w="1783"/>
        <w:gridCol w:w="1218"/>
        <w:gridCol w:w="1185"/>
      </w:tblGrid>
      <w:tr>
        <w:tblPrEx>
          <w:tblBorders>
            <w:top w:val="single" w:color="E3E3E3" w:sz="2" w:space="0"/>
            <w:left w:val="single" w:color="E3E3E3" w:sz="2" w:space="0"/>
            <w:bottom w:val="single" w:color="E3E3E3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tblHeader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Sample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Group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EGFR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CDKN2A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SIRT1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ATG3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Control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0.50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Control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1.10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Control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0.95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0.90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0.55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Control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0.60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Control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1.10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0.50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Control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0.50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Control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1.10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Control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0.95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0.90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0.55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Control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0.60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Control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1.10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0.50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Case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1.20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0.85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Case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1.15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0.90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3.90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Case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1.10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0.95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4.10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Case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1.25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0.80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4.05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Case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1.30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0.75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Case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1.20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0.85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Case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1.15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0.90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3.90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Case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1.10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0.95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4.10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Case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1.25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0.80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4.05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Case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1.30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0.75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1.55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Experimental Methodology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Sample Collection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Sample Description: Colon tissues were collected from HSCR patients (cases) and healthy individuals (controls).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Sample Processing: Approximately 100 mg of colon tissue was processed for each sample. Microdissection was used to isolate specific areas of interest.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Sample Storage: Samples were rapidly frozen in liquid nitrogen and stored at -80°C immediately after collection. Fixed samples were processed with formalin and stored in paraffin blocks.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Nucleic Acid Extraction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Procedure: RNA extraction was performed using Trizol reagent following the manufacturer’s protocol.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Additional Reagents: Reagents sourced from Invitrogen and TaKaRa Biotechnology were used.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DNase Treatment: DNase treatment was performed to remove genomic DNA contamination.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Quantification: RNA quantity and purity were measured using a NanoDrop spectrophotometer, aiming for A260/A280 ratios between 1.8 and 2.0.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Integrity Assessment: RNA integrity was assessed using an Agilent 2100 Bioanalyzer, with RIN values above 7.0.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Reverse Transcription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Reaction Conditions: Reverse transcription was performed using the One Step SYBR® PrimeScript™ RT-PCR Kit II. Each reaction included 1 µg of RNA in a 20 µL volume, using random hexamers (50 µM) and PrimeScript™ RT enzyme.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Temperature and Time: The reaction was carried out at 37°C for 15 minutes, followed by 85°C for 5 seconds.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Storage of cDNA: cDNA was stored at -20°C until further use.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qPCR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Reaction Setup: qPCR reactions were performed in a final volume of 20 µL, containing 10 µL of SYBR Green Master Mix, 1 µL of each primer (10 µM), 1 µL of cDNA, and 7 µL of nuclease-free water.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Thermocycling Parameters: Initial denaturation at 95°C for 3 minutes, followed by 40 cycles of 95°C for 15 seconds and 60°C for 60 seconds.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Instrument: Bio-Rad CFX96 Real-Time PCR Detection System was used for qPCR.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Primer Sequences: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EGFR: Forward: CCCACTCATGCTCTACAACCC, Reverse: TCGCACTTCTTACACTTGCGG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SIRT1: Forward: TGTGTCATAGGTTAGGTGGTGA, Reverse: AGCCAATTCTTTTTGTGTTCGTG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CDKN2A: Forward: GGGTTTTCGTGGTTCACATCC, Reverse: CTAGACGCTGGCTCCTCAGTA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ATG3: Forward: GACCCCGGTCCTCAAGGAA, Reverse: TGTAGCCCATTGCCATGTTGG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Data Analysis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Normalization: Expression levels were normalized using the geometric mean of multiple reference genes.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Statistical Analysis: Statistical significance was determined using ANOVA followed by post-hoc Tukey's test.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Software: Data analysis was performed using GraphPad Prism software, version 8.0.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2430145" cy="1457960"/>
            <wp:effectExtent l="0" t="0" r="8255" b="8890"/>
            <wp:docPr id="1" name="图片 1" descr="ATG3_expression_box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TG3_expression_boxplo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drawing>
          <wp:inline distT="0" distB="0" distL="114300" distR="114300">
            <wp:extent cx="2366010" cy="1419860"/>
            <wp:effectExtent l="0" t="0" r="5715" b="8890"/>
            <wp:docPr id="2" name="图片 2" descr="CDKN2A_expression_box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KN2A_expression_boxplo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drawing>
          <wp:inline distT="0" distB="0" distL="114300" distR="114300">
            <wp:extent cx="2465705" cy="1479550"/>
            <wp:effectExtent l="0" t="0" r="1270" b="6350"/>
            <wp:docPr id="3" name="图片 3" descr="EGFR_expression_box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GFR_expression_boxplo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drawing>
          <wp:inline distT="0" distB="0" distL="114300" distR="114300">
            <wp:extent cx="2449195" cy="1470025"/>
            <wp:effectExtent l="0" t="0" r="8255" b="6350"/>
            <wp:docPr id="4" name="图片 4" descr="SIRT1_expression_box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IRT1_expression_boxplo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ljYjMyOGUyNGIzNDBhMzMyOWI0MmViYmUyOGEifQ=="/>
  </w:docVars>
  <w:rsids>
    <w:rsidRoot w:val="0BB44D4A"/>
    <w:rsid w:val="0BB44D4A"/>
    <w:rsid w:val="279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2024-05-21T05:25:00Z</dcterms:created>
  <dc:creator>ようmoneytree</dc:creator>
  <cp:lastModifiedBy>ようmoneytree</cp:lastModifiedBy>
  <dcterms:modified xsi:type="dcterms:W3CDTF">2024-05-21T05:53:18Z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6EDAFB00AEEB4D1E86780077B827160C_11</vt:lpwstr>
  </property>
</Properties>
</file>